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BUSINESS REPORT (1) – COMPARISON OF SHANGRI-LA HOTELS AND TRAVELODGE HOTELS</w:t>
      </w:r>
    </w:p>
    <w:p w:rsidR="00000000" w:rsidDel="00000000" w:rsidP="00000000" w:rsidRDefault="00000000" w:rsidRPr="00000000" w14:paraId="00000002">
      <w:pPr>
        <w:jc w:val="center"/>
        <w:rPr/>
      </w:pPr>
      <w:r w:rsidDel="00000000" w:rsidR="00000000" w:rsidRPr="00000000">
        <w:rPr>
          <w:rtl w:val="0"/>
        </w:rPr>
        <w:t xml:space="preserve">Student Name:Mourana Yansane </w:t>
      </w:r>
    </w:p>
    <w:p w:rsidR="00000000" w:rsidDel="00000000" w:rsidP="00000000" w:rsidRDefault="00000000" w:rsidRPr="00000000" w14:paraId="00000003">
      <w:pPr>
        <w:jc w:val="center"/>
        <w:rPr/>
      </w:pPr>
      <w:r w:rsidDel="00000000" w:rsidR="00000000" w:rsidRPr="00000000">
        <w:rPr>
          <w:rtl w:val="0"/>
        </w:rPr>
        <w:t xml:space="preserve">Student ID:2207923 </w:t>
        <w:br w:type="textWrapping"/>
        <w:t xml:space="preserve">Module: Finance and Management </w:t>
      </w:r>
    </w:p>
    <w:p w:rsidR="00000000" w:rsidDel="00000000" w:rsidP="00000000" w:rsidRDefault="00000000" w:rsidRPr="00000000" w14:paraId="00000004">
      <w:pPr>
        <w:jc w:val="center"/>
        <w:rPr/>
      </w:pPr>
      <w:r w:rsidDel="00000000" w:rsidR="00000000" w:rsidRPr="00000000">
        <w:rPr>
          <w:rtl w:val="0"/>
        </w:rPr>
        <w:t xml:space="preserve">Lecturer’s : Tristan Hawkins </w:t>
      </w:r>
    </w:p>
    <w:p w:rsidR="00000000" w:rsidDel="00000000" w:rsidP="00000000" w:rsidRDefault="00000000" w:rsidRPr="00000000" w14:paraId="00000005">
      <w:pPr>
        <w:jc w:val="center"/>
        <w:rPr>
          <w:rFonts w:ascii="Times New Roman" w:cs="Times New Roman" w:eastAsia="Times New Roman" w:hAnsi="Times New Roman"/>
          <w:b w:val="0"/>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hyperlink>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Total Revenue</w:t>
            </w:r>
          </w:hyperlink>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w:t>
            </w:r>
          </w:hyperlink>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Growth Potential</w:t>
            </w:r>
          </w:hyperlink>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Financial Commitment to CSR</w:t>
            </w:r>
          </w:hyperlink>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Recommendation</w:t>
            </w:r>
          </w:hyperlink>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hyperlink>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hyperlink>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Style w:val="Heading1"/>
        <w:rPr>
          <w:b w:val="1"/>
        </w:rPr>
      </w:pPr>
      <w:bookmarkStart w:colFirst="0" w:colLast="0" w:name="_gjdgxs" w:id="0"/>
      <w:bookmarkEnd w:id="0"/>
      <w:r w:rsidDel="00000000" w:rsidR="00000000" w:rsidRPr="00000000">
        <w:rPr>
          <w:b w:val="1"/>
          <w:rtl w:val="0"/>
        </w:rPr>
        <w:t xml:space="preserve">Introduction</w:t>
      </w:r>
    </w:p>
    <w:p w:rsidR="00000000" w:rsidDel="00000000" w:rsidP="00000000" w:rsidRDefault="00000000" w:rsidRPr="00000000" w14:paraId="00000010">
      <w:pPr>
        <w:rPr/>
      </w:pPr>
      <w:r w:rsidDel="00000000" w:rsidR="00000000" w:rsidRPr="00000000">
        <w:rPr>
          <w:rtl w:val="0"/>
        </w:rPr>
        <w:t xml:space="preserve">This report aims to provide a comparative analysis of the financial management strategies and practices of two major hotel groups - Corinthia Hotels and Ibis Hotels. Through the analysis of these institutions, which play a major role in the global hospitality industry, some important findings will help the business find the most effective strategies for more income, the market bulk, the expansion and the organization's social responsibility project.</w:t>
      </w:r>
    </w:p>
    <w:p w:rsidR="00000000" w:rsidDel="00000000" w:rsidP="00000000" w:rsidRDefault="00000000" w:rsidRPr="00000000" w14:paraId="00000011">
      <w:pPr>
        <w:rPr/>
      </w:pPr>
      <w:r w:rsidDel="00000000" w:rsidR="00000000" w:rsidRPr="00000000">
        <w:rPr>
          <w:rtl w:val="0"/>
        </w:rPr>
        <w:t xml:space="preserve">Corinthia Hotels is an international hotel chain based out of Malta, which holds and operates hotels within Europe, the Middle East, and the North of Africa. In 1962, Corinthia started from a small hotel chain to the business of the now more than 70 hotels worldwide (CORINTHIA, 2022). While Ibis Hotels, a French discount hotel brand, is owned by Accor Hotel Group with over 4000 hotels in 90 countries worldwide (Ibis, 2022).</w:t>
      </w:r>
    </w:p>
    <w:p w:rsidR="00000000" w:rsidDel="00000000" w:rsidP="00000000" w:rsidRDefault="00000000" w:rsidRPr="00000000" w14:paraId="00000012">
      <w:pPr>
        <w:rPr/>
      </w:pPr>
      <w:r w:rsidDel="00000000" w:rsidR="00000000" w:rsidRPr="00000000">
        <w:rPr>
          <w:rtl w:val="0"/>
        </w:rPr>
        <w:t xml:space="preserve">The report comparison is built on four pillars- total revenue, market position, profitable growth and commitment towards corporate social responsibility. The analysis of total revenue will give information about each organization's financial performance including revenue sources and revenue growth by irrespective of the factors which influence the amount of revenue it gained. This exercise will present us with data about market share, brand image and customer profiles. Tackling growth potential means placing the focus on expansion tactics, additional growth opportunities, and bottlenecks. Finally, comparing financial commitment to CSR will reveal approaches to social responsibility and sustainability.</w:t>
      </w:r>
    </w:p>
    <w:p w:rsidR="00000000" w:rsidDel="00000000" w:rsidP="00000000" w:rsidRDefault="00000000" w:rsidRPr="00000000" w14:paraId="00000013">
      <w:pPr>
        <w:rPr/>
      </w:pPr>
      <w:r w:rsidDel="00000000" w:rsidR="00000000" w:rsidRPr="00000000">
        <w:rPr>
          <w:rtl w:val="0"/>
        </w:rPr>
        <w:t xml:space="preserve">By providing a critical evaluation of financial management strategies in these areas, this report aims to identify examples of both best and inconsistent practices. The conclusion will summarize main findings and provide recommendations to improve approaches for stronger competitive positioning and sustainable growth. It is hoped this analysis can offer valuable lessons for these hotel groups and the wider industry.</w:t>
      </w:r>
    </w:p>
    <w:p w:rsidR="00000000" w:rsidDel="00000000" w:rsidP="00000000" w:rsidRDefault="00000000" w:rsidRPr="00000000" w14:paraId="00000014">
      <w:pPr>
        <w:pStyle w:val="Heading1"/>
        <w:rPr>
          <w:b w:val="1"/>
        </w:rPr>
      </w:pPr>
      <w:bookmarkStart w:colFirst="0" w:colLast="0" w:name="_30j0zll" w:id="1"/>
      <w:bookmarkEnd w:id="1"/>
      <w:r w:rsidDel="00000000" w:rsidR="00000000" w:rsidRPr="00000000">
        <w:rPr>
          <w:b w:val="1"/>
          <w:rtl w:val="0"/>
        </w:rPr>
        <w:t xml:space="preserve">Total Revenue</w:t>
      </w:r>
    </w:p>
    <w:p w:rsidR="00000000" w:rsidDel="00000000" w:rsidP="00000000" w:rsidRDefault="00000000" w:rsidRPr="00000000" w14:paraId="00000015">
      <w:pPr>
        <w:rPr/>
      </w:pPr>
      <w:r w:rsidDel="00000000" w:rsidR="00000000" w:rsidRPr="00000000">
        <w:rPr>
          <w:rtl w:val="0"/>
        </w:rPr>
        <w:t xml:space="preserve">Corinthia Hotels generated total revenue of €365 million in 2021 according to its annual report. This represents a 33% increase from the previous year, reflecting recovery from the impacts of the Covid-19 pandemic. Room revenue from Corinthia's owned/leased hotels contributes the largest share at 51% of total revenue. Other key sources include food and beverage sales (25%), and rental income from commercial properties (11%) (CORINTHIA, 2022).</w:t>
      </w:r>
    </w:p>
    <w:p w:rsidR="00000000" w:rsidDel="00000000" w:rsidP="00000000" w:rsidRDefault="00000000" w:rsidRPr="00000000" w14:paraId="00000016">
      <w:pPr>
        <w:rPr/>
      </w:pPr>
      <w:r w:rsidDel="00000000" w:rsidR="00000000" w:rsidRPr="00000000">
        <w:rPr>
          <w:rtl w:val="0"/>
        </w:rPr>
        <w:t xml:space="preserve">In comparison, Ibis Hotels announced €2.61 billion in total revenue for 2021. Room revenue accounts for approximately 63% of Ibis' total revenue (IBIS, 2022). Food and beverage, and conference and event services make up smaller but still substantial portions at approximately 20% and 7% respectively. Ibis has seen consistent 3-5% average annual revenue growth over the past five years through expansion (IBIS, 2022).</w:t>
      </w:r>
    </w:p>
    <w:p w:rsidR="00000000" w:rsidDel="00000000" w:rsidP="00000000" w:rsidRDefault="00000000" w:rsidRPr="00000000" w14:paraId="00000017">
      <w:pPr>
        <w:rPr/>
      </w:pPr>
      <w:r w:rsidDel="00000000" w:rsidR="00000000" w:rsidRPr="00000000">
        <w:rPr>
          <w:rtl w:val="0"/>
        </w:rPr>
        <w:t xml:space="preserve">Prior to the pandemic, Corinthia was achieving average annual revenue increases of 7-9% between 2015-2019 as the company expanded internationally (CORINTHIA, 2022). However, travel restrictions in 2020 caused a 63% plunge in Corinthia's revenue that year. Ibis' 2020 revenue declined by a more moderate 30% as its standardized select service model proved more resilient. In 2021, strong pent-up leisure travel demand helped both groups regain lost revenue (IBIS, 2022).</w:t>
      </w:r>
    </w:p>
    <w:p w:rsidR="00000000" w:rsidDel="00000000" w:rsidP="00000000" w:rsidRDefault="00000000" w:rsidRPr="00000000" w14:paraId="00000018">
      <w:pPr>
        <w:rPr/>
      </w:pPr>
      <w:r w:rsidDel="00000000" w:rsidR="00000000" w:rsidRPr="00000000">
        <w:rPr>
          <w:rtl w:val="0"/>
        </w:rPr>
        <w:t xml:space="preserve">Looking forward, factors like inflation pressures may impact revenue. Rising costs could force Corinthia to increase room rates, potentially affecting demand. Ibis' larger scale may help keep rates competitive (CORINTHIA, 2022). For Corinthia, further international expansion into new luxury hotel markets like the US presents opportunities. Ibis could leverage its size for negotiated contracts boosting non-room revenue streams (IBIS, 2022). Overall brand perceptions and loyalty will remain important for sustaining revenue trends as travel rebounds. Corinthia's luxury image and Ibis' value proposition position both well for growth if managed strategically.</w:t>
      </w:r>
    </w:p>
    <w:p w:rsidR="00000000" w:rsidDel="00000000" w:rsidP="00000000" w:rsidRDefault="00000000" w:rsidRPr="00000000" w14:paraId="00000019">
      <w:pPr>
        <w:rPr>
          <w:b w:val="1"/>
        </w:rPr>
      </w:pPr>
      <w:bookmarkStart w:colFirst="0" w:colLast="0" w:name="_1fob9te" w:id="2"/>
      <w:bookmarkEnd w:id="2"/>
      <w:r w:rsidDel="00000000" w:rsidR="00000000" w:rsidRPr="00000000">
        <w:rPr>
          <w:rFonts w:ascii="Times New Roman" w:cs="Times New Roman" w:eastAsia="Times New Roman" w:hAnsi="Times New Roman"/>
          <w:b w:val="1"/>
          <w:sz w:val="32"/>
          <w:szCs w:val="32"/>
          <w:rtl w:val="0"/>
        </w:rPr>
        <w:t xml:space="preserve">Market</w:t>
      </w:r>
      <w:r w:rsidDel="00000000" w:rsidR="00000000" w:rsidRPr="00000000">
        <w:rPr>
          <w:b w:val="1"/>
          <w:rtl w:val="0"/>
        </w:rPr>
        <w:t xml:space="preserve"> </w:t>
      </w:r>
      <w:r w:rsidDel="00000000" w:rsidR="00000000" w:rsidRPr="00000000">
        <w:rPr>
          <w:rFonts w:ascii="Times New Roman" w:cs="Times New Roman" w:eastAsia="Times New Roman" w:hAnsi="Times New Roman"/>
          <w:b w:val="1"/>
          <w:sz w:val="32"/>
          <w:szCs w:val="32"/>
          <w:rtl w:val="0"/>
        </w:rPr>
        <w:t xml:space="preserve">Position</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Corinthia Hotels holds a market share of approximately 1% within the luxury hotel category globally according to data from market research firm STR. However, within its key regions of Europe and the Middle East, Corinthia's market share rises to 3-4% (CORINTHIA, 2022). The brand targets an affluent customer base of business professionals and leisure travelers seeking 5-star amenities and personalized service. Some 81% of Corinthia's 2021 guests were leisure travelers while 19% traveled for business (CORINTHIA, 2022).</w:t>
      </w:r>
    </w:p>
    <w:p w:rsidR="00000000" w:rsidDel="00000000" w:rsidP="00000000" w:rsidRDefault="00000000" w:rsidRPr="00000000" w14:paraId="0000001B">
      <w:pPr>
        <w:rPr/>
      </w:pPr>
      <w:r w:rsidDel="00000000" w:rsidR="00000000" w:rsidRPr="00000000">
        <w:rPr>
          <w:rtl w:val="0"/>
        </w:rPr>
        <w:t xml:space="preserve">Conversely, Ibis Hotels commands a sizable market share of 8% in global limited and select service hotels due to its extensive portfolio (IBIS, 2022). Ibis has proven adept at serving cost-conscious customers across demographics through consistency and accessibility. Recent research found 55% of Ibis' guests are leisure travelers and 45% visit for business purposes. Compared to Corinthia, Ibis sees a higher percentage of business customers reflecting its broad appeal.</w:t>
      </w:r>
    </w:p>
    <w:p w:rsidR="00000000" w:rsidDel="00000000" w:rsidP="00000000" w:rsidRDefault="00000000" w:rsidRPr="00000000" w14:paraId="0000001C">
      <w:pPr>
        <w:rPr/>
      </w:pPr>
      <w:r w:rsidDel="00000000" w:rsidR="00000000" w:rsidRPr="00000000">
        <w:rPr>
          <w:rtl w:val="0"/>
        </w:rPr>
        <w:t xml:space="preserve">As a luxury brand, Corinthia faces competition from influential international players like Marriott’s Ritz-Carlton and Four Seasons in upper-upscale markets. However, Corinthia has carved a growing presence through unique historic properties and its reputation for European charm (CORINTHIA, 2022). Ibis competes most directly with economy brands like Holiday Inn Express and Travelodge (IBIS, 2022). Ibis' scale has helped it achieve strong brand recognition, however reliability has become an expected baseline in the highly commodity mid-market sector.</w:t>
      </w:r>
    </w:p>
    <w:p w:rsidR="00000000" w:rsidDel="00000000" w:rsidP="00000000" w:rsidRDefault="00000000" w:rsidRPr="00000000" w14:paraId="0000001D">
      <w:pPr>
        <w:rPr/>
      </w:pPr>
      <w:r w:rsidDel="00000000" w:rsidR="00000000" w:rsidRPr="00000000">
        <w:rPr>
          <w:rtl w:val="0"/>
        </w:rPr>
        <w:t xml:space="preserve">Customer reviews reveal Corinthia is perceived as sophisticated yet warm, with an emphasis on distinguished service. However, some criticize stiff formality and lack of standardization between properties. Ibis is praised for consistency and competitive pricing worldwide despite sparse amenities (IBIS, 2022). Yet others argue cookie-cutter interiors lack character. Both brands aim to strengthen emotional connections through heritage storytelling and locality. Corinthia looks to enhance standardization whilst maintaining individuality across hotels.</w:t>
      </w:r>
    </w:p>
    <w:p w:rsidR="00000000" w:rsidDel="00000000" w:rsidP="00000000" w:rsidRDefault="00000000" w:rsidRPr="00000000" w14:paraId="0000001E">
      <w:pPr>
        <w:pStyle w:val="Heading1"/>
        <w:rPr>
          <w:b w:val="1"/>
        </w:rPr>
      </w:pPr>
      <w:bookmarkStart w:colFirst="0" w:colLast="0" w:name="_3znysh7" w:id="3"/>
      <w:bookmarkEnd w:id="3"/>
      <w:r w:rsidDel="00000000" w:rsidR="00000000" w:rsidRPr="00000000">
        <w:rPr>
          <w:b w:val="1"/>
          <w:rtl w:val="0"/>
        </w:rPr>
        <w:t xml:space="preserve">Growth Potential</w:t>
      </w:r>
    </w:p>
    <w:p w:rsidR="00000000" w:rsidDel="00000000" w:rsidP="00000000" w:rsidRDefault="00000000" w:rsidRPr="00000000" w14:paraId="0000001F">
      <w:pPr>
        <w:rPr/>
      </w:pPr>
      <w:r w:rsidDel="00000000" w:rsidR="00000000" w:rsidRPr="00000000">
        <w:rPr>
          <w:rtl w:val="0"/>
        </w:rPr>
        <w:t xml:space="preserve">Corinthia Hotels has pursued an ambitious expansion strategy focused on major international gateway cities. The company aims to more than double its current portfolio size to over 150 hotels within the next decade according to its 2030 development plan. To achieve this, Corinthia is pursuing high-profile management contracts and acquisitions across Europe while also entering new markets such as the US through its recent St. Petersburg, Florida property (Bloomberg, 2024).</w:t>
      </w:r>
    </w:p>
    <w:p w:rsidR="00000000" w:rsidDel="00000000" w:rsidP="00000000" w:rsidRDefault="00000000" w:rsidRPr="00000000" w14:paraId="00000020">
      <w:pPr>
        <w:rPr/>
      </w:pPr>
      <w:r w:rsidDel="00000000" w:rsidR="00000000" w:rsidRPr="00000000">
        <w:rPr>
          <w:rtl w:val="0"/>
        </w:rPr>
        <w:t xml:space="preserve">However, barriers include challenges securing prime urban locations and managing construction delays which have impacted previous projects. Rising costs may also squeeze hotel development budgets. A further risk is over-stretching resources and diverting focus from existing properties. To mitigate issues, Corinthia could consider more partnership models or regional joint ventures to share risks and resources.</w:t>
      </w:r>
    </w:p>
    <w:p w:rsidR="00000000" w:rsidDel="00000000" w:rsidP="00000000" w:rsidRDefault="00000000" w:rsidRPr="00000000" w14:paraId="00000021">
      <w:pPr>
        <w:rPr/>
      </w:pPr>
      <w:r w:rsidDel="00000000" w:rsidR="00000000" w:rsidRPr="00000000">
        <w:rPr>
          <w:rtl w:val="0"/>
        </w:rPr>
        <w:t xml:space="preserve">Ibis Hotels has grown organically at a steady rate of 3-5% annually through new property deals and hotel renovations (ResearchGate, 2023). Its size enables negotiations for preferential agreements boosting the signings of new hotels. However, saturated markets like Europe offer fewer opportunities. Recent strategic shifts include targeting developing economies in South Asia and Africa for heightened growth potential (ResearchGate, 2023).</w:t>
      </w:r>
    </w:p>
    <w:p w:rsidR="00000000" w:rsidDel="00000000" w:rsidP="00000000" w:rsidRDefault="00000000" w:rsidRPr="00000000" w14:paraId="00000022">
      <w:pPr>
        <w:rPr/>
      </w:pPr>
      <w:r w:rsidDel="00000000" w:rsidR="00000000" w:rsidRPr="00000000">
        <w:rPr>
          <w:rtl w:val="0"/>
        </w:rPr>
        <w:t xml:space="preserve">While opportunities exist in emerging markets, risks include unpredictable economies, political instability, and lack of operating experience (FasterCapital, 2023). Language and cultural barriers may also impact service quality and branding consistency. Moving forward, Ibis would benefit from dedicated regional business heads responsible for localized growth strategies and partnerships (Seth, 2019).</w:t>
      </w:r>
    </w:p>
    <w:p w:rsidR="00000000" w:rsidDel="00000000" w:rsidP="00000000" w:rsidRDefault="00000000" w:rsidRPr="00000000" w14:paraId="00000023">
      <w:pPr>
        <w:rPr/>
      </w:pPr>
      <w:r w:rsidDel="00000000" w:rsidR="00000000" w:rsidRPr="00000000">
        <w:rPr>
          <w:rtl w:val="0"/>
        </w:rPr>
        <w:t xml:space="preserve">For both brands, leveraging technology will be important for enhancing offerings, driving direct bookings, and improving efficiencies to realize further scalability. In general, as travel rebounds, opportunities exist for growth across all sectors through innovative wellness, hybrid work/stay, and eco-friendly concepts resonating with changing consumer demands.</w:t>
      </w:r>
    </w:p>
    <w:p w:rsidR="00000000" w:rsidDel="00000000" w:rsidP="00000000" w:rsidRDefault="00000000" w:rsidRPr="00000000" w14:paraId="00000024">
      <w:pPr>
        <w:pStyle w:val="Heading1"/>
        <w:rPr>
          <w:b w:val="1"/>
        </w:rPr>
      </w:pPr>
      <w:bookmarkStart w:colFirst="0" w:colLast="0" w:name="_2et92p0" w:id="4"/>
      <w:bookmarkEnd w:id="4"/>
      <w:r w:rsidDel="00000000" w:rsidR="00000000" w:rsidRPr="00000000">
        <w:rPr>
          <w:b w:val="1"/>
          <w:rtl w:val="0"/>
        </w:rPr>
        <w:t xml:space="preserve">Financial Commitment to CSR</w:t>
      </w:r>
    </w:p>
    <w:p w:rsidR="00000000" w:rsidDel="00000000" w:rsidP="00000000" w:rsidRDefault="00000000" w:rsidRPr="00000000" w14:paraId="00000025">
      <w:pPr>
        <w:rPr/>
      </w:pPr>
      <w:r w:rsidDel="00000000" w:rsidR="00000000" w:rsidRPr="00000000">
        <w:rPr>
          <w:rtl w:val="0"/>
        </w:rPr>
        <w:t xml:space="preserve">Corinthia Hotels allocates an annual CSR budget equivalent to approximately 1.5% of net profit to fund initiatives according to its sustainability reports (CORINTHIA, 2022). Key focus areas include community investment, environmental programs, and supporting cultural heritage &amp; the arts. Major projects encompass installing energy efficiency systems across properties, sourcing from local producers, and partnering with organizations like UNICEF on childhood education.</w:t>
      </w:r>
    </w:p>
    <w:p w:rsidR="00000000" w:rsidDel="00000000" w:rsidP="00000000" w:rsidRDefault="00000000" w:rsidRPr="00000000" w14:paraId="00000026">
      <w:pPr>
        <w:rPr/>
      </w:pPr>
      <w:r w:rsidDel="00000000" w:rsidR="00000000" w:rsidRPr="00000000">
        <w:rPr>
          <w:rtl w:val="0"/>
        </w:rPr>
        <w:t xml:space="preserve">While commendable, Corinthia's financial commitment could be further strengthened through transparency around absolute funding amounts or tying executive compensation to sustainability targets (CORINTHIA, 2022). Strategic oversight also appears fragmented without a dedicated group-level CSR committee. At the property-level, initiatives moreover seem to lack uniform guidelines and monitoring of impact.</w:t>
      </w:r>
    </w:p>
    <w:p w:rsidR="00000000" w:rsidDel="00000000" w:rsidP="00000000" w:rsidRDefault="00000000" w:rsidRPr="00000000" w14:paraId="00000027">
      <w:pPr>
        <w:rPr/>
      </w:pPr>
      <w:r w:rsidDel="00000000" w:rsidR="00000000" w:rsidRPr="00000000">
        <w:rPr>
          <w:rtl w:val="0"/>
        </w:rPr>
        <w:t xml:space="preserve">In contrast, Ibis dedicates around 2.5% of net profit annually to comprehensive CSR programs organized by its Planet 21 committee. Ibis' sizable scale allows global partnerships improving outreach (IBIS, 2022). Targets cover reducing carbon emissions 30% by 2030, achieving zero single-use plastics, and increasing female employment (IBIS, 2022). Performance is robustly tracked and independently verified with results communicated to investors.</w:t>
      </w:r>
    </w:p>
    <w:p w:rsidR="00000000" w:rsidDel="00000000" w:rsidP="00000000" w:rsidRDefault="00000000" w:rsidRPr="00000000" w14:paraId="00000028">
      <w:pPr>
        <w:rPr/>
      </w:pPr>
      <w:r w:rsidDel="00000000" w:rsidR="00000000" w:rsidRPr="00000000">
        <w:rPr>
          <w:rtl w:val="0"/>
        </w:rPr>
        <w:t xml:space="preserve">Ibis’ centralized structure and board-level guidance provides clear priorities and governance unavailable at Corinthia's smaller scale. Standardized ‘Green’ operating procedures boost consistency worldwide. Supplier engagement is moreover systematically managed compared to Corinthia's more localized approach.</w:t>
      </w:r>
    </w:p>
    <w:p w:rsidR="00000000" w:rsidDel="00000000" w:rsidP="00000000" w:rsidRDefault="00000000" w:rsidRPr="00000000" w14:paraId="00000029">
      <w:pPr>
        <w:rPr/>
      </w:pPr>
      <w:r w:rsidDel="00000000" w:rsidR="00000000" w:rsidRPr="00000000">
        <w:rPr>
          <w:rtl w:val="0"/>
        </w:rPr>
        <w:t xml:space="preserve">While both demonstrate commitment, Ibis' integrated group-wide strategy and higher investment yields optimized impacts. Corinthia could institutionalize sustainability further through a harmonized framework cascade down from senior management. Combined, their models showcase effective and consistent CSR approaches for hotels that bring social and environmental benefits as well as reputational returns.</w:t>
      </w:r>
    </w:p>
    <w:p w:rsidR="00000000" w:rsidDel="00000000" w:rsidP="00000000" w:rsidRDefault="00000000" w:rsidRPr="00000000" w14:paraId="0000002A">
      <w:pPr>
        <w:pStyle w:val="Heading1"/>
        <w:rPr>
          <w:b w:val="1"/>
        </w:rPr>
      </w:pPr>
      <w:bookmarkStart w:colFirst="0" w:colLast="0" w:name="_tyjcwt" w:id="5"/>
      <w:bookmarkEnd w:id="5"/>
      <w:r w:rsidDel="00000000" w:rsidR="00000000" w:rsidRPr="00000000">
        <w:rPr>
          <w:b w:val="1"/>
          <w:rtl w:val="0"/>
        </w:rPr>
        <w:t xml:space="preserve">Recommendation</w:t>
      </w:r>
    </w:p>
    <w:p w:rsidR="00000000" w:rsidDel="00000000" w:rsidP="00000000" w:rsidRDefault="00000000" w:rsidRPr="00000000" w14:paraId="0000002B">
      <w:pPr>
        <w:rPr>
          <w:b w:val="1"/>
        </w:rPr>
      </w:pPr>
      <w:r w:rsidDel="00000000" w:rsidR="00000000" w:rsidRPr="00000000">
        <w:rPr>
          <w:b w:val="1"/>
          <w:rtl w:val="0"/>
        </w:rPr>
        <w:t xml:space="preserve">Recommendation for Corinthia:</w:t>
      </w:r>
    </w:p>
    <w:p w:rsidR="00000000" w:rsidDel="00000000" w:rsidP="00000000" w:rsidRDefault="00000000" w:rsidRPr="00000000" w14:paraId="0000002C">
      <w:pPr>
        <w:rPr/>
      </w:pPr>
      <w:r w:rsidDel="00000000" w:rsidR="00000000" w:rsidRPr="00000000">
        <w:rPr>
          <w:rtl w:val="0"/>
        </w:rPr>
        <w:t xml:space="preserve">Based on the analysis of Corinthia's growth potential and financial commitment to CSR, my recommendation is for Corinthia Hotels to establish a group-level Sustainability Department to strengthen and scale up its sustainability initiatives.</w:t>
      </w:r>
    </w:p>
    <w:p w:rsidR="00000000" w:rsidDel="00000000" w:rsidP="00000000" w:rsidRDefault="00000000" w:rsidRPr="00000000" w14:paraId="0000002D">
      <w:pPr>
        <w:rPr/>
      </w:pPr>
      <w:r w:rsidDel="00000000" w:rsidR="00000000" w:rsidRPr="00000000">
        <w:rPr>
          <w:rtl w:val="0"/>
        </w:rPr>
        <w:t xml:space="preserve">Currently, Corinthia's CSR efforts lack centralized coordination and reporting. A dedicated sustainability department could develop standardized guidelines and key performance indicators to monitor impacts systematically across Corinthia's expanding portfolio (Angelakoglou et al., 2023). International expansion also elevates needs for consistent approaches addressing varied new markets.</w:t>
      </w:r>
    </w:p>
    <w:p w:rsidR="00000000" w:rsidDel="00000000" w:rsidP="00000000" w:rsidRDefault="00000000" w:rsidRPr="00000000" w14:paraId="0000002E">
      <w:pPr>
        <w:rPr/>
      </w:pPr>
      <w:r w:rsidDel="00000000" w:rsidR="00000000" w:rsidRPr="00000000">
        <w:rPr>
          <w:rtl w:val="0"/>
        </w:rPr>
        <w:t xml:space="preserve">A sustainability department would be responsible for creating a strategic 5-year plan outlining financial targets, priority issues to address, and quantifiable goals in line with global sustainability agendas (United Nations, 2023). For example, committing to halve carbon emissions by 2030 and achieving net zero by 2050 with detailed carbon reduction roadmaps.</w:t>
      </w:r>
    </w:p>
    <w:p w:rsidR="00000000" w:rsidDel="00000000" w:rsidP="00000000" w:rsidRDefault="00000000" w:rsidRPr="00000000" w14:paraId="0000002F">
      <w:pPr>
        <w:rPr/>
      </w:pPr>
      <w:r w:rsidDel="00000000" w:rsidR="00000000" w:rsidRPr="00000000">
        <w:rPr>
          <w:rtl w:val="0"/>
        </w:rPr>
        <w:t xml:space="preserve">The department should comprise specialists in environmental management, supply chain sustainability, stakeholder engagement and impact reporting. Their remit would include communicating priorities to hotel general managers, assessing risks/opportunities, implementing best practices globally, and arranging strategic partnerships.</w:t>
      </w:r>
    </w:p>
    <w:p w:rsidR="00000000" w:rsidDel="00000000" w:rsidP="00000000" w:rsidRDefault="00000000" w:rsidRPr="00000000" w14:paraId="00000030">
      <w:pPr>
        <w:rPr/>
      </w:pPr>
      <w:r w:rsidDel="00000000" w:rsidR="00000000" w:rsidRPr="00000000">
        <w:rPr>
          <w:rtl w:val="0"/>
        </w:rPr>
        <w:t xml:space="preserve">A sustainability department reflects Corinthia's growing scale and will signal its seriousness in embedding sustainability as a core value. It could study industry leaders' approaches to advise Corinthia's executive board and C-suite on integrating sustainability within decision-making (Cook et al., 2023). Over time, linking executive incentives to targets will further strengthen commitments.</w:t>
      </w:r>
    </w:p>
    <w:p w:rsidR="00000000" w:rsidDel="00000000" w:rsidP="00000000" w:rsidRDefault="00000000" w:rsidRPr="00000000" w14:paraId="00000031">
      <w:pPr>
        <w:rPr/>
      </w:pPr>
      <w:r w:rsidDel="00000000" w:rsidR="00000000" w:rsidRPr="00000000">
        <w:rPr>
          <w:rtl w:val="0"/>
        </w:rPr>
        <w:t xml:space="preserve">Centralized management through an appropriately funded sustainability department will ensure Corinthia leverages its expanding footprint to maximize positive social and environmental impacts through coherent group-wide action (ACCAGlobal, 2023). This is vital for mitigating risks to its 'boutique luxury' brand from a dispersed approach while capturing new opportunities in sustainability-focused sectors.</w:t>
      </w:r>
    </w:p>
    <w:p w:rsidR="00000000" w:rsidDel="00000000" w:rsidP="00000000" w:rsidRDefault="00000000" w:rsidRPr="00000000" w14:paraId="00000032">
      <w:pPr>
        <w:rPr>
          <w:b w:val="1"/>
        </w:rPr>
      </w:pPr>
      <w:r w:rsidDel="00000000" w:rsidR="00000000" w:rsidRPr="00000000">
        <w:rPr>
          <w:b w:val="1"/>
          <w:rtl w:val="0"/>
        </w:rPr>
        <w:t xml:space="preserve">Recommendation for Ibis:</w:t>
      </w:r>
    </w:p>
    <w:p w:rsidR="00000000" w:rsidDel="00000000" w:rsidP="00000000" w:rsidRDefault="00000000" w:rsidRPr="00000000" w14:paraId="00000033">
      <w:pPr>
        <w:rPr/>
      </w:pPr>
      <w:r w:rsidDel="00000000" w:rsidR="00000000" w:rsidRPr="00000000">
        <w:rPr>
          <w:rtl w:val="0"/>
        </w:rPr>
        <w:t xml:space="preserve">To sustain its market leading position, my recommendation for Ibis Hotels is to establish dedicated regional subsidiary boards to facilitate better localized growth strategies.</w:t>
      </w:r>
    </w:p>
    <w:p w:rsidR="00000000" w:rsidDel="00000000" w:rsidP="00000000" w:rsidRDefault="00000000" w:rsidRPr="00000000" w14:paraId="00000034">
      <w:pPr>
        <w:rPr/>
      </w:pPr>
      <w:r w:rsidDel="00000000" w:rsidR="00000000" w:rsidRPr="00000000">
        <w:rPr>
          <w:rtl w:val="0"/>
        </w:rPr>
        <w:t xml:space="preserve">Ibis' current impressive consistent global expansion partly relies on standardized processes allowing replication. However, our analysis showed markets, like emerging economies, require deeper local understanding for opportunities amid challenges such as political instability, socio-cultural nuances, and infrastructure deficits (Santosh, 2023).</w:t>
      </w:r>
    </w:p>
    <w:p w:rsidR="00000000" w:rsidDel="00000000" w:rsidP="00000000" w:rsidRDefault="00000000" w:rsidRPr="00000000" w14:paraId="00000035">
      <w:pPr>
        <w:rPr/>
      </w:pPr>
      <w:r w:rsidDel="00000000" w:rsidR="00000000" w:rsidRPr="00000000">
        <w:rPr>
          <w:rtl w:val="0"/>
        </w:rPr>
        <w:t xml:space="preserve">Regional boards populated by local hotel industry veterans and in-country managers would aid Ibis surmounting regionalization difficulties. Specifically, boards would be tasked with market assessments, developing tailored strategic plans, approaching governments and agencies, identifying partnership prospects, and monitoring execution.</w:t>
      </w:r>
    </w:p>
    <w:p w:rsidR="00000000" w:rsidDel="00000000" w:rsidP="00000000" w:rsidRDefault="00000000" w:rsidRPr="00000000" w14:paraId="00000036">
      <w:pPr>
        <w:rPr/>
      </w:pPr>
      <w:r w:rsidDel="00000000" w:rsidR="00000000" w:rsidRPr="00000000">
        <w:rPr>
          <w:rtl w:val="0"/>
        </w:rPr>
        <w:t xml:space="preserve">Subsidiary boards for regions such as South/South East Asia, Middle East/Africa, and South America would deepen understanding of macro-environmental forces through embedded presence. They would enable Ibis leveraging cultural sensitivities, maximizing economic incentives, and enabling community investments catered to localized needs (FasterCapital, 2023a).</w:t>
      </w:r>
    </w:p>
    <w:p w:rsidR="00000000" w:rsidDel="00000000" w:rsidP="00000000" w:rsidRDefault="00000000" w:rsidRPr="00000000" w14:paraId="00000037">
      <w:pPr>
        <w:rPr/>
      </w:pPr>
      <w:r w:rsidDel="00000000" w:rsidR="00000000" w:rsidRPr="00000000">
        <w:rPr>
          <w:rtl w:val="0"/>
        </w:rPr>
        <w:t xml:space="preserve">This localized approach, supported by Ibis' brand scale and existing best practices, can navigate barriers more prudently than current structure. Over time, it will strengthen Ibis' competitive differentiation and foster resilience in changing conditions - critical in emerging competitive landscapes (FasterCapital, 2023a). Regional boards are hence justified to sustain Ibis' stellar growth trajectory.</w:t>
      </w:r>
    </w:p>
    <w:p w:rsidR="00000000" w:rsidDel="00000000" w:rsidP="00000000" w:rsidRDefault="00000000" w:rsidRPr="00000000" w14:paraId="00000038">
      <w:pPr>
        <w:pStyle w:val="Heading1"/>
        <w:rPr>
          <w:b w:val="1"/>
        </w:rPr>
      </w:pPr>
      <w:bookmarkStart w:colFirst="0" w:colLast="0" w:name="_3dy6vkm" w:id="6"/>
      <w:bookmarkEnd w:id="6"/>
      <w:r w:rsidDel="00000000" w:rsidR="00000000" w:rsidRPr="00000000">
        <w:rPr>
          <w:b w:val="1"/>
          <w:rtl w:val="0"/>
        </w:rPr>
        <w:t xml:space="preserve">Conclusion</w:t>
      </w:r>
    </w:p>
    <w:p w:rsidR="00000000" w:rsidDel="00000000" w:rsidP="00000000" w:rsidRDefault="00000000" w:rsidRPr="00000000" w14:paraId="00000039">
      <w:pPr>
        <w:rPr/>
      </w:pPr>
      <w:r w:rsidDel="00000000" w:rsidR="00000000" w:rsidRPr="00000000">
        <w:rPr>
          <w:rtl w:val="0"/>
        </w:rPr>
        <w:t xml:space="preserve">The report has analyzed the financial management approaches and styles of the Corinthia Hotels and Ibis Hotels in the areas of total revenues, market position, growth potential and commitment to CSR (Corporate Social Responsibility)</w:t>
      </w:r>
    </w:p>
    <w:p w:rsidR="00000000" w:rsidDel="00000000" w:rsidP="00000000" w:rsidRDefault="00000000" w:rsidRPr="00000000" w14:paraId="0000003A">
      <w:pPr>
        <w:rPr/>
      </w:pPr>
      <w:r w:rsidDel="00000000" w:rsidR="00000000" w:rsidRPr="00000000">
        <w:rPr>
          <w:rtl w:val="0"/>
        </w:rPr>
        <w:t xml:space="preserve">The results indicated that Ibis total income was greater due to a larger scale and standard model compared to Corinthia whose growth was demonstrated through penetration into new markets. Both brands have found the market leadership positions within their categories satisfying the needs of differentiated target customer groups.</w:t>
      </w:r>
    </w:p>
    <w:p w:rsidR="00000000" w:rsidDel="00000000" w:rsidP="00000000" w:rsidRDefault="00000000" w:rsidRPr="00000000" w14:paraId="0000003B">
      <w:pPr>
        <w:rPr/>
      </w:pPr>
      <w:r w:rsidDel="00000000" w:rsidR="00000000" w:rsidRPr="00000000">
        <w:rPr>
          <w:rtl w:val="0"/>
        </w:rPr>
        <w:t xml:space="preserve">International expansion remains a challenge, but Corinthia pursues a bold strategic plan with the aim of achieving a doubling in its portfolio size. Ibis keeps on a steady organic growth globally, but it is necessary to put a regional approach into use in order to stimulate the development of local possibilities in different parts of the world.</w:t>
      </w:r>
    </w:p>
    <w:p w:rsidR="00000000" w:rsidDel="00000000" w:rsidP="00000000" w:rsidRDefault="00000000" w:rsidRPr="00000000" w14:paraId="0000003C">
      <w:pPr>
        <w:rPr/>
      </w:pPr>
      <w:r w:rsidDel="00000000" w:rsidR="00000000" w:rsidRPr="00000000">
        <w:rPr>
          <w:rtl w:val="0"/>
        </w:rPr>
        <w:t xml:space="preserve">On CSR, Ibis invests more strategically via the framework of a centralized structure guaranteeing that the impacts are scaled up. Corinthia is keeping on with commitment but could systematize initiatives by creating a dedicated sustainability department.</w:t>
      </w:r>
    </w:p>
    <w:p w:rsidR="00000000" w:rsidDel="00000000" w:rsidP="00000000" w:rsidRDefault="00000000" w:rsidRPr="00000000" w14:paraId="0000003D">
      <w:pPr>
        <w:rPr/>
      </w:pPr>
      <w:r w:rsidDel="00000000" w:rsidR="00000000" w:rsidRPr="00000000">
        <w:rPr>
          <w:rtl w:val="0"/>
        </w:rPr>
        <w:t xml:space="preserve">This report served as a purpose toolset in identifying the core revenue drivers, competency-based differentiation strategies, scalable business plans and effective sustainability management models for the industry leaders. The recommendations emphasized improvement of methods of sustainable long-term development, strengthening of resilient business operations and social responsibility approach. In conclusion, the report highlighted many factors that should be taken into consideration while planning strategies.</w:t>
      </w:r>
    </w:p>
    <w:p w:rsidR="00000000" w:rsidDel="00000000" w:rsidP="00000000" w:rsidRDefault="00000000" w:rsidRPr="00000000" w14:paraId="0000003E">
      <w:pPr>
        <w:pStyle w:val="Heading1"/>
        <w:rPr>
          <w:b w:val="1"/>
        </w:rPr>
      </w:pPr>
      <w:bookmarkStart w:colFirst="0" w:colLast="0" w:name="_1t3h5sf" w:id="7"/>
      <w:bookmarkEnd w:id="7"/>
      <w:r w:rsidDel="00000000" w:rsidR="00000000" w:rsidRPr="00000000">
        <w:rPr>
          <w:b w:val="1"/>
          <w:rtl w:val="0"/>
        </w:rPr>
        <w:t xml:space="preserve">References</w:t>
      </w:r>
    </w:p>
    <w:p w:rsidR="00000000" w:rsidDel="00000000" w:rsidP="00000000" w:rsidRDefault="00000000" w:rsidRPr="00000000" w14:paraId="0000003F">
      <w:pPr>
        <w:ind w:left="720" w:hanging="720"/>
        <w:rPr/>
      </w:pPr>
      <w:bookmarkStart w:colFirst="0" w:colLast="0" w:name="_4d34og8" w:id="8"/>
      <w:bookmarkEnd w:id="8"/>
      <w:r w:rsidDel="00000000" w:rsidR="00000000" w:rsidRPr="00000000">
        <w:rPr>
          <w:rtl w:val="0"/>
        </w:rPr>
        <w:t xml:space="preserve">ACCAGlobal (2023). </w:t>
      </w:r>
      <w:r w:rsidDel="00000000" w:rsidR="00000000" w:rsidRPr="00000000">
        <w:rPr>
          <w:i w:val="1"/>
          <w:rtl w:val="0"/>
        </w:rPr>
        <w:t xml:space="preserve">Sustainability and performance management | ACCA Global</w:t>
      </w:r>
      <w:r w:rsidDel="00000000" w:rsidR="00000000" w:rsidRPr="00000000">
        <w:rPr>
          <w:rtl w:val="0"/>
        </w:rPr>
        <w:t xml:space="preserve">. [online] www.accaglobal.com. Available at: </w:t>
      </w:r>
      <w:hyperlink r:id="rId6">
        <w:r w:rsidDel="00000000" w:rsidR="00000000" w:rsidRPr="00000000">
          <w:rPr>
            <w:color w:val="0563c1"/>
            <w:u w:val="single"/>
            <w:rtl w:val="0"/>
          </w:rPr>
          <w:t xml:space="preserve">https://www.accaglobal.com/gb/en/student/exam-support-resources/professional-exams-study-resources/p5/technical-articles/sustainability.html</w:t>
        </w:r>
      </w:hyperlink>
      <w:r w:rsidDel="00000000" w:rsidR="00000000" w:rsidRPr="00000000">
        <w:rPr>
          <w:rtl w:val="0"/>
        </w:rPr>
        <w:t xml:space="preserve"> [Accessed 22 Apr. 2024].</w:t>
      </w:r>
    </w:p>
    <w:p w:rsidR="00000000" w:rsidDel="00000000" w:rsidP="00000000" w:rsidRDefault="00000000" w:rsidRPr="00000000" w14:paraId="00000040">
      <w:pPr>
        <w:ind w:left="720" w:hanging="720"/>
        <w:rPr/>
      </w:pPr>
      <w:r w:rsidDel="00000000" w:rsidR="00000000" w:rsidRPr="00000000">
        <w:rPr>
          <w:rtl w:val="0"/>
        </w:rPr>
        <w:t xml:space="preserve">Angelakoglou, K., Chatzigeorgiou, E., Lampropoulos, I., Giourka, P., Martinopoulos, G. and Nikolopoulos, N. (2023). Monitoring the Sustainability of Building Renovation Projects—A Tailored Key Performance Indicator Repository. </w:t>
      </w:r>
      <w:r w:rsidDel="00000000" w:rsidR="00000000" w:rsidRPr="00000000">
        <w:rPr>
          <w:i w:val="1"/>
          <w:rtl w:val="0"/>
        </w:rPr>
        <w:t xml:space="preserve">Buildings</w:t>
      </w:r>
      <w:r w:rsidDel="00000000" w:rsidR="00000000" w:rsidRPr="00000000">
        <w:rPr>
          <w:rtl w:val="0"/>
        </w:rPr>
        <w:t xml:space="preserve">, [online] 13(8), p.2046. doi: </w:t>
      </w:r>
      <w:hyperlink r:id="rId7">
        <w:r w:rsidDel="00000000" w:rsidR="00000000" w:rsidRPr="00000000">
          <w:rPr>
            <w:color w:val="0563c1"/>
            <w:u w:val="single"/>
            <w:rtl w:val="0"/>
          </w:rPr>
          <w:t xml:space="preserve">https://doi.org/10.3390/buildings13082046</w:t>
        </w:r>
      </w:hyperlink>
      <w:r w:rsidDel="00000000" w:rsidR="00000000" w:rsidRPr="00000000">
        <w:rPr>
          <w:rtl w:val="0"/>
        </w:rPr>
        <w:t xml:space="preserve"> [Accessed 22 Apr. 2024].</w:t>
      </w:r>
    </w:p>
    <w:p w:rsidR="00000000" w:rsidDel="00000000" w:rsidP="00000000" w:rsidRDefault="00000000" w:rsidRPr="00000000" w14:paraId="00000041">
      <w:pPr>
        <w:ind w:left="720" w:hanging="720"/>
        <w:rPr/>
      </w:pPr>
      <w:r w:rsidDel="00000000" w:rsidR="00000000" w:rsidRPr="00000000">
        <w:rPr>
          <w:rtl w:val="0"/>
        </w:rPr>
        <w:t xml:space="preserve">Bloomberg (2024). Nomura-Backed Venture Wants to Buy Barings Assets After Poaching Team. </w:t>
      </w:r>
      <w:r w:rsidDel="00000000" w:rsidR="00000000" w:rsidRPr="00000000">
        <w:rPr>
          <w:i w:val="1"/>
          <w:rtl w:val="0"/>
        </w:rPr>
        <w:t xml:space="preserve">Bloomberg.com</w:t>
      </w:r>
      <w:r w:rsidDel="00000000" w:rsidR="00000000" w:rsidRPr="00000000">
        <w:rPr>
          <w:rtl w:val="0"/>
        </w:rPr>
        <w:t xml:space="preserve">. [online] 15 Mar. Available at: </w:t>
      </w:r>
      <w:hyperlink r:id="rId8">
        <w:r w:rsidDel="00000000" w:rsidR="00000000" w:rsidRPr="00000000">
          <w:rPr>
            <w:color w:val="0563c1"/>
            <w:u w:val="single"/>
            <w:rtl w:val="0"/>
          </w:rPr>
          <w:t xml:space="preserve">https://www.bloomberg.com/news/articles/2024-03-15/corinthia-approached-barings-to-buy-assets-manage-portfolios</w:t>
        </w:r>
      </w:hyperlink>
      <w:r w:rsidDel="00000000" w:rsidR="00000000" w:rsidRPr="00000000">
        <w:rPr>
          <w:rtl w:val="0"/>
        </w:rPr>
        <w:t xml:space="preserve"> [Accessed 22 Apr. 2024].</w:t>
      </w:r>
    </w:p>
    <w:p w:rsidR="00000000" w:rsidDel="00000000" w:rsidP="00000000" w:rsidRDefault="00000000" w:rsidRPr="00000000" w14:paraId="00000042">
      <w:pPr>
        <w:ind w:left="720" w:hanging="720"/>
        <w:rPr/>
      </w:pPr>
      <w:r w:rsidDel="00000000" w:rsidR="00000000" w:rsidRPr="00000000">
        <w:rPr>
          <w:rtl w:val="0"/>
        </w:rPr>
        <w:t xml:space="preserve">Cook, M., Savage, K. and Barge, F. (2023). </w:t>
      </w:r>
      <w:r w:rsidDel="00000000" w:rsidR="00000000" w:rsidRPr="00000000">
        <w:rPr>
          <w:i w:val="1"/>
          <w:rtl w:val="0"/>
        </w:rPr>
        <w:t xml:space="preserve">Linking Executive Pay to Sustainability Goals</w:t>
      </w:r>
      <w:r w:rsidDel="00000000" w:rsidR="00000000" w:rsidRPr="00000000">
        <w:rPr>
          <w:rtl w:val="0"/>
        </w:rPr>
        <w:t xml:space="preserve">. [online] Harvard Business Review. Available at: </w:t>
      </w:r>
      <w:hyperlink r:id="rId9">
        <w:r w:rsidDel="00000000" w:rsidR="00000000" w:rsidRPr="00000000">
          <w:rPr>
            <w:color w:val="0563c1"/>
            <w:u w:val="single"/>
            <w:rtl w:val="0"/>
          </w:rPr>
          <w:t xml:space="preserve">https://hbr.org/2023/02/linking-executive-pay-to-sustainability-goals</w:t>
        </w:r>
      </w:hyperlink>
      <w:r w:rsidDel="00000000" w:rsidR="00000000" w:rsidRPr="00000000">
        <w:rPr>
          <w:rtl w:val="0"/>
        </w:rPr>
        <w:t xml:space="preserve"> [Accessed 22 Apr. 2024].</w:t>
      </w:r>
    </w:p>
    <w:p w:rsidR="00000000" w:rsidDel="00000000" w:rsidP="00000000" w:rsidRDefault="00000000" w:rsidRPr="00000000" w14:paraId="00000043">
      <w:pPr>
        <w:ind w:left="720" w:hanging="720"/>
        <w:rPr/>
      </w:pPr>
      <w:r w:rsidDel="00000000" w:rsidR="00000000" w:rsidRPr="00000000">
        <w:rPr>
          <w:rtl w:val="0"/>
        </w:rPr>
        <w:t xml:space="preserve">CORINTHIA (2022). </w:t>
      </w:r>
      <w:r w:rsidDel="00000000" w:rsidR="00000000" w:rsidRPr="00000000">
        <w:rPr>
          <w:i w:val="1"/>
          <w:rtl w:val="0"/>
        </w:rPr>
        <w:t xml:space="preserve">&amp; Financial Statements</w:t>
      </w:r>
      <w:r w:rsidDel="00000000" w:rsidR="00000000" w:rsidRPr="00000000">
        <w:rPr>
          <w:rtl w:val="0"/>
        </w:rPr>
        <w:t xml:space="preserve">. [online] Available at: </w:t>
      </w:r>
      <w:hyperlink r:id="rId10">
        <w:r w:rsidDel="00000000" w:rsidR="00000000" w:rsidRPr="00000000">
          <w:rPr>
            <w:color w:val="0563c1"/>
            <w:u w:val="single"/>
            <w:rtl w:val="0"/>
          </w:rPr>
          <w:t xml:space="preserve">https://www.corinthiagroup.com/wp-content/uploads/2023/06/37547-CORINTHIA-ANNUAL-REPORT-2022_WEB-min.pdf</w:t>
        </w:r>
      </w:hyperlink>
      <w:r w:rsidDel="00000000" w:rsidR="00000000" w:rsidRPr="00000000">
        <w:rPr>
          <w:rtl w:val="0"/>
        </w:rPr>
        <w:t xml:space="preserve"> [Accessed 22 Apr. 2024].</w:t>
      </w:r>
    </w:p>
    <w:p w:rsidR="00000000" w:rsidDel="00000000" w:rsidP="00000000" w:rsidRDefault="00000000" w:rsidRPr="00000000" w14:paraId="00000044">
      <w:pPr>
        <w:ind w:left="720" w:hanging="720"/>
        <w:rPr/>
      </w:pPr>
      <w:r w:rsidDel="00000000" w:rsidR="00000000" w:rsidRPr="00000000">
        <w:rPr>
          <w:rtl w:val="0"/>
        </w:rPr>
        <w:t xml:space="preserve">FasterCapital (2023a). </w:t>
      </w:r>
      <w:r w:rsidDel="00000000" w:rsidR="00000000" w:rsidRPr="00000000">
        <w:rPr>
          <w:i w:val="1"/>
          <w:rtl w:val="0"/>
        </w:rPr>
        <w:t xml:space="preserve">Assessing Competitive Landscape And Industry Trends</w:t>
      </w:r>
      <w:r w:rsidDel="00000000" w:rsidR="00000000" w:rsidRPr="00000000">
        <w:rPr>
          <w:rtl w:val="0"/>
        </w:rPr>
        <w:t xml:space="preserve">. [online] FasterCapital. Available at: </w:t>
      </w:r>
      <w:hyperlink r:id="rId11">
        <w:r w:rsidDel="00000000" w:rsidR="00000000" w:rsidRPr="00000000">
          <w:rPr>
            <w:color w:val="0563c1"/>
            <w:u w:val="single"/>
            <w:rtl w:val="0"/>
          </w:rPr>
          <w:t xml:space="preserve">https://fastercapital.com/topics/assessing-competitive-landscape-and-industry-trends.html</w:t>
        </w:r>
      </w:hyperlink>
      <w:r w:rsidDel="00000000" w:rsidR="00000000" w:rsidRPr="00000000">
        <w:rPr>
          <w:rtl w:val="0"/>
        </w:rPr>
        <w:t xml:space="preserve"> [Accessed 22 Apr. 2024].</w:t>
      </w:r>
    </w:p>
    <w:p w:rsidR="00000000" w:rsidDel="00000000" w:rsidP="00000000" w:rsidRDefault="00000000" w:rsidRPr="00000000" w14:paraId="00000045">
      <w:pPr>
        <w:ind w:left="720" w:hanging="720"/>
        <w:rPr/>
      </w:pPr>
      <w:r w:rsidDel="00000000" w:rsidR="00000000" w:rsidRPr="00000000">
        <w:rPr>
          <w:rtl w:val="0"/>
        </w:rPr>
        <w:t xml:space="preserve">FasterCapital (2023b). </w:t>
      </w:r>
      <w:r w:rsidDel="00000000" w:rsidR="00000000" w:rsidRPr="00000000">
        <w:rPr>
          <w:i w:val="1"/>
          <w:rtl w:val="0"/>
        </w:rPr>
        <w:t xml:space="preserve">How To Anticipate And Respond To Changes In The Competitive Landscape</w:t>
      </w:r>
      <w:r w:rsidDel="00000000" w:rsidR="00000000" w:rsidRPr="00000000">
        <w:rPr>
          <w:rtl w:val="0"/>
        </w:rPr>
        <w:t xml:space="preserve">. [online] FasterCapital. Available at: </w:t>
      </w:r>
      <w:hyperlink r:id="rId12">
        <w:r w:rsidDel="00000000" w:rsidR="00000000" w:rsidRPr="00000000">
          <w:rPr>
            <w:color w:val="0563c1"/>
            <w:u w:val="single"/>
            <w:rtl w:val="0"/>
          </w:rPr>
          <w:t xml:space="preserve">https://fastercapital.com/questions/how-to-anticipate-and-respond-to-changes-in-the-competitive-landscape.html</w:t>
        </w:r>
      </w:hyperlink>
      <w:r w:rsidDel="00000000" w:rsidR="00000000" w:rsidRPr="00000000">
        <w:rPr>
          <w:rtl w:val="0"/>
        </w:rPr>
        <w:t xml:space="preserve"> [Accessed 22 Apr. 2024].</w:t>
      </w:r>
    </w:p>
    <w:p w:rsidR="00000000" w:rsidDel="00000000" w:rsidP="00000000" w:rsidRDefault="00000000" w:rsidRPr="00000000" w14:paraId="00000046">
      <w:pPr>
        <w:ind w:left="720" w:hanging="720"/>
        <w:rPr/>
      </w:pPr>
      <w:r w:rsidDel="00000000" w:rsidR="00000000" w:rsidRPr="00000000">
        <w:rPr>
          <w:rtl w:val="0"/>
        </w:rPr>
        <w:t xml:space="preserve">FasterCapital (2023c). </w:t>
      </w:r>
      <w:r w:rsidDel="00000000" w:rsidR="00000000" w:rsidRPr="00000000">
        <w:rPr>
          <w:i w:val="1"/>
          <w:rtl w:val="0"/>
        </w:rPr>
        <w:t xml:space="preserve">The Opportunities And Challenges Of Emerging Markets</w:t>
      </w:r>
      <w:r w:rsidDel="00000000" w:rsidR="00000000" w:rsidRPr="00000000">
        <w:rPr>
          <w:rtl w:val="0"/>
        </w:rPr>
        <w:t xml:space="preserve">. [online] FasterCapital. Available at: </w:t>
      </w:r>
      <w:hyperlink r:id="rId13">
        <w:r w:rsidDel="00000000" w:rsidR="00000000" w:rsidRPr="00000000">
          <w:rPr>
            <w:color w:val="0563c1"/>
            <w:u w:val="single"/>
            <w:rtl w:val="0"/>
          </w:rPr>
          <w:t xml:space="preserve">https://fastercapital.com/topics/the-opportunities-and-challenges-of-emerging-markets.html</w:t>
        </w:r>
      </w:hyperlink>
      <w:r w:rsidDel="00000000" w:rsidR="00000000" w:rsidRPr="00000000">
        <w:rPr>
          <w:rtl w:val="0"/>
        </w:rPr>
        <w:t xml:space="preserve"> [Accessed 22 Apr. 2024].</w:t>
      </w:r>
    </w:p>
    <w:p w:rsidR="00000000" w:rsidDel="00000000" w:rsidP="00000000" w:rsidRDefault="00000000" w:rsidRPr="00000000" w14:paraId="00000047">
      <w:pPr>
        <w:ind w:left="720" w:hanging="720"/>
        <w:rPr/>
      </w:pPr>
      <w:r w:rsidDel="00000000" w:rsidR="00000000" w:rsidRPr="00000000">
        <w:rPr>
          <w:rtl w:val="0"/>
        </w:rPr>
        <w:t xml:space="preserve">IBIS (2022). </w:t>
      </w:r>
      <w:r w:rsidDel="00000000" w:rsidR="00000000" w:rsidRPr="00000000">
        <w:rPr>
          <w:i w:val="1"/>
          <w:rtl w:val="0"/>
        </w:rPr>
        <w:t xml:space="preserve">Annual Financial Report Integrated Report</w:t>
      </w:r>
      <w:r w:rsidDel="00000000" w:rsidR="00000000" w:rsidRPr="00000000">
        <w:rPr>
          <w:rtl w:val="0"/>
        </w:rPr>
        <w:t xml:space="preserve">. [online] Available at: </w:t>
      </w:r>
      <w:hyperlink r:id="rId14">
        <w:r w:rsidDel="00000000" w:rsidR="00000000" w:rsidRPr="00000000">
          <w:rPr>
            <w:color w:val="0563c1"/>
            <w:u w:val="single"/>
            <w:rtl w:val="0"/>
          </w:rPr>
          <w:t xml:space="preserve">https://group.accor.com/-/media/Corporate/Investors/Documents-de-reference/ACCOR_DEU2023_MEL_UK.pdf</w:t>
        </w:r>
      </w:hyperlink>
      <w:r w:rsidDel="00000000" w:rsidR="00000000" w:rsidRPr="00000000">
        <w:rPr>
          <w:rtl w:val="0"/>
        </w:rPr>
        <w:t xml:space="preserve"> [Accessed 22 Apr. 2024].</w:t>
      </w:r>
    </w:p>
    <w:p w:rsidR="00000000" w:rsidDel="00000000" w:rsidP="00000000" w:rsidRDefault="00000000" w:rsidRPr="00000000" w14:paraId="00000048">
      <w:pPr>
        <w:ind w:left="720" w:hanging="720"/>
        <w:rPr/>
      </w:pPr>
      <w:r w:rsidDel="00000000" w:rsidR="00000000" w:rsidRPr="00000000">
        <w:rPr>
          <w:rtl w:val="0"/>
        </w:rPr>
        <w:t xml:space="preserve">ResearchGate (2023). </w:t>
      </w:r>
      <w:r w:rsidDel="00000000" w:rsidR="00000000" w:rsidRPr="00000000">
        <w:rPr>
          <w:i w:val="1"/>
          <w:rtl w:val="0"/>
        </w:rPr>
        <w:t xml:space="preserve">(PDF) Strategic Branding in Hospitality: Case of Accor Hotels</w:t>
      </w:r>
      <w:r w:rsidDel="00000000" w:rsidR="00000000" w:rsidRPr="00000000">
        <w:rPr>
          <w:rtl w:val="0"/>
        </w:rPr>
        <w:t xml:space="preserve">. [online] ResearchGate. Available at: </w:t>
      </w:r>
      <w:hyperlink r:id="rId15">
        <w:r w:rsidDel="00000000" w:rsidR="00000000" w:rsidRPr="00000000">
          <w:rPr>
            <w:color w:val="0563c1"/>
            <w:u w:val="single"/>
            <w:rtl w:val="0"/>
          </w:rPr>
          <w:t xml:space="preserve">https://www.researchgate.net/publication/306022879_Strategic_Branding_in_Hospitality_Case_of_Accor_Hotels</w:t>
        </w:r>
      </w:hyperlink>
      <w:r w:rsidDel="00000000" w:rsidR="00000000" w:rsidRPr="00000000">
        <w:rPr>
          <w:rtl w:val="0"/>
        </w:rPr>
        <w:t xml:space="preserve"> [Accessed 22 Apr. 2024].</w:t>
      </w:r>
    </w:p>
    <w:p w:rsidR="00000000" w:rsidDel="00000000" w:rsidP="00000000" w:rsidRDefault="00000000" w:rsidRPr="00000000" w14:paraId="00000049">
      <w:pPr>
        <w:ind w:left="720" w:hanging="720"/>
        <w:rPr/>
      </w:pPr>
      <w:r w:rsidDel="00000000" w:rsidR="00000000" w:rsidRPr="00000000">
        <w:rPr>
          <w:rtl w:val="0"/>
        </w:rPr>
        <w:t xml:space="preserve">Santosh (2023). </w:t>
      </w:r>
      <w:r w:rsidDel="00000000" w:rsidR="00000000" w:rsidRPr="00000000">
        <w:rPr>
          <w:i w:val="1"/>
          <w:rtl w:val="0"/>
        </w:rPr>
        <w:t xml:space="preserve">The Business Environment in Emerging Markets: A Landscape of Opportunities and Challenges</w:t>
      </w:r>
      <w:r w:rsidDel="00000000" w:rsidR="00000000" w:rsidRPr="00000000">
        <w:rPr>
          <w:rtl w:val="0"/>
        </w:rPr>
        <w:t xml:space="preserve">. [online] Available at: </w:t>
      </w:r>
      <w:hyperlink r:id="rId16">
        <w:r w:rsidDel="00000000" w:rsidR="00000000" w:rsidRPr="00000000">
          <w:rPr>
            <w:color w:val="0563c1"/>
            <w:u w:val="single"/>
            <w:rtl w:val="0"/>
          </w:rPr>
          <w:t xml:space="preserve">https://www.linkedin.com/pulse/business-environment-emerging-markets-landscape-opportunities-g-iq4mc</w:t>
        </w:r>
      </w:hyperlink>
      <w:r w:rsidDel="00000000" w:rsidR="00000000" w:rsidRPr="00000000">
        <w:rPr>
          <w:rtl w:val="0"/>
        </w:rPr>
        <w:t xml:space="preserve"> [Accessed 22 Apr. 2024].</w:t>
      </w:r>
    </w:p>
    <w:p w:rsidR="00000000" w:rsidDel="00000000" w:rsidP="00000000" w:rsidRDefault="00000000" w:rsidRPr="00000000" w14:paraId="0000004A">
      <w:pPr>
        <w:ind w:left="720" w:hanging="720"/>
        <w:rPr/>
      </w:pPr>
      <w:r w:rsidDel="00000000" w:rsidR="00000000" w:rsidRPr="00000000">
        <w:rPr>
          <w:rtl w:val="0"/>
        </w:rPr>
        <w:t xml:space="preserve">Seth, S. (2019). </w:t>
      </w:r>
      <w:r w:rsidDel="00000000" w:rsidR="00000000" w:rsidRPr="00000000">
        <w:rPr>
          <w:i w:val="1"/>
          <w:rtl w:val="0"/>
        </w:rPr>
        <w:t xml:space="preserve">Business Development: The Basics</w:t>
      </w:r>
      <w:r w:rsidDel="00000000" w:rsidR="00000000" w:rsidRPr="00000000">
        <w:rPr>
          <w:rtl w:val="0"/>
        </w:rPr>
        <w:t xml:space="preserve">. [online] Investopedia. Available at: </w:t>
      </w:r>
      <w:hyperlink r:id="rId17">
        <w:r w:rsidDel="00000000" w:rsidR="00000000" w:rsidRPr="00000000">
          <w:rPr>
            <w:color w:val="0563c1"/>
            <w:u w:val="single"/>
            <w:rtl w:val="0"/>
          </w:rPr>
          <w:t xml:space="preserve">https://www.investopedia.com/articles/personal-finance/090815/basics-business-development.asp</w:t>
        </w:r>
      </w:hyperlink>
      <w:r w:rsidDel="00000000" w:rsidR="00000000" w:rsidRPr="00000000">
        <w:rPr>
          <w:rtl w:val="0"/>
        </w:rPr>
        <w:t xml:space="preserve"> [Accessed 22 Apr. 2024].</w:t>
      </w:r>
    </w:p>
    <w:p w:rsidR="00000000" w:rsidDel="00000000" w:rsidP="00000000" w:rsidRDefault="00000000" w:rsidRPr="00000000" w14:paraId="0000004B">
      <w:pPr>
        <w:ind w:left="720" w:hanging="720"/>
        <w:rPr/>
      </w:pPr>
      <w:r w:rsidDel="00000000" w:rsidR="00000000" w:rsidRPr="00000000">
        <w:rPr>
          <w:rtl w:val="0"/>
        </w:rPr>
        <w:t xml:space="preserve">United Nations (2023). </w:t>
      </w:r>
      <w:r w:rsidDel="00000000" w:rsidR="00000000" w:rsidRPr="00000000">
        <w:rPr>
          <w:i w:val="1"/>
          <w:rtl w:val="0"/>
        </w:rPr>
        <w:t xml:space="preserve">Global strategic institute for sustainable development | department of economic and social affairs</w:t>
      </w:r>
      <w:r w:rsidDel="00000000" w:rsidR="00000000" w:rsidRPr="00000000">
        <w:rPr>
          <w:rtl w:val="0"/>
        </w:rPr>
        <w:t xml:space="preserve">. [online] sdgs.un.org. Available at: </w:t>
      </w:r>
      <w:hyperlink r:id="rId18">
        <w:r w:rsidDel="00000000" w:rsidR="00000000" w:rsidRPr="00000000">
          <w:rPr>
            <w:color w:val="0563c1"/>
            <w:u w:val="single"/>
            <w:rtl w:val="0"/>
          </w:rPr>
          <w:t xml:space="preserve">https://sdgs.un.org/partnerships/global-strategic-institute-sustainable-development</w:t>
        </w:r>
      </w:hyperlink>
      <w:r w:rsidDel="00000000" w:rsidR="00000000" w:rsidRPr="00000000">
        <w:rPr>
          <w:rtl w:val="0"/>
        </w:rPr>
        <w:t xml:space="preserve"> [Accessed 22 Apr. 2024].</w:t>
      </w:r>
    </w:p>
    <w:p w:rsidR="00000000" w:rsidDel="00000000" w:rsidP="00000000" w:rsidRDefault="00000000" w:rsidRPr="00000000" w14:paraId="0000004C">
      <w:pPr>
        <w:ind w:left="720" w:hanging="72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sz w:val="32"/>
      <w:szCs w:val="32"/>
    </w:rPr>
  </w:style>
  <w:style w:type="paragraph" w:styleId="Heading2">
    <w:name w:val="heading 2"/>
    <w:basedOn w:val="Normal"/>
    <w:next w:val="Normal"/>
    <w:pPr>
      <w:keepNext w:val="1"/>
      <w:keepLines w:val="1"/>
      <w:spacing w:after="0" w:before="40" w:lineRule="auto"/>
    </w:pPr>
    <w:rPr>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fastercapital.com/topics/assessing-competitive-landscape-and-industry-trends.html" TargetMode="External"/><Relationship Id="rId10" Type="http://schemas.openxmlformats.org/officeDocument/2006/relationships/hyperlink" Target="https://www.corinthiagroup.com/wp-content/uploads/2023/06/37547-CORINTHIA-ANNUAL-REPORT-2022_WEB-min.pdf" TargetMode="External"/><Relationship Id="rId13" Type="http://schemas.openxmlformats.org/officeDocument/2006/relationships/hyperlink" Target="https://fastercapital.com/topics/the-opportunities-and-challenges-of-emerging-markets.html" TargetMode="External"/><Relationship Id="rId12" Type="http://schemas.openxmlformats.org/officeDocument/2006/relationships/hyperlink" Target="https://fastercapital.com/questions/how-to-anticipate-and-respond-to-changes-in-the-competitive-landscape.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br.org/2023/02/linking-executive-pay-to-sustainability-goals" TargetMode="External"/><Relationship Id="rId15" Type="http://schemas.openxmlformats.org/officeDocument/2006/relationships/hyperlink" Target="https://www.researchgate.net/publication/306022879_Strategic_Branding_in_Hospitality_Case_of_Accor_Hotels" TargetMode="External"/><Relationship Id="rId14" Type="http://schemas.openxmlformats.org/officeDocument/2006/relationships/hyperlink" Target="https://group.accor.com/-/media/Corporate/Investors/Documents-de-reference/ACCOR_DEU2023_MEL_UK.pdf" TargetMode="External"/><Relationship Id="rId17" Type="http://schemas.openxmlformats.org/officeDocument/2006/relationships/hyperlink" Target="https://www.investopedia.com/articles/personal-finance/090815/basics-business-development.asp" TargetMode="External"/><Relationship Id="rId16" Type="http://schemas.openxmlformats.org/officeDocument/2006/relationships/hyperlink" Target="https://www.linkedin.com/pulse/business-environment-emerging-markets-landscape-opportunities-g-iq4mc" TargetMode="External"/><Relationship Id="rId5" Type="http://schemas.openxmlformats.org/officeDocument/2006/relationships/styles" Target="styles.xml"/><Relationship Id="rId6" Type="http://schemas.openxmlformats.org/officeDocument/2006/relationships/hyperlink" Target="https://www.accaglobal.com/gb/en/student/exam-support-resources/professional-exams-study-resources/p5/technical-articles/sustainability.html" TargetMode="External"/><Relationship Id="rId18" Type="http://schemas.openxmlformats.org/officeDocument/2006/relationships/hyperlink" Target="https://sdgs.un.org/partnerships/global-strategic-institute-sustainable-development" TargetMode="External"/><Relationship Id="rId7" Type="http://schemas.openxmlformats.org/officeDocument/2006/relationships/hyperlink" Target="https://doi.org/10.3390/buildings13082046" TargetMode="External"/><Relationship Id="rId8" Type="http://schemas.openxmlformats.org/officeDocument/2006/relationships/hyperlink" Target="https://www.bloomberg.com/news/articles/2024-03-15/corinthia-approached-barings-to-buy-assets-manage-portfol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