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E63D7" w14:textId="2AFEAAFE" w:rsidR="00AC3E98" w:rsidRPr="00FD73B4" w:rsidRDefault="00564FF0" w:rsidP="00AC3E98">
      <w:pPr>
        <w:spacing w:before="100" w:beforeAutospacing="1" w:after="100" w:afterAutospacing="1" w:line="360" w:lineRule="auto"/>
        <w:outlineLvl w:val="0"/>
        <w:rPr>
          <w:rFonts w:ascii="Arial" w:eastAsia="Times New Roman" w:hAnsi="Arial" w:cs="Arial"/>
          <w:b/>
          <w:bCs/>
          <w:kern w:val="36"/>
          <w:sz w:val="36"/>
          <w:szCs w:val="36"/>
        </w:rPr>
      </w:pPr>
      <w:r w:rsidRPr="00FD73B4">
        <w:rPr>
          <w:rFonts w:ascii="Arial" w:eastAsia="Times New Roman" w:hAnsi="Arial" w:cs="Arial"/>
          <w:b/>
          <w:bCs/>
          <w:kern w:val="36"/>
          <w:sz w:val="36"/>
          <w:szCs w:val="36"/>
        </w:rPr>
        <w:t xml:space="preserve">     </w:t>
      </w:r>
      <w:r w:rsidRPr="00FD73B4">
        <w:rPr>
          <w:rFonts w:ascii="Arial" w:hAnsi="Arial" w:cs="Arial"/>
          <w:noProof/>
          <w:sz w:val="36"/>
          <w:szCs w:val="36"/>
        </w:rPr>
        <w:drawing>
          <wp:inline distT="0" distB="0" distL="0" distR="0" wp14:anchorId="3D513836" wp14:editId="0A2874D0">
            <wp:extent cx="4100195" cy="1356995"/>
            <wp:effectExtent l="114300" t="457200" r="90805" b="471805"/>
            <wp:docPr id="22" name="image20.pn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20.png" descr="A close up of black text&#10;&#10;AI-generated content may be incorrect."/>
                    <pic:cNvPicPr/>
                  </pic:nvPicPr>
                  <pic:blipFill>
                    <a:blip r:embed="rId7"/>
                    <a:srcRect/>
                    <a:stretch>
                      <a:fillRect/>
                    </a:stretch>
                  </pic:blipFill>
                  <pic:spPr>
                    <a:xfrm>
                      <a:off x="0" y="0"/>
                      <a:ext cx="4100195" cy="1356995"/>
                    </a:xfrm>
                    <a:prstGeom prst="rect">
                      <a:avLst/>
                    </a:prstGeom>
                    <a:ln/>
                  </pic:spPr>
                </pic:pic>
              </a:graphicData>
            </a:graphic>
          </wp:inline>
        </w:drawing>
      </w:r>
    </w:p>
    <w:p w14:paraId="48B9130E" w14:textId="7ADFCF68" w:rsidR="00AC3E98" w:rsidRPr="00FD73B4" w:rsidRDefault="00AC3E98" w:rsidP="00C46A63">
      <w:pPr>
        <w:spacing w:before="100" w:beforeAutospacing="1" w:after="100" w:afterAutospacing="1" w:line="360" w:lineRule="auto"/>
        <w:outlineLvl w:val="0"/>
        <w:rPr>
          <w:rFonts w:ascii="Arial" w:eastAsia="Times New Roman" w:hAnsi="Arial" w:cs="Arial"/>
          <w:b/>
          <w:bCs/>
          <w:kern w:val="36"/>
          <w:sz w:val="36"/>
          <w:szCs w:val="36"/>
        </w:rPr>
      </w:pPr>
      <w:r w:rsidRPr="00FD73B4">
        <w:rPr>
          <w:rFonts w:ascii="Arial" w:eastAsia="Times New Roman" w:hAnsi="Arial" w:cs="Arial"/>
          <w:b/>
          <w:bCs/>
          <w:kern w:val="2"/>
          <w:sz w:val="36"/>
          <w:szCs w:val="36"/>
          <w:lang w:val="en-GB" w:eastAsia="zh-CN"/>
          <w14:ligatures w14:val="standardContextual"/>
        </w:rPr>
        <w:t xml:space="preserve">The impact of lifestyle behaviours, dietary patterns, and physical activity on stroke incidence among adults in the United </w:t>
      </w:r>
      <w:r w:rsidR="004613A3" w:rsidRPr="00FD73B4">
        <w:rPr>
          <w:rFonts w:ascii="Arial" w:eastAsia="Times New Roman" w:hAnsi="Arial" w:cs="Arial"/>
          <w:b/>
          <w:bCs/>
          <w:kern w:val="2"/>
          <w:sz w:val="36"/>
          <w:szCs w:val="36"/>
          <w:lang w:val="en-GB" w:eastAsia="zh-CN"/>
          <w14:ligatures w14:val="standardContextual"/>
        </w:rPr>
        <w:t>Kingdom:</w:t>
      </w:r>
      <w:r w:rsidRPr="00FD73B4">
        <w:rPr>
          <w:rFonts w:ascii="Arial" w:eastAsia="Times New Roman" w:hAnsi="Arial" w:cs="Arial"/>
          <w:kern w:val="2"/>
          <w:sz w:val="36"/>
          <w:szCs w:val="36"/>
          <w:lang w:val="en-GB" w:eastAsia="zh-CN"/>
          <w14:ligatures w14:val="standardContextual"/>
        </w:rPr>
        <w:t xml:space="preserve"> </w:t>
      </w:r>
      <w:r w:rsidRPr="00FD73B4">
        <w:rPr>
          <w:rFonts w:ascii="Arial" w:eastAsia="Times New Roman" w:hAnsi="Arial" w:cs="Arial"/>
          <w:b/>
          <w:bCs/>
          <w:kern w:val="2"/>
          <w:sz w:val="36"/>
          <w:szCs w:val="36"/>
          <w:lang w:val="en-GB" w:eastAsia="zh-CN"/>
          <w14:ligatures w14:val="standardContextual"/>
        </w:rPr>
        <w:t>A Systematic Literature Review</w:t>
      </w:r>
      <w:r w:rsidR="00C46A63" w:rsidRPr="00FD73B4">
        <w:rPr>
          <w:rFonts w:ascii="Arial" w:eastAsia="Times New Roman" w:hAnsi="Arial" w:cs="Arial"/>
          <w:b/>
          <w:bCs/>
          <w:kern w:val="2"/>
          <w:sz w:val="36"/>
          <w:szCs w:val="36"/>
          <w:lang w:val="en-GB" w:eastAsia="zh-CN"/>
          <w14:ligatures w14:val="standardContextual"/>
        </w:rPr>
        <w:t>.</w:t>
      </w:r>
    </w:p>
    <w:p w14:paraId="0F90D9E7" w14:textId="3A982C14" w:rsidR="00AC3E98" w:rsidRPr="00FD73B4" w:rsidRDefault="00AC3E98" w:rsidP="00C46A63">
      <w:pPr>
        <w:spacing w:after="42" w:line="256" w:lineRule="auto"/>
        <w:ind w:left="89"/>
        <w:jc w:val="center"/>
        <w:rPr>
          <w:rFonts w:ascii="Arial" w:eastAsia="Times New Roman" w:hAnsi="Arial" w:cs="Arial"/>
          <w:kern w:val="2"/>
          <w:lang w:val="en-GB" w:eastAsia="zh-CN"/>
          <w14:ligatures w14:val="standardContextual"/>
        </w:rPr>
      </w:pPr>
      <w:r w:rsidRPr="00FD73B4">
        <w:rPr>
          <w:rFonts w:ascii="Arial" w:eastAsia="Times New Roman" w:hAnsi="Arial" w:cs="Arial"/>
          <w:kern w:val="2"/>
          <w:sz w:val="36"/>
          <w:lang w:val="en-GB" w:eastAsia="zh-CN"/>
          <w14:ligatures w14:val="standardContextual"/>
        </w:rPr>
        <w:t xml:space="preserve"> </w:t>
      </w:r>
    </w:p>
    <w:p w14:paraId="0AF0E816" w14:textId="77777777" w:rsidR="008632B0" w:rsidRPr="00FD73B4" w:rsidRDefault="008632B0" w:rsidP="00AC3E98">
      <w:pPr>
        <w:spacing w:after="158" w:line="256" w:lineRule="auto"/>
        <w:ind w:left="59"/>
        <w:jc w:val="center"/>
        <w:rPr>
          <w:rFonts w:ascii="Arial" w:eastAsia="Times New Roman" w:hAnsi="Arial" w:cs="Arial"/>
          <w:b/>
          <w:bCs/>
          <w:color w:val="000000" w:themeColor="text1"/>
          <w:kern w:val="2"/>
          <w:sz w:val="36"/>
          <w:szCs w:val="36"/>
          <w:lang w:val="hr-HR" w:eastAsia="zh-CN"/>
          <w14:ligatures w14:val="standardContextual"/>
        </w:rPr>
      </w:pPr>
    </w:p>
    <w:p w14:paraId="59255E88" w14:textId="1F38BF95" w:rsidR="00C46A63" w:rsidRPr="00FD73B4" w:rsidRDefault="008632B0" w:rsidP="008632B0">
      <w:pPr>
        <w:spacing w:after="158" w:line="256" w:lineRule="auto"/>
        <w:rPr>
          <w:rFonts w:ascii="Arial" w:eastAsia="Times New Roman" w:hAnsi="Arial" w:cs="Arial"/>
          <w:b/>
          <w:bCs/>
          <w:kern w:val="2"/>
          <w:sz w:val="36"/>
          <w:szCs w:val="36"/>
          <w:lang w:val="hr-HR" w:eastAsia="zh-CN"/>
          <w14:ligatures w14:val="standardContextual"/>
        </w:rPr>
      </w:pPr>
      <w:r w:rsidRPr="00FD73B4">
        <w:rPr>
          <w:rFonts w:ascii="Arial" w:eastAsia="Times New Roman" w:hAnsi="Arial" w:cs="Arial"/>
          <w:b/>
          <w:bCs/>
          <w:color w:val="000000" w:themeColor="text1"/>
          <w:kern w:val="2"/>
          <w:sz w:val="36"/>
          <w:szCs w:val="36"/>
          <w:lang w:val="hr-HR" w:eastAsia="zh-CN"/>
          <w14:ligatures w14:val="standardContextual"/>
        </w:rPr>
        <w:t xml:space="preserve">                     </w:t>
      </w:r>
      <w:r w:rsidR="00AC3E98" w:rsidRPr="00FD73B4">
        <w:rPr>
          <w:rFonts w:ascii="Arial" w:eastAsia="Times New Roman" w:hAnsi="Arial" w:cs="Arial"/>
          <w:b/>
          <w:bCs/>
          <w:color w:val="000000" w:themeColor="text1"/>
          <w:kern w:val="2"/>
          <w:sz w:val="36"/>
          <w:szCs w:val="36"/>
          <w:lang w:val="hr-HR" w:eastAsia="zh-CN"/>
          <w14:ligatures w14:val="standardContextual"/>
        </w:rPr>
        <w:t>Mahmudul hasan Rakib</w:t>
      </w:r>
      <w:r w:rsidR="00AC3E98" w:rsidRPr="00FD73B4">
        <w:rPr>
          <w:rFonts w:ascii="Arial" w:eastAsia="Times New Roman" w:hAnsi="Arial" w:cs="Arial"/>
          <w:b/>
          <w:bCs/>
          <w:kern w:val="2"/>
          <w:sz w:val="36"/>
          <w:szCs w:val="36"/>
          <w:lang w:val="hr-HR" w:eastAsia="zh-CN"/>
          <w14:ligatures w14:val="standardContextual"/>
        </w:rPr>
        <w:t xml:space="preserve"> </w:t>
      </w:r>
    </w:p>
    <w:p w14:paraId="43043BD3" w14:textId="09A86D8A" w:rsidR="00AC3E98" w:rsidRPr="00FD73B4" w:rsidRDefault="00E61E92" w:rsidP="00AC3E98">
      <w:pPr>
        <w:spacing w:after="158" w:line="256" w:lineRule="auto"/>
        <w:ind w:left="59"/>
        <w:jc w:val="center"/>
        <w:rPr>
          <w:rFonts w:ascii="Arial" w:eastAsia="Times New Roman" w:hAnsi="Arial" w:cs="Arial"/>
          <w:b/>
          <w:bCs/>
          <w:kern w:val="2"/>
          <w:sz w:val="36"/>
          <w:szCs w:val="36"/>
          <w:lang w:val="en-GB" w:eastAsia="zh-CN"/>
          <w14:ligatures w14:val="standardContextual"/>
        </w:rPr>
      </w:pPr>
      <w:r w:rsidRPr="00FD73B4">
        <w:rPr>
          <w:rFonts w:ascii="Arial" w:eastAsia="Times New Roman" w:hAnsi="Arial" w:cs="Arial"/>
          <w:b/>
          <w:bCs/>
          <w:kern w:val="2"/>
          <w:sz w:val="36"/>
          <w:szCs w:val="36"/>
          <w:lang w:val="hr-HR" w:eastAsia="zh-CN"/>
          <w14:ligatures w14:val="standardContextual"/>
        </w:rPr>
        <w:t>(2330297)</w:t>
      </w:r>
    </w:p>
    <w:p w14:paraId="1477DD61" w14:textId="77777777" w:rsidR="00AC3E98" w:rsidRPr="00FD73B4" w:rsidRDefault="00AC3E98" w:rsidP="00AC3E98">
      <w:pPr>
        <w:spacing w:after="156" w:line="256" w:lineRule="auto"/>
        <w:ind w:left="59"/>
        <w:jc w:val="center"/>
        <w:rPr>
          <w:rFonts w:ascii="Arial" w:eastAsia="Times New Roman" w:hAnsi="Arial" w:cs="Arial"/>
          <w:kern w:val="2"/>
          <w:sz w:val="36"/>
          <w:szCs w:val="36"/>
          <w:lang w:val="en-GB" w:eastAsia="zh-CN"/>
          <w14:ligatures w14:val="standardContextual"/>
        </w:rPr>
      </w:pPr>
      <w:r w:rsidRPr="00FD73B4">
        <w:rPr>
          <w:rFonts w:ascii="Arial" w:eastAsia="Times New Roman" w:hAnsi="Arial" w:cs="Arial"/>
          <w:kern w:val="2"/>
          <w:sz w:val="36"/>
          <w:szCs w:val="36"/>
          <w:lang w:val="en-GB" w:eastAsia="zh-CN"/>
          <w14:ligatures w14:val="standardContextual"/>
        </w:rPr>
        <w:t xml:space="preserve"> </w:t>
      </w:r>
    </w:p>
    <w:p w14:paraId="144A6BD4" w14:textId="22D358FF" w:rsidR="00AC3E98" w:rsidRPr="00FD73B4" w:rsidRDefault="00AC3E98" w:rsidP="008632B0">
      <w:pPr>
        <w:spacing w:after="158" w:line="256" w:lineRule="auto"/>
        <w:ind w:left="59"/>
        <w:rPr>
          <w:rFonts w:ascii="Arial" w:eastAsia="Times New Roman" w:hAnsi="Arial" w:cs="Arial"/>
          <w:kern w:val="2"/>
          <w:lang w:val="en-GB" w:eastAsia="zh-CN"/>
          <w14:ligatures w14:val="standardContextual"/>
        </w:rPr>
      </w:pPr>
      <w:r w:rsidRPr="00FD73B4">
        <w:rPr>
          <w:rFonts w:ascii="Arial" w:eastAsia="Times New Roman" w:hAnsi="Arial" w:cs="Arial"/>
          <w:kern w:val="2"/>
          <w:sz w:val="24"/>
          <w:szCs w:val="24"/>
          <w:lang w:val="en-GB" w:eastAsia="zh-CN"/>
          <w14:ligatures w14:val="standardContextual"/>
        </w:rPr>
        <w:t xml:space="preserve">A Dissertation submitted in partial fulfilment of the requirements for the degree of </w:t>
      </w:r>
      <w:r w:rsidR="00550147" w:rsidRPr="00FD73B4">
        <w:rPr>
          <w:rFonts w:ascii="Arial" w:eastAsia="Times New Roman" w:hAnsi="Arial" w:cs="Arial"/>
          <w:kern w:val="2"/>
          <w:sz w:val="24"/>
          <w:szCs w:val="24"/>
          <w:lang w:val="en-GB" w:eastAsia="zh-CN"/>
          <w14:ligatures w14:val="standardContextual"/>
        </w:rPr>
        <w:t>Master of Science</w:t>
      </w:r>
      <w:r w:rsidRPr="00FD73B4">
        <w:rPr>
          <w:rFonts w:ascii="Arial" w:eastAsia="Times New Roman" w:hAnsi="Arial" w:cs="Arial"/>
          <w:kern w:val="2"/>
          <w:sz w:val="24"/>
          <w:szCs w:val="24"/>
          <w:lang w:val="en-GB" w:eastAsia="zh-CN"/>
          <w14:ligatures w14:val="standardContextual"/>
        </w:rPr>
        <w:t xml:space="preserve"> in Public Health and Social Care in Practice</w:t>
      </w:r>
    </w:p>
    <w:p w14:paraId="48FDF669" w14:textId="77777777" w:rsidR="008632B0" w:rsidRPr="00FD73B4" w:rsidRDefault="008632B0" w:rsidP="008632B0">
      <w:pPr>
        <w:spacing w:after="157" w:line="360" w:lineRule="auto"/>
        <w:ind w:left="2367" w:right="2357"/>
        <w:jc w:val="center"/>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 xml:space="preserve">                                                  </w:t>
      </w:r>
    </w:p>
    <w:p w14:paraId="63375354" w14:textId="258178AD" w:rsidR="00AC3E98" w:rsidRPr="00FD73B4" w:rsidRDefault="008632B0" w:rsidP="008632B0">
      <w:pPr>
        <w:spacing w:after="157" w:line="360" w:lineRule="auto"/>
        <w:ind w:right="2357"/>
        <w:jc w:val="center"/>
        <w:rPr>
          <w:rFonts w:ascii="Arial" w:eastAsia="Times New Roman" w:hAnsi="Arial" w:cs="Arial"/>
          <w:b/>
          <w:bCs/>
          <w:kern w:val="2"/>
          <w:sz w:val="24"/>
          <w:szCs w:val="24"/>
          <w:lang w:val="en-GB" w:eastAsia="zh-CN"/>
          <w14:ligatures w14:val="standardContextual"/>
        </w:rPr>
      </w:pPr>
      <w:r w:rsidRPr="00FD73B4">
        <w:rPr>
          <w:rFonts w:ascii="Arial" w:eastAsia="Times New Roman" w:hAnsi="Arial" w:cs="Arial"/>
          <w:b/>
          <w:bCs/>
          <w:kern w:val="2"/>
          <w:sz w:val="24"/>
          <w:szCs w:val="24"/>
          <w:lang w:val="en-GB" w:eastAsia="zh-CN"/>
          <w14:ligatures w14:val="standardContextual"/>
        </w:rPr>
        <w:t xml:space="preserve">                             </w:t>
      </w:r>
      <w:r w:rsidR="00AC3E98" w:rsidRPr="00FD73B4">
        <w:rPr>
          <w:rFonts w:ascii="Arial" w:eastAsia="Times New Roman" w:hAnsi="Arial" w:cs="Arial"/>
          <w:b/>
          <w:bCs/>
          <w:kern w:val="2"/>
          <w:sz w:val="24"/>
          <w:szCs w:val="24"/>
          <w:lang w:val="en-GB" w:eastAsia="zh-CN"/>
          <w14:ligatures w14:val="standardContextual"/>
        </w:rPr>
        <w:t>The Institute of Inner-City Learning</w:t>
      </w:r>
    </w:p>
    <w:p w14:paraId="5C849BED" w14:textId="77777777" w:rsidR="00AC3E98" w:rsidRPr="00FD73B4" w:rsidRDefault="00AC3E98" w:rsidP="008632B0">
      <w:pPr>
        <w:spacing w:after="169" w:line="360" w:lineRule="auto"/>
        <w:jc w:val="center"/>
        <w:rPr>
          <w:rFonts w:ascii="Arial" w:eastAsia="Times New Roman" w:hAnsi="Arial" w:cs="Arial"/>
          <w:b/>
          <w:bCs/>
          <w:kern w:val="2"/>
          <w:sz w:val="24"/>
          <w:szCs w:val="24"/>
          <w:lang w:val="en-GB" w:eastAsia="zh-CN"/>
          <w14:ligatures w14:val="standardContextual"/>
        </w:rPr>
      </w:pPr>
      <w:r w:rsidRPr="00FD73B4">
        <w:rPr>
          <w:rFonts w:ascii="Arial" w:eastAsia="Times New Roman" w:hAnsi="Arial" w:cs="Arial"/>
          <w:b/>
          <w:bCs/>
          <w:kern w:val="2"/>
          <w:sz w:val="24"/>
          <w:szCs w:val="24"/>
          <w:lang w:val="en-GB" w:eastAsia="zh-CN"/>
          <w14:ligatures w14:val="standardContextual"/>
        </w:rPr>
        <w:t>University of Wales Trinity Saint David – Birmingham Campus</w:t>
      </w:r>
    </w:p>
    <w:p w14:paraId="48E362FD" w14:textId="77777777" w:rsidR="008632B0" w:rsidRPr="00FD73B4" w:rsidRDefault="008632B0" w:rsidP="008632B0">
      <w:pPr>
        <w:spacing w:after="157" w:line="360" w:lineRule="auto"/>
        <w:ind w:right="2357"/>
        <w:rPr>
          <w:rFonts w:ascii="Arial" w:eastAsia="Times New Roman" w:hAnsi="Arial" w:cs="Arial"/>
          <w:b/>
          <w:bCs/>
          <w:kern w:val="2"/>
          <w:sz w:val="24"/>
          <w:szCs w:val="24"/>
          <w:lang w:val="en-GB" w:eastAsia="zh-CN"/>
          <w14:ligatures w14:val="standardContextual"/>
        </w:rPr>
      </w:pPr>
      <w:bookmarkStart w:id="0" w:name="_Hlk218526973"/>
    </w:p>
    <w:p w14:paraId="36ACCE80" w14:textId="50672301" w:rsidR="00AC3E98" w:rsidRPr="00FD73B4" w:rsidRDefault="008632B0" w:rsidP="008632B0">
      <w:pPr>
        <w:spacing w:after="157" w:line="360" w:lineRule="auto"/>
        <w:ind w:right="2357"/>
        <w:rPr>
          <w:rFonts w:ascii="Arial" w:eastAsia="Times New Roman" w:hAnsi="Arial" w:cs="Arial"/>
          <w:b/>
          <w:bCs/>
          <w:kern w:val="2"/>
          <w:sz w:val="24"/>
          <w:szCs w:val="24"/>
          <w:lang w:val="en-GB" w:eastAsia="zh-CN"/>
          <w14:ligatures w14:val="standardContextual"/>
        </w:rPr>
      </w:pPr>
      <w:r w:rsidRPr="00FD73B4">
        <w:rPr>
          <w:rFonts w:ascii="Arial" w:eastAsia="Times New Roman" w:hAnsi="Arial" w:cs="Arial"/>
          <w:b/>
          <w:bCs/>
          <w:kern w:val="2"/>
          <w:sz w:val="24"/>
          <w:szCs w:val="24"/>
          <w:lang w:val="en-GB" w:eastAsia="zh-CN"/>
          <w14:ligatures w14:val="standardContextual"/>
        </w:rPr>
        <w:t xml:space="preserve">                                                  </w:t>
      </w:r>
      <w:r w:rsidR="00AC3E98" w:rsidRPr="00FD73B4">
        <w:rPr>
          <w:rFonts w:ascii="Arial" w:eastAsia="Times New Roman" w:hAnsi="Arial" w:cs="Arial"/>
          <w:b/>
          <w:bCs/>
          <w:kern w:val="2"/>
          <w:sz w:val="24"/>
          <w:szCs w:val="24"/>
          <w:lang w:val="en-GB" w:eastAsia="zh-CN"/>
          <w14:ligatures w14:val="standardContextual"/>
        </w:rPr>
        <w:t>January 2026</w:t>
      </w:r>
    </w:p>
    <w:bookmarkEnd w:id="0"/>
    <w:p w14:paraId="1E7AD98C" w14:textId="77777777" w:rsidR="00AC3E98" w:rsidRPr="00FD73B4" w:rsidRDefault="00AC3E98" w:rsidP="00AC3E98">
      <w:pPr>
        <w:spacing w:after="0" w:line="256" w:lineRule="auto"/>
        <w:rPr>
          <w:rFonts w:ascii="Arial" w:eastAsia="Times New Roman" w:hAnsi="Arial" w:cs="Arial"/>
          <w:b/>
          <w:bCs/>
          <w:kern w:val="2"/>
          <w:sz w:val="24"/>
          <w:szCs w:val="24"/>
          <w:lang w:val="en-GB" w:eastAsia="zh-CN"/>
          <w14:ligatures w14:val="standardContextual"/>
        </w:rPr>
        <w:sectPr w:rsidR="00AC3E98" w:rsidRPr="00FD73B4" w:rsidSect="00AC3E98">
          <w:footerReference w:type="default" r:id="rId8"/>
          <w:pgSz w:w="11906" w:h="16838"/>
          <w:pgMar w:top="1440" w:right="1800" w:bottom="1440" w:left="1800" w:header="706" w:footer="706" w:gutter="0"/>
          <w:pgNumType w:fmt="lowerRoman"/>
          <w:cols w:space="720"/>
        </w:sectPr>
      </w:pPr>
    </w:p>
    <w:p w14:paraId="69F8898D" w14:textId="77777777" w:rsidR="00AC3E98" w:rsidRPr="00FD73B4" w:rsidRDefault="00AC3E98" w:rsidP="00C76E6A">
      <w:pPr>
        <w:spacing w:line="360" w:lineRule="auto"/>
        <w:jc w:val="center"/>
        <w:rPr>
          <w:rFonts w:ascii="Arial" w:eastAsia="Times New Roman" w:hAnsi="Arial" w:cs="Arial"/>
          <w:b/>
          <w:bCs/>
          <w:kern w:val="2"/>
          <w:lang w:val="en-GB" w:eastAsia="zh-CN"/>
          <w14:ligatures w14:val="standardContextual"/>
        </w:rPr>
      </w:pPr>
      <w:r w:rsidRPr="00FD73B4">
        <w:rPr>
          <w:rFonts w:ascii="Arial" w:eastAsia="Times New Roman" w:hAnsi="Arial" w:cs="Arial"/>
          <w:b/>
          <w:bCs/>
          <w:color w:val="000000" w:themeColor="text1"/>
          <w:kern w:val="2"/>
          <w:sz w:val="24"/>
          <w:szCs w:val="24"/>
          <w:lang w:val="hr-HR" w:eastAsia="zh-CN"/>
          <w14:ligatures w14:val="standardContextual"/>
        </w:rPr>
        <w:lastRenderedPageBreak/>
        <w:t>DECLARATION</w:t>
      </w:r>
    </w:p>
    <w:p w14:paraId="7EC1E12D" w14:textId="77777777" w:rsidR="00AC3E98" w:rsidRPr="00FD73B4" w:rsidRDefault="00AC3E98" w:rsidP="00550147">
      <w:pPr>
        <w:spacing w:after="200" w:line="360" w:lineRule="auto"/>
        <w:rPr>
          <w:rFonts w:ascii="Arial" w:eastAsia="Times New Roman" w:hAnsi="Arial" w:cs="Arial"/>
          <w:color w:val="000000" w:themeColor="text1"/>
          <w:kern w:val="2"/>
          <w:sz w:val="24"/>
          <w:szCs w:val="24"/>
          <w:lang w:val="hr-HR" w:eastAsia="zh-CN"/>
          <w14:ligatures w14:val="standardContextual"/>
        </w:rPr>
      </w:pPr>
    </w:p>
    <w:p w14:paraId="6EE87E52" w14:textId="77777777" w:rsidR="00AC3E98" w:rsidRPr="00FD73B4" w:rsidRDefault="00AC3E98" w:rsidP="00550147">
      <w:pPr>
        <w:spacing w:after="200" w:line="360" w:lineRule="auto"/>
        <w:rPr>
          <w:rFonts w:ascii="Arial" w:eastAsia="Times New Roman" w:hAnsi="Arial" w:cs="Arial"/>
          <w:color w:val="000000" w:themeColor="text1"/>
          <w:kern w:val="2"/>
          <w:sz w:val="24"/>
          <w:szCs w:val="24"/>
          <w:lang w:val="hr-HR" w:eastAsia="zh-CN"/>
          <w14:ligatures w14:val="standardContextual"/>
        </w:rPr>
      </w:pPr>
      <w:r w:rsidRPr="00FD73B4">
        <w:rPr>
          <w:rFonts w:ascii="Arial" w:eastAsia="Times New Roman" w:hAnsi="Arial" w:cs="Arial"/>
          <w:color w:val="000000" w:themeColor="text1"/>
          <w:kern w:val="2"/>
          <w:sz w:val="24"/>
          <w:szCs w:val="24"/>
          <w:lang w:val="hr-HR" w:eastAsia="zh-CN"/>
          <w14:ligatures w14:val="standardContextual"/>
        </w:rPr>
        <w:t>I, Mahmudul hasan Rakib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C7F44BB" w14:textId="77777777" w:rsidR="00AC3E98" w:rsidRPr="00FD73B4" w:rsidRDefault="00AC3E98" w:rsidP="00AC3E98">
      <w:pPr>
        <w:spacing w:after="200" w:line="276" w:lineRule="auto"/>
        <w:rPr>
          <w:rFonts w:ascii="Arial" w:eastAsia="Times New Roman" w:hAnsi="Arial" w:cs="Arial"/>
          <w:color w:val="000000" w:themeColor="text1"/>
          <w:kern w:val="2"/>
          <w:sz w:val="24"/>
          <w:szCs w:val="24"/>
          <w:lang w:val="hr-HR" w:eastAsia="zh-CN"/>
          <w14:ligatures w14:val="standardContextual"/>
        </w:rPr>
      </w:pPr>
      <w:r w:rsidRPr="00FD73B4">
        <w:rPr>
          <w:rFonts w:ascii="Arial" w:eastAsia="Times New Roman" w:hAnsi="Arial" w:cs="Arial"/>
          <w:color w:val="000000" w:themeColor="text1"/>
          <w:kern w:val="2"/>
          <w:sz w:val="24"/>
          <w:szCs w:val="24"/>
          <w:lang w:val="hr-HR" w:eastAsia="zh-CN"/>
          <w14:ligatures w14:val="standardContextual"/>
        </w:rPr>
        <w:t>Signed: Mahmudul hasan Rakib ………………………………………………</w:t>
      </w:r>
    </w:p>
    <w:p w14:paraId="06419E07" w14:textId="77777777" w:rsidR="00AC3E98" w:rsidRPr="00FD73B4" w:rsidRDefault="00AC3E98" w:rsidP="00AC3E98">
      <w:pPr>
        <w:spacing w:after="200" w:line="276" w:lineRule="auto"/>
        <w:rPr>
          <w:rFonts w:ascii="Arial" w:eastAsia="Times New Roman" w:hAnsi="Arial" w:cs="Arial"/>
          <w:color w:val="000000" w:themeColor="text1"/>
          <w:kern w:val="2"/>
          <w:sz w:val="24"/>
          <w:szCs w:val="24"/>
          <w:lang w:val="hr-HR" w:eastAsia="zh-CN"/>
          <w14:ligatures w14:val="standardContextual"/>
        </w:rPr>
      </w:pPr>
      <w:r w:rsidRPr="00FD73B4">
        <w:rPr>
          <w:rFonts w:ascii="Arial" w:eastAsia="Times New Roman" w:hAnsi="Arial" w:cs="Arial"/>
          <w:color w:val="000000" w:themeColor="text1"/>
          <w:kern w:val="2"/>
          <w:sz w:val="24"/>
          <w:szCs w:val="24"/>
          <w:lang w:val="hr-HR" w:eastAsia="zh-CN"/>
          <w14:ligatures w14:val="standardContextual"/>
        </w:rPr>
        <w:t>Date:...………………………………………………</w:t>
      </w:r>
    </w:p>
    <w:p w14:paraId="1E5819E2" w14:textId="77777777" w:rsidR="00AC3E98" w:rsidRPr="00FD73B4" w:rsidRDefault="00AC3E98" w:rsidP="00AC3E98">
      <w:pPr>
        <w:spacing w:after="157" w:line="256" w:lineRule="auto"/>
        <w:ind w:right="2357"/>
        <w:rPr>
          <w:rFonts w:ascii="Arial" w:eastAsia="Times New Roman" w:hAnsi="Arial" w:cs="Arial"/>
          <w:b/>
          <w:bCs/>
          <w:kern w:val="2"/>
          <w:lang w:val="en-GB" w:eastAsia="zh-CN"/>
          <w14:ligatures w14:val="standardContextual"/>
        </w:rPr>
      </w:pPr>
    </w:p>
    <w:p w14:paraId="34E5B471" w14:textId="77777777" w:rsidR="00AC3E98" w:rsidRPr="00FD73B4" w:rsidRDefault="00AC3E98" w:rsidP="00AC3E98">
      <w:pPr>
        <w:spacing w:after="0" w:line="256" w:lineRule="auto"/>
        <w:rPr>
          <w:rFonts w:ascii="Arial" w:eastAsia="Times New Roman" w:hAnsi="Arial" w:cs="Arial"/>
          <w:kern w:val="2"/>
          <w:lang w:val="en-GB" w:eastAsia="zh-CN"/>
          <w14:ligatures w14:val="standardContextual"/>
        </w:rPr>
      </w:pPr>
      <w:r w:rsidRPr="00FD73B4">
        <w:rPr>
          <w:rFonts w:ascii="Arial" w:eastAsia="Times New Roman" w:hAnsi="Arial" w:cs="Arial"/>
          <w:color w:val="0070C0"/>
          <w:kern w:val="2"/>
          <w:lang w:val="en-GB" w:eastAsia="zh-CN"/>
          <w14:ligatures w14:val="standardContextual"/>
        </w:rPr>
        <w:t xml:space="preserve"> </w:t>
      </w:r>
      <w:r w:rsidRPr="00FD73B4">
        <w:rPr>
          <w:rFonts w:ascii="Arial" w:eastAsia="Times New Roman" w:hAnsi="Arial" w:cs="Arial"/>
          <w:color w:val="0070C0"/>
          <w:kern w:val="2"/>
          <w:lang w:val="en-GB" w:eastAsia="zh-CN"/>
          <w14:ligatures w14:val="standardContextual"/>
        </w:rPr>
        <w:tab/>
        <w:t xml:space="preserve"> </w:t>
      </w:r>
    </w:p>
    <w:p w14:paraId="6B481583" w14:textId="77777777" w:rsidR="00AC3E98" w:rsidRPr="00FD73B4" w:rsidRDefault="00AC3E98" w:rsidP="00AC3E98">
      <w:pPr>
        <w:spacing w:line="256" w:lineRule="auto"/>
        <w:rPr>
          <w:rFonts w:ascii="Arial" w:eastAsia="Times New Roman" w:hAnsi="Arial" w:cs="Arial"/>
          <w:b/>
          <w:color w:val="000000"/>
          <w:kern w:val="2"/>
          <w:sz w:val="24"/>
          <w:lang w:val="en-GB" w:eastAsia="zh-CN"/>
          <w14:ligatures w14:val="standardContextual"/>
        </w:rPr>
      </w:pPr>
      <w:r w:rsidRPr="00FD73B4">
        <w:rPr>
          <w:rFonts w:ascii="Arial" w:eastAsia="Times New Roman" w:hAnsi="Arial" w:cs="Arial"/>
          <w:kern w:val="2"/>
          <w:lang w:val="en-GB" w:eastAsia="zh-CN"/>
          <w14:ligatures w14:val="standardContextual"/>
        </w:rPr>
        <w:br w:type="page"/>
      </w:r>
    </w:p>
    <w:p w14:paraId="476E20D9" w14:textId="77777777" w:rsidR="00AC3E98" w:rsidRPr="00FD73B4" w:rsidRDefault="00AC3E98" w:rsidP="00550147">
      <w:pPr>
        <w:keepNext/>
        <w:keepLines/>
        <w:spacing w:after="152" w:line="360" w:lineRule="auto"/>
        <w:ind w:left="12" w:right="4" w:hanging="10"/>
        <w:jc w:val="center"/>
        <w:outlineLvl w:val="1"/>
        <w:rPr>
          <w:rFonts w:ascii="Arial" w:eastAsia="Times New Roman" w:hAnsi="Arial" w:cs="Arial"/>
          <w:b/>
          <w:color w:val="000000"/>
          <w:kern w:val="2"/>
          <w:sz w:val="24"/>
          <w:szCs w:val="24"/>
          <w:lang w:val="en-GB" w:eastAsia="zh-CN"/>
          <w14:ligatures w14:val="standardContextual"/>
        </w:rPr>
      </w:pPr>
      <w:bookmarkStart w:id="1" w:name="_Toc197635411"/>
      <w:r w:rsidRPr="00FD73B4">
        <w:rPr>
          <w:rFonts w:ascii="Arial" w:eastAsia="Times New Roman" w:hAnsi="Arial" w:cs="Arial"/>
          <w:b/>
          <w:color w:val="000000"/>
          <w:kern w:val="2"/>
          <w:sz w:val="24"/>
          <w:szCs w:val="24"/>
          <w:lang w:val="en-GB" w:eastAsia="zh-CN"/>
          <w14:ligatures w14:val="standardContextual"/>
        </w:rPr>
        <w:lastRenderedPageBreak/>
        <w:t>Acknowledgements</w:t>
      </w:r>
      <w:bookmarkEnd w:id="1"/>
      <w:r w:rsidRPr="00FD73B4">
        <w:rPr>
          <w:rFonts w:ascii="Arial" w:eastAsia="Times New Roman" w:hAnsi="Arial" w:cs="Arial"/>
          <w:b/>
          <w:color w:val="000000"/>
          <w:kern w:val="2"/>
          <w:sz w:val="24"/>
          <w:szCs w:val="24"/>
          <w:lang w:val="en-GB" w:eastAsia="zh-CN"/>
          <w14:ligatures w14:val="standardContextual"/>
        </w:rPr>
        <w:t xml:space="preserve"> </w:t>
      </w:r>
    </w:p>
    <w:p w14:paraId="66EF1226" w14:textId="77777777" w:rsidR="00AC3E98" w:rsidRPr="00FD73B4" w:rsidRDefault="00AC3E98" w:rsidP="00550147">
      <w:pPr>
        <w:spacing w:after="158"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 xml:space="preserve"> </w:t>
      </w:r>
    </w:p>
    <w:p w14:paraId="7C983C87"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First and foremost, I would like to express my sincere gratitude to my supervisor, Dr. Hamdi Hussain, for his invaluable guidance, support, and encouragement throughout the course of this dissertation. His expertise, insightful feedback, and unwavering patience greatly contributed to shaping this work and enhancing my learning experience. I feel fortunate to have had the opportunity to work under his supervision.</w:t>
      </w:r>
    </w:p>
    <w:p w14:paraId="7757097D"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p>
    <w:p w14:paraId="611409C1"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In addition, I would like to acknowledge all the academic staff at the University of Wales Trinity Saint David, Birmingham Campus who have contributed to my learning throughout the MSc Public Health programme. Their commitment to teaching and mentoring has had a lasting impact on my academic and professional growth.</w:t>
      </w:r>
    </w:p>
    <w:p w14:paraId="58C70901"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p>
    <w:p w14:paraId="66B147AC"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To the library and administrative staff, thank you for your continuous support and for ensuring that the necessary resources were readily available throughout the research process.</w:t>
      </w:r>
    </w:p>
    <w:p w14:paraId="3A17894C"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p>
    <w:p w14:paraId="33FAED18"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On a personal note, I am immensely thankful to my friends for their encouragement, understanding, and companionship during this demanding yet rewarding journey. Your support has been a source of strength and comfort.</w:t>
      </w:r>
    </w:p>
    <w:p w14:paraId="3C668C4F"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p>
    <w:p w14:paraId="45217D54"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Lastly, I would like to express my deepest appreciation to my family. Your love, patience, and belief in me have sustained me throughout this endeavour. This achievement is as much yours as it is mine.</w:t>
      </w:r>
    </w:p>
    <w:p w14:paraId="30D1D60F"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p>
    <w:p w14:paraId="7D0DCF6B" w14:textId="77777777" w:rsidR="00AC3E98" w:rsidRPr="00FD73B4" w:rsidRDefault="00AC3E98" w:rsidP="006D2DE1">
      <w:pPr>
        <w:spacing w:after="0" w:line="360" w:lineRule="auto"/>
        <w:rPr>
          <w:rFonts w:ascii="Arial" w:eastAsia="Times New Roman" w:hAnsi="Arial" w:cs="Arial"/>
          <w:kern w:val="2"/>
          <w:lang w:val="en-GB" w:eastAsia="zh-CN"/>
          <w14:ligatures w14:val="standardContextual"/>
        </w:rPr>
      </w:pPr>
      <w:r w:rsidRPr="00FD73B4">
        <w:rPr>
          <w:rFonts w:ascii="Arial" w:eastAsia="Times New Roman" w:hAnsi="Arial" w:cs="Arial"/>
          <w:kern w:val="2"/>
          <w:lang w:val="en-GB" w:eastAsia="zh-CN"/>
          <w14:ligatures w14:val="standardContextual"/>
        </w:rPr>
        <w:t>To everyone who has contributed in any way to the completion of this dissertation—thank you.</w:t>
      </w:r>
      <w:r w:rsidRPr="00FD73B4">
        <w:rPr>
          <w:rFonts w:ascii="Arial" w:eastAsia="Times New Roman" w:hAnsi="Arial" w:cs="Arial"/>
          <w:color w:val="0070C0"/>
          <w:kern w:val="2"/>
          <w:lang w:val="en-GB" w:eastAsia="zh-CN"/>
          <w14:ligatures w14:val="standardContextual"/>
        </w:rPr>
        <w:t xml:space="preserve"> </w:t>
      </w:r>
      <w:r w:rsidRPr="00FD73B4">
        <w:rPr>
          <w:rFonts w:ascii="Arial" w:eastAsia="Times New Roman" w:hAnsi="Arial" w:cs="Arial"/>
          <w:color w:val="0070C0"/>
          <w:kern w:val="2"/>
          <w:lang w:val="en-GB" w:eastAsia="zh-CN"/>
          <w14:ligatures w14:val="standardContextual"/>
        </w:rPr>
        <w:tab/>
        <w:t xml:space="preserve"> </w:t>
      </w:r>
      <w:r w:rsidRPr="00FD73B4">
        <w:rPr>
          <w:rFonts w:ascii="Arial" w:eastAsia="Times New Roman" w:hAnsi="Arial" w:cs="Arial"/>
          <w:kern w:val="2"/>
          <w:lang w:val="en-GB" w:eastAsia="zh-CN"/>
          <w14:ligatures w14:val="standardContextual"/>
        </w:rPr>
        <w:br w:type="page"/>
      </w:r>
    </w:p>
    <w:p w14:paraId="15DB3123" w14:textId="77777777" w:rsidR="00AC3E98" w:rsidRPr="00FD73B4" w:rsidRDefault="00AC3E98" w:rsidP="00AC3E98">
      <w:pPr>
        <w:keepNext/>
        <w:keepLines/>
        <w:spacing w:after="152" w:line="264" w:lineRule="auto"/>
        <w:ind w:left="12" w:right="5" w:hanging="10"/>
        <w:jc w:val="center"/>
        <w:outlineLvl w:val="1"/>
        <w:rPr>
          <w:rFonts w:ascii="Arial" w:eastAsia="Times New Roman" w:hAnsi="Arial" w:cs="Arial"/>
          <w:b/>
          <w:color w:val="000000"/>
          <w:kern w:val="2"/>
          <w:sz w:val="24"/>
          <w:szCs w:val="24"/>
          <w:lang w:val="en-GB" w:eastAsia="zh-CN"/>
          <w14:ligatures w14:val="standardContextual"/>
        </w:rPr>
      </w:pPr>
      <w:bookmarkStart w:id="2" w:name="_Toc197635412"/>
      <w:r w:rsidRPr="00FD73B4">
        <w:rPr>
          <w:rFonts w:ascii="Arial" w:eastAsia="Times New Roman" w:hAnsi="Arial" w:cs="Arial"/>
          <w:b/>
          <w:color w:val="000000"/>
          <w:kern w:val="2"/>
          <w:sz w:val="24"/>
          <w:szCs w:val="24"/>
          <w:lang w:val="en-GB" w:eastAsia="zh-CN"/>
          <w14:ligatures w14:val="standardContextual"/>
        </w:rPr>
        <w:lastRenderedPageBreak/>
        <w:t>Abstract</w:t>
      </w:r>
      <w:bookmarkEnd w:id="2"/>
    </w:p>
    <w:p w14:paraId="6CE09644" w14:textId="77777777" w:rsidR="008632B0" w:rsidRPr="00FD73B4" w:rsidRDefault="008632B0" w:rsidP="006D2DE1">
      <w:pPr>
        <w:spacing w:before="100" w:beforeAutospacing="1" w:after="100" w:afterAutospacing="1" w:line="360" w:lineRule="auto"/>
        <w:rPr>
          <w:rFonts w:ascii="Arial" w:eastAsia="Times New Roman" w:hAnsi="Arial" w:cs="Arial"/>
          <w:b/>
          <w:bCs/>
        </w:rPr>
      </w:pPr>
    </w:p>
    <w:p w14:paraId="2C763520" w14:textId="7AD58873" w:rsidR="00947F31" w:rsidRPr="00FD73B4" w:rsidRDefault="00947F31" w:rsidP="006D2DE1">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Background:</w:t>
      </w:r>
      <w:r w:rsidRPr="00FD73B4">
        <w:rPr>
          <w:rFonts w:ascii="Arial" w:eastAsia="Times New Roman" w:hAnsi="Arial" w:cs="Arial"/>
        </w:rPr>
        <w:t xml:space="preserve"> Stroke remains a leading cause of mortality, long-term disability, and health and social care burden in the United Kingdom. Although advances in acute management have improved survival, a substantial proportion of stroke incidence is attributable to modifiable lifestyle behaviors. Diet, physical activity, sedentary behavior, and related lifestyle factors are therefore central to population-level stroke prevention. However, UK-based evidence examining these behaviors is fragmented, and an integrated synthesis is required to inform public health policy and practice.</w:t>
      </w:r>
    </w:p>
    <w:p w14:paraId="4DE0C665" w14:textId="58763B14" w:rsidR="00947F31" w:rsidRPr="00FD73B4" w:rsidRDefault="00947F31" w:rsidP="006D2DE1">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Aim:</w:t>
      </w:r>
      <w:r w:rsidRPr="00FD73B4">
        <w:rPr>
          <w:rFonts w:ascii="Arial" w:eastAsia="Times New Roman" w:hAnsi="Arial" w:cs="Arial"/>
        </w:rPr>
        <w:t xml:space="preserve"> This systematic literature review aimed to examine the impact of lifestyle behaviors, dietary patterns, and physical activity on stroke incidence among adults in the United Kingdom.</w:t>
      </w:r>
    </w:p>
    <w:p w14:paraId="4327EC41" w14:textId="7D4C28C5" w:rsidR="00947F31" w:rsidRPr="00FD73B4" w:rsidRDefault="00947F31" w:rsidP="006D2DE1">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Methods:</w:t>
      </w:r>
      <w:r w:rsidRPr="00FD73B4">
        <w:rPr>
          <w:rFonts w:ascii="Arial" w:eastAsia="Times New Roman" w:hAnsi="Arial" w:cs="Arial"/>
        </w:rPr>
        <w:t xml:space="preserve"> A systematic literature review was conducted following PRISMA guidelines. Electronic databases (PubMed and ProQuest) were searched for peer-reviewed UK-based studies published between 2010 and 2025. Inclusion criteria focused on adults aged ≥40 years, lifestyle-related exposures (diet, physical activity, sedentary behavior, and related factors), and stroke outcomes. Ten studies met the inclusion criteria, comprising nine prospective cohort studies and one qualitative study. Methodological quality was assessed using the Joanna Briggs Institute checklist for cohort studies and the CASP qualitative checklist. Data were synthesized using thematic analysis.</w:t>
      </w:r>
    </w:p>
    <w:p w14:paraId="6D9F521A" w14:textId="66F96164" w:rsidR="00947F31" w:rsidRPr="00FD73B4" w:rsidRDefault="00947F31" w:rsidP="006D2DE1">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Results:</w:t>
      </w:r>
      <w:r w:rsidRPr="00FD73B4">
        <w:rPr>
          <w:rFonts w:ascii="Arial" w:eastAsia="Times New Roman" w:hAnsi="Arial" w:cs="Arial"/>
        </w:rPr>
        <w:t xml:space="preserve"> The synthesis identified consistent evidence that healthier dietary patterns, including Mediterranean-style diets and higher dietary fibre intake, were associated with reduced stroke risk, particularly for ischemic stroke. Regular moderate-to-vigorous physical activity was protective, while prolonged sedentary behavior independently increased stroke risk. Substitution of sedentary time with physical activity or adequate sleep was associated with meaningful risk reductions. Lifestyle behaviors were found to cluster, with combined unhealthy behaviors conferring substantially higher stroke risk. Evidence also indicated that adherence to healthy lifestyles reduced stroke risk even among individuals with elevated genetic susceptibility. Qualitative findings highlighted psychosocial and contextual barriers influencing lifestyle change.</w:t>
      </w:r>
    </w:p>
    <w:p w14:paraId="141D9D25" w14:textId="20124F44" w:rsidR="00947F31" w:rsidRPr="00FD73B4" w:rsidRDefault="00947F31" w:rsidP="006D2DE1">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Conclusion:</w:t>
      </w:r>
      <w:r w:rsidRPr="00FD73B4">
        <w:rPr>
          <w:rFonts w:ascii="Arial" w:eastAsia="Times New Roman" w:hAnsi="Arial" w:cs="Arial"/>
        </w:rPr>
        <w:t xml:space="preserve"> This review demonstrates that modifiable lifestyle behaviors play a critical role in stroke prevention among UK adults. Integrated, multi-behavior public health strategies that </w:t>
      </w:r>
      <w:r w:rsidRPr="00FD73B4">
        <w:rPr>
          <w:rFonts w:ascii="Arial" w:eastAsia="Times New Roman" w:hAnsi="Arial" w:cs="Arial"/>
        </w:rPr>
        <w:lastRenderedPageBreak/>
        <w:t>address diet quality, physical activity, sedentary behavior, and social determinants are essential to reduce stroke incidence and health inequalities in the UK.</w:t>
      </w:r>
    </w:p>
    <w:p w14:paraId="02A1DF80"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2438C463"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2089606A"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4BE4C568"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242523E2"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51983923" w14:textId="77777777" w:rsidR="00564FF0" w:rsidRPr="00FD73B4" w:rsidRDefault="00564FF0" w:rsidP="006D2DE1">
      <w:pPr>
        <w:spacing w:before="100" w:beforeAutospacing="1" w:after="100" w:afterAutospacing="1" w:line="360" w:lineRule="auto"/>
        <w:outlineLvl w:val="0"/>
        <w:rPr>
          <w:rFonts w:ascii="Arial" w:eastAsia="Times New Roman" w:hAnsi="Arial" w:cs="Arial"/>
          <w:b/>
          <w:bCs/>
          <w:kern w:val="36"/>
        </w:rPr>
      </w:pPr>
    </w:p>
    <w:p w14:paraId="1CEC6F15"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630B6686"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257DA005"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7F7B9723"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22364467"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4A120310"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635402A0" w14:textId="77777777" w:rsidR="00564FF0" w:rsidRPr="00FD73B4" w:rsidRDefault="00564FF0" w:rsidP="00D303F6">
      <w:pPr>
        <w:spacing w:before="100" w:beforeAutospacing="1" w:after="100" w:afterAutospacing="1" w:line="360" w:lineRule="auto"/>
        <w:outlineLvl w:val="0"/>
        <w:rPr>
          <w:rFonts w:ascii="Arial" w:eastAsia="Times New Roman" w:hAnsi="Arial" w:cs="Arial"/>
          <w:b/>
          <w:bCs/>
          <w:kern w:val="36"/>
        </w:rPr>
      </w:pPr>
    </w:p>
    <w:p w14:paraId="24515688" w14:textId="77777777" w:rsidR="009E0432" w:rsidRPr="00FD73B4" w:rsidRDefault="009E0432" w:rsidP="00D303F6">
      <w:pPr>
        <w:spacing w:before="100" w:beforeAutospacing="1" w:after="100" w:afterAutospacing="1" w:line="360" w:lineRule="auto"/>
        <w:outlineLvl w:val="0"/>
        <w:rPr>
          <w:rFonts w:ascii="Arial" w:eastAsia="Times New Roman" w:hAnsi="Arial" w:cs="Arial"/>
          <w:b/>
          <w:bCs/>
          <w:kern w:val="36"/>
        </w:rPr>
      </w:pPr>
    </w:p>
    <w:p w14:paraId="1DC6E8C3" w14:textId="77777777" w:rsidR="009E0432" w:rsidRPr="00FD73B4" w:rsidRDefault="009E0432" w:rsidP="00D303F6">
      <w:pPr>
        <w:spacing w:before="100" w:beforeAutospacing="1" w:after="100" w:afterAutospacing="1" w:line="360" w:lineRule="auto"/>
        <w:outlineLvl w:val="0"/>
        <w:rPr>
          <w:rFonts w:ascii="Arial" w:eastAsia="Times New Roman" w:hAnsi="Arial" w:cs="Arial"/>
          <w:b/>
          <w:bCs/>
          <w:kern w:val="36"/>
        </w:rPr>
      </w:pPr>
    </w:p>
    <w:p w14:paraId="066526DE" w14:textId="77777777" w:rsidR="009E0432" w:rsidRPr="00FD73B4" w:rsidRDefault="009E0432" w:rsidP="00D303F6">
      <w:pPr>
        <w:spacing w:before="100" w:beforeAutospacing="1" w:after="100" w:afterAutospacing="1" w:line="360" w:lineRule="auto"/>
        <w:outlineLvl w:val="0"/>
        <w:rPr>
          <w:rFonts w:ascii="Arial" w:eastAsia="Times New Roman" w:hAnsi="Arial" w:cs="Arial"/>
          <w:b/>
          <w:bCs/>
          <w:kern w:val="36"/>
        </w:rPr>
      </w:pPr>
    </w:p>
    <w:p w14:paraId="592795A4" w14:textId="77777777" w:rsidR="009E0432" w:rsidRPr="00FD73B4" w:rsidRDefault="009E0432" w:rsidP="00D303F6">
      <w:pPr>
        <w:spacing w:before="100" w:beforeAutospacing="1" w:after="100" w:afterAutospacing="1" w:line="360" w:lineRule="auto"/>
        <w:outlineLvl w:val="0"/>
        <w:rPr>
          <w:rFonts w:ascii="Arial" w:eastAsia="Times New Roman" w:hAnsi="Arial" w:cs="Arial"/>
          <w:b/>
          <w:bCs/>
          <w:kern w:val="36"/>
        </w:rPr>
      </w:pPr>
    </w:p>
    <w:p w14:paraId="7D15E06C" w14:textId="77777777" w:rsidR="008632B0" w:rsidRPr="00FD73B4" w:rsidRDefault="008632B0" w:rsidP="00DA34B0">
      <w:pPr>
        <w:rPr>
          <w:rFonts w:ascii="Arial" w:eastAsia="Times New Roman" w:hAnsi="Arial" w:cs="Arial"/>
          <w:b/>
          <w:bCs/>
          <w:kern w:val="36"/>
        </w:rPr>
      </w:pPr>
    </w:p>
    <w:p w14:paraId="44E2BD28" w14:textId="77777777" w:rsidR="008632B0" w:rsidRPr="00FD73B4" w:rsidRDefault="008632B0" w:rsidP="00DA34B0">
      <w:pPr>
        <w:rPr>
          <w:rFonts w:ascii="Arial" w:eastAsia="Times New Roman" w:hAnsi="Arial" w:cs="Arial"/>
          <w:b/>
          <w:bCs/>
          <w:kern w:val="36"/>
        </w:rPr>
      </w:pPr>
    </w:p>
    <w:p w14:paraId="426F4993" w14:textId="3D957409" w:rsidR="00DA34B0" w:rsidRPr="00FD73B4" w:rsidRDefault="002D6D0B" w:rsidP="008632B0">
      <w:pPr>
        <w:jc w:val="center"/>
        <w:rPr>
          <w:rFonts w:ascii="Arial" w:eastAsia="Times New Roman" w:hAnsi="Arial" w:cs="Arial"/>
          <w:b/>
          <w:bCs/>
          <w:kern w:val="36"/>
        </w:rPr>
      </w:pPr>
      <w:r w:rsidRPr="00FD73B4">
        <w:rPr>
          <w:rFonts w:ascii="Arial" w:hAnsi="Arial" w:cs="Arial"/>
          <w:b/>
          <w:bCs/>
          <w:sz w:val="24"/>
          <w:szCs w:val="24"/>
        </w:rPr>
        <w:lastRenderedPageBreak/>
        <w:t>TABLE OF CONTENT</w:t>
      </w:r>
    </w:p>
    <w:p w14:paraId="6C61D638" w14:textId="77777777" w:rsidR="00DA34B0" w:rsidRPr="00FD73B4" w:rsidRDefault="00DA34B0" w:rsidP="008632B0">
      <w:pPr>
        <w:spacing w:line="360" w:lineRule="auto"/>
        <w:rPr>
          <w:rFonts w:ascii="Arial" w:hAnsi="Arial" w:cs="Arial"/>
        </w:rPr>
      </w:pPr>
    </w:p>
    <w:p w14:paraId="6EE59D1A" w14:textId="79609CD3" w:rsidR="004C5784" w:rsidRPr="00FD73B4" w:rsidRDefault="002D6D0B" w:rsidP="008632B0">
      <w:pPr>
        <w:spacing w:line="360" w:lineRule="auto"/>
        <w:rPr>
          <w:rFonts w:ascii="Arial" w:hAnsi="Arial" w:cs="Arial"/>
        </w:rPr>
      </w:pPr>
      <w:r w:rsidRPr="00FD73B4">
        <w:rPr>
          <w:rFonts w:ascii="Arial" w:hAnsi="Arial" w:cs="Arial"/>
        </w:rPr>
        <w:t>DECLARATION..................................................................................................................</w:t>
      </w:r>
      <w:r w:rsidR="00F05CC8">
        <w:rPr>
          <w:rFonts w:ascii="Arial" w:hAnsi="Arial" w:cs="Arial"/>
        </w:rPr>
        <w:t>.......</w:t>
      </w:r>
      <w:r w:rsidR="008869BD">
        <w:rPr>
          <w:rFonts w:ascii="Arial" w:hAnsi="Arial" w:cs="Arial"/>
        </w:rPr>
        <w:t>..</w:t>
      </w:r>
      <w:r w:rsidR="00F05CC8">
        <w:rPr>
          <w:rFonts w:ascii="Arial" w:hAnsi="Arial" w:cs="Arial"/>
        </w:rPr>
        <w:t>11</w:t>
      </w:r>
    </w:p>
    <w:p w14:paraId="7FA262EF" w14:textId="092D32D6" w:rsidR="004C5784" w:rsidRPr="00FD73B4" w:rsidRDefault="004C5784" w:rsidP="008632B0">
      <w:pPr>
        <w:spacing w:line="360" w:lineRule="auto"/>
        <w:rPr>
          <w:rFonts w:ascii="Arial" w:hAnsi="Arial" w:cs="Arial"/>
        </w:rPr>
      </w:pPr>
      <w:r w:rsidRPr="00FD73B4">
        <w:rPr>
          <w:rFonts w:ascii="Arial" w:hAnsi="Arial" w:cs="Arial"/>
        </w:rPr>
        <w:t>ACKNOWLEDGEMENTS</w:t>
      </w:r>
      <w:r w:rsidR="002D6D0B" w:rsidRPr="00FD73B4">
        <w:rPr>
          <w:rFonts w:ascii="Arial" w:hAnsi="Arial" w:cs="Arial"/>
        </w:rPr>
        <w:t>........................................................................................................</w:t>
      </w:r>
      <w:r w:rsidR="00F05CC8">
        <w:rPr>
          <w:rFonts w:ascii="Arial" w:hAnsi="Arial" w:cs="Arial"/>
        </w:rPr>
        <w:t>..</w:t>
      </w:r>
      <w:r w:rsidR="008869BD">
        <w:rPr>
          <w:rFonts w:ascii="Arial" w:hAnsi="Arial" w:cs="Arial"/>
        </w:rPr>
        <w:t>..</w:t>
      </w:r>
      <w:r w:rsidR="00F05CC8">
        <w:rPr>
          <w:rFonts w:ascii="Arial" w:hAnsi="Arial" w:cs="Arial"/>
        </w:rPr>
        <w:t>11</w:t>
      </w:r>
      <w:r w:rsidR="002D6D0B" w:rsidRPr="00FD73B4">
        <w:rPr>
          <w:rFonts w:ascii="Arial" w:hAnsi="Arial" w:cs="Arial"/>
        </w:rPr>
        <w:t xml:space="preserve"> </w:t>
      </w:r>
    </w:p>
    <w:p w14:paraId="001F6BB8" w14:textId="236CA349" w:rsidR="00FD73B4" w:rsidRPr="00FD73B4" w:rsidRDefault="002D6D0B" w:rsidP="008632B0">
      <w:pPr>
        <w:spacing w:line="360" w:lineRule="auto"/>
        <w:rPr>
          <w:rFonts w:ascii="Arial" w:hAnsi="Arial" w:cs="Arial"/>
        </w:rPr>
      </w:pPr>
      <w:r w:rsidRPr="00FD73B4">
        <w:rPr>
          <w:rFonts w:ascii="Arial" w:hAnsi="Arial" w:cs="Arial"/>
        </w:rPr>
        <w:t>ABSTRACT ...........................................................................................................................</w:t>
      </w:r>
      <w:r w:rsidR="008869BD" w:rsidRPr="00FD73B4">
        <w:rPr>
          <w:rFonts w:ascii="Arial" w:hAnsi="Arial" w:cs="Arial"/>
        </w:rPr>
        <w:t>....</w:t>
      </w:r>
      <w:r w:rsidR="008869BD">
        <w:rPr>
          <w:rFonts w:ascii="Arial" w:hAnsi="Arial" w:cs="Arial"/>
        </w:rPr>
        <w:t>.</w:t>
      </w:r>
      <w:r w:rsidR="00F05CC8">
        <w:rPr>
          <w:rFonts w:ascii="Arial" w:hAnsi="Arial" w:cs="Arial"/>
        </w:rPr>
        <w:t>11</w:t>
      </w:r>
      <w:r w:rsidRPr="00FD73B4">
        <w:rPr>
          <w:rFonts w:ascii="Arial" w:hAnsi="Arial" w:cs="Arial"/>
        </w:rPr>
        <w:t xml:space="preserve"> </w:t>
      </w:r>
    </w:p>
    <w:p w14:paraId="0B865FF7" w14:textId="2C5E1D21" w:rsidR="002D6D0B" w:rsidRPr="00FD73B4" w:rsidRDefault="002D6D0B" w:rsidP="008632B0">
      <w:pPr>
        <w:spacing w:line="360" w:lineRule="auto"/>
        <w:rPr>
          <w:rFonts w:ascii="Arial" w:hAnsi="Arial" w:cs="Arial"/>
        </w:rPr>
      </w:pPr>
      <w:r w:rsidRPr="00FD73B4">
        <w:rPr>
          <w:rFonts w:ascii="Arial" w:hAnsi="Arial" w:cs="Arial"/>
        </w:rPr>
        <w:t>TABLE OF CONTENT ..............................................................................................................</w:t>
      </w:r>
      <w:r w:rsidR="008869BD">
        <w:rPr>
          <w:rFonts w:ascii="Arial" w:hAnsi="Arial" w:cs="Arial"/>
        </w:rPr>
        <w:t>..</w:t>
      </w:r>
      <w:r w:rsidR="00F05CC8">
        <w:rPr>
          <w:rFonts w:ascii="Arial" w:hAnsi="Arial" w:cs="Arial"/>
        </w:rPr>
        <w:t>11</w:t>
      </w:r>
    </w:p>
    <w:p w14:paraId="1F4CDFE9" w14:textId="5F1367F6"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LIST OF TABLES ....................................................................................................................</w:t>
      </w:r>
      <w:r w:rsidR="00F05CC8">
        <w:rPr>
          <w:rFonts w:ascii="Arial" w:hAnsi="Arial" w:cs="Arial"/>
        </w:rPr>
        <w:t>.</w:t>
      </w:r>
      <w:r w:rsidR="008869BD">
        <w:rPr>
          <w:rFonts w:ascii="Arial" w:hAnsi="Arial" w:cs="Arial"/>
        </w:rPr>
        <w:t>.</w:t>
      </w:r>
      <w:r w:rsidR="00F05CC8">
        <w:rPr>
          <w:rFonts w:ascii="Arial" w:hAnsi="Arial" w:cs="Arial"/>
        </w:rPr>
        <w:t>11</w:t>
      </w:r>
    </w:p>
    <w:p w14:paraId="13D9A02E" w14:textId="58920F85" w:rsidR="00FD73B4"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LIST OF FIGURES .................................................................................................................</w:t>
      </w:r>
      <w:r w:rsidR="00F05CC8">
        <w:rPr>
          <w:rFonts w:ascii="Arial" w:hAnsi="Arial" w:cs="Arial"/>
        </w:rPr>
        <w:t>..</w:t>
      </w:r>
      <w:r w:rsidRPr="00FD73B4">
        <w:rPr>
          <w:rFonts w:ascii="Arial" w:hAnsi="Arial" w:cs="Arial"/>
        </w:rPr>
        <w:t>.</w:t>
      </w:r>
      <w:r w:rsidR="008869BD">
        <w:rPr>
          <w:rFonts w:ascii="Arial" w:hAnsi="Arial" w:cs="Arial"/>
        </w:rPr>
        <w:t>.</w:t>
      </w:r>
      <w:r w:rsidR="00F05CC8">
        <w:rPr>
          <w:rFonts w:ascii="Arial" w:hAnsi="Arial" w:cs="Arial"/>
        </w:rPr>
        <w:t>11</w:t>
      </w:r>
    </w:p>
    <w:p w14:paraId="1AD9C0C2" w14:textId="234E4FAA" w:rsidR="004C5784"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ABBREVIATIONS..........................................</w:t>
      </w:r>
      <w:r w:rsidR="004C5784" w:rsidRPr="00FD73B4">
        <w:rPr>
          <w:rFonts w:ascii="Arial" w:hAnsi="Arial" w:cs="Arial"/>
        </w:rPr>
        <w:t>.</w:t>
      </w:r>
      <w:r w:rsidRPr="00FD73B4">
        <w:rPr>
          <w:rFonts w:ascii="Arial" w:hAnsi="Arial" w:cs="Arial"/>
        </w:rPr>
        <w:t>...........................................................................</w:t>
      </w:r>
      <w:r w:rsidR="00F05CC8">
        <w:rPr>
          <w:rFonts w:ascii="Arial" w:hAnsi="Arial" w:cs="Arial"/>
        </w:rPr>
        <w:t>.</w:t>
      </w:r>
      <w:r w:rsidR="008869BD">
        <w:rPr>
          <w:rFonts w:ascii="Arial" w:hAnsi="Arial" w:cs="Arial"/>
        </w:rPr>
        <w:t>.</w:t>
      </w:r>
      <w:r w:rsidR="00F05CC8">
        <w:rPr>
          <w:rFonts w:ascii="Arial" w:hAnsi="Arial" w:cs="Arial"/>
        </w:rPr>
        <w:t>11</w:t>
      </w:r>
    </w:p>
    <w:p w14:paraId="46C96625" w14:textId="7E686628"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CHAPTER 1: </w:t>
      </w:r>
      <w:r w:rsidR="004C5784" w:rsidRPr="00FD73B4">
        <w:rPr>
          <w:rFonts w:ascii="Arial" w:eastAsia="Times New Roman" w:hAnsi="Arial" w:cs="Arial"/>
          <w:kern w:val="36"/>
        </w:rPr>
        <w:t>INTRODUCTION AND BACKGROUND</w:t>
      </w:r>
      <w:r w:rsidRPr="00FD73B4">
        <w:rPr>
          <w:rFonts w:ascii="Arial" w:hAnsi="Arial" w:cs="Arial"/>
        </w:rPr>
        <w:t>.................................</w:t>
      </w:r>
      <w:r w:rsidR="004C5784" w:rsidRPr="00FD73B4">
        <w:rPr>
          <w:rFonts w:ascii="Arial" w:hAnsi="Arial" w:cs="Arial"/>
        </w:rPr>
        <w:t>.......</w:t>
      </w:r>
      <w:r w:rsidRPr="00FD73B4">
        <w:rPr>
          <w:rFonts w:ascii="Arial" w:hAnsi="Arial" w:cs="Arial"/>
        </w:rPr>
        <w:t>.....................</w:t>
      </w:r>
      <w:r w:rsidR="00F05CC8">
        <w:rPr>
          <w:rFonts w:ascii="Arial" w:hAnsi="Arial" w:cs="Arial"/>
        </w:rPr>
        <w:t>.1</w:t>
      </w:r>
      <w:r w:rsidRPr="00FD73B4">
        <w:rPr>
          <w:rFonts w:ascii="Arial" w:hAnsi="Arial" w:cs="Arial"/>
        </w:rPr>
        <w:t>1</w:t>
      </w:r>
    </w:p>
    <w:p w14:paraId="08F45130" w14:textId="3870496F"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1.1 </w:t>
      </w:r>
      <w:r w:rsidR="00976847" w:rsidRPr="00FD73B4">
        <w:rPr>
          <w:rFonts w:ascii="Arial" w:eastAsia="Times New Roman" w:hAnsi="Arial" w:cs="Arial"/>
        </w:rPr>
        <w:t>Introduction to the Topic</w:t>
      </w:r>
      <w:r w:rsidRPr="00FD73B4">
        <w:rPr>
          <w:rFonts w:ascii="Arial" w:hAnsi="Arial" w:cs="Arial"/>
        </w:rPr>
        <w:t>.....................................................................................................</w:t>
      </w:r>
      <w:r w:rsidR="00F05CC8">
        <w:rPr>
          <w:rFonts w:ascii="Arial" w:hAnsi="Arial" w:cs="Arial"/>
        </w:rPr>
        <w:t>..1</w:t>
      </w:r>
      <w:r w:rsidRPr="00FD73B4">
        <w:rPr>
          <w:rFonts w:ascii="Arial" w:hAnsi="Arial" w:cs="Arial"/>
        </w:rPr>
        <w:t>1</w:t>
      </w:r>
    </w:p>
    <w:p w14:paraId="3B60F580" w14:textId="2C3D9E39"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1.2 Background and Current Context .......................................................................................</w:t>
      </w:r>
      <w:r w:rsidR="00F05CC8">
        <w:rPr>
          <w:rFonts w:ascii="Arial" w:hAnsi="Arial" w:cs="Arial"/>
        </w:rPr>
        <w:t>.1</w:t>
      </w:r>
      <w:r w:rsidRPr="00FD73B4">
        <w:rPr>
          <w:rFonts w:ascii="Arial" w:hAnsi="Arial" w:cs="Arial"/>
        </w:rPr>
        <w:t>1</w:t>
      </w:r>
    </w:p>
    <w:p w14:paraId="34E88C0C" w14:textId="1914F597"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1.2.1 </w:t>
      </w:r>
      <w:r w:rsidR="00976847" w:rsidRPr="00FD73B4">
        <w:rPr>
          <w:rFonts w:ascii="Arial" w:eastAsia="Times New Roman" w:hAnsi="Arial" w:cs="Arial"/>
        </w:rPr>
        <w:t>Stroke as a global and national public health problem</w:t>
      </w:r>
      <w:r w:rsidRPr="00FD73B4">
        <w:rPr>
          <w:rFonts w:ascii="Arial" w:hAnsi="Arial" w:cs="Arial"/>
        </w:rPr>
        <w:t>........................</w:t>
      </w:r>
      <w:r w:rsidR="00976847" w:rsidRPr="00FD73B4">
        <w:rPr>
          <w:rFonts w:ascii="Arial" w:hAnsi="Arial" w:cs="Arial"/>
        </w:rPr>
        <w:t>.......</w:t>
      </w:r>
      <w:r w:rsidRPr="00FD73B4">
        <w:rPr>
          <w:rFonts w:ascii="Arial" w:hAnsi="Arial" w:cs="Arial"/>
        </w:rPr>
        <w:t>......................</w:t>
      </w:r>
      <w:r w:rsidR="00F05CC8">
        <w:rPr>
          <w:rFonts w:ascii="Arial" w:hAnsi="Arial" w:cs="Arial"/>
        </w:rPr>
        <w:t>.1</w:t>
      </w:r>
      <w:r w:rsidRPr="00FD73B4">
        <w:rPr>
          <w:rFonts w:ascii="Arial" w:hAnsi="Arial" w:cs="Arial"/>
        </w:rPr>
        <w:t>1</w:t>
      </w:r>
    </w:p>
    <w:p w14:paraId="48A0DFD9" w14:textId="4ED7F880"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1.2.2 </w:t>
      </w:r>
      <w:r w:rsidR="00976847" w:rsidRPr="00FD73B4">
        <w:rPr>
          <w:rFonts w:ascii="Arial" w:eastAsia="Times New Roman" w:hAnsi="Arial" w:cs="Arial"/>
          <w:bCs/>
        </w:rPr>
        <w:t>Types of strokes and their relevance to prevention</w:t>
      </w:r>
      <w:r w:rsidRPr="00FD73B4">
        <w:rPr>
          <w:rFonts w:ascii="Arial" w:hAnsi="Arial" w:cs="Arial"/>
        </w:rPr>
        <w:t>.................</w:t>
      </w:r>
      <w:r w:rsidR="00976847" w:rsidRPr="00FD73B4">
        <w:rPr>
          <w:rFonts w:ascii="Arial" w:hAnsi="Arial" w:cs="Arial"/>
        </w:rPr>
        <w:t>......</w:t>
      </w:r>
      <w:r w:rsidRPr="00FD73B4">
        <w:rPr>
          <w:rFonts w:ascii="Arial" w:hAnsi="Arial" w:cs="Arial"/>
        </w:rPr>
        <w:t>...................................</w:t>
      </w:r>
      <w:r w:rsidR="00F05CC8">
        <w:rPr>
          <w:rFonts w:ascii="Arial" w:hAnsi="Arial" w:cs="Arial"/>
        </w:rPr>
        <w:t>.2</w:t>
      </w:r>
      <w:r w:rsidRPr="00FD73B4">
        <w:rPr>
          <w:rFonts w:ascii="Arial" w:hAnsi="Arial" w:cs="Arial"/>
        </w:rPr>
        <w:t xml:space="preserve">2 </w:t>
      </w:r>
    </w:p>
    <w:p w14:paraId="2C858E55" w14:textId="1D785589" w:rsidR="002D6D0B" w:rsidRPr="00FD73B4" w:rsidRDefault="002D6D0B" w:rsidP="008632B0">
      <w:pPr>
        <w:spacing w:before="100" w:beforeAutospacing="1" w:after="100" w:afterAutospacing="1" w:line="360" w:lineRule="auto"/>
        <w:rPr>
          <w:rFonts w:ascii="Arial" w:eastAsia="Times New Roman" w:hAnsi="Arial" w:cs="Arial"/>
          <w:b/>
        </w:rPr>
      </w:pPr>
      <w:r w:rsidRPr="00FD73B4">
        <w:rPr>
          <w:rFonts w:ascii="Arial" w:hAnsi="Arial" w:cs="Arial"/>
        </w:rPr>
        <w:t xml:space="preserve">1.2.3 </w:t>
      </w:r>
      <w:r w:rsidR="00976847" w:rsidRPr="00FD73B4">
        <w:rPr>
          <w:rFonts w:ascii="Arial" w:eastAsia="Times New Roman" w:hAnsi="Arial" w:cs="Arial"/>
          <w:bCs/>
        </w:rPr>
        <w:t xml:space="preserve">Lifestyle behaviors as modifiable risk </w:t>
      </w:r>
      <w:r w:rsidR="00415A2A" w:rsidRPr="00FD73B4">
        <w:rPr>
          <w:rFonts w:ascii="Arial" w:eastAsia="Times New Roman" w:hAnsi="Arial" w:cs="Arial"/>
          <w:bCs/>
        </w:rPr>
        <w:t>factor</w:t>
      </w:r>
      <w:r w:rsidR="00415A2A" w:rsidRPr="00FD73B4">
        <w:rPr>
          <w:rFonts w:ascii="Arial" w:hAnsi="Arial" w:cs="Arial"/>
        </w:rPr>
        <w:t>s</w:t>
      </w:r>
      <w:r w:rsidRPr="00FD73B4">
        <w:rPr>
          <w:rFonts w:ascii="Arial" w:hAnsi="Arial" w:cs="Arial"/>
        </w:rPr>
        <w:t>....</w:t>
      </w:r>
      <w:r w:rsidR="00976847" w:rsidRPr="00FD73B4">
        <w:rPr>
          <w:rFonts w:ascii="Arial" w:hAnsi="Arial" w:cs="Arial"/>
        </w:rPr>
        <w:t>.......................................................</w:t>
      </w:r>
      <w:r w:rsidR="00415A2A" w:rsidRPr="00FD73B4">
        <w:rPr>
          <w:rFonts w:ascii="Arial" w:hAnsi="Arial" w:cs="Arial"/>
        </w:rPr>
        <w:t>.</w:t>
      </w:r>
      <w:r w:rsidR="00976847" w:rsidRPr="00FD73B4">
        <w:rPr>
          <w:rFonts w:ascii="Arial" w:hAnsi="Arial" w:cs="Arial"/>
        </w:rPr>
        <w:t>.....</w:t>
      </w:r>
      <w:r w:rsidRPr="00FD73B4">
        <w:rPr>
          <w:rFonts w:ascii="Arial" w:hAnsi="Arial" w:cs="Arial"/>
        </w:rPr>
        <w:t>...</w:t>
      </w:r>
      <w:r w:rsidR="00F05CC8">
        <w:rPr>
          <w:rFonts w:ascii="Arial" w:hAnsi="Arial" w:cs="Arial"/>
        </w:rPr>
        <w:t>.3</w:t>
      </w:r>
      <w:r w:rsidRPr="00FD73B4">
        <w:rPr>
          <w:rFonts w:ascii="Arial" w:hAnsi="Arial" w:cs="Arial"/>
        </w:rPr>
        <w:t xml:space="preserve">3 </w:t>
      </w:r>
    </w:p>
    <w:p w14:paraId="03C9A550" w14:textId="50E4CB97" w:rsidR="002D6D0B" w:rsidRPr="00FD73B4" w:rsidRDefault="002D6D0B" w:rsidP="008632B0">
      <w:pPr>
        <w:spacing w:before="100" w:beforeAutospacing="1" w:after="100" w:afterAutospacing="1" w:line="360" w:lineRule="auto"/>
        <w:rPr>
          <w:rFonts w:ascii="Arial" w:hAnsi="Arial" w:cs="Arial"/>
        </w:rPr>
      </w:pPr>
      <w:r w:rsidRPr="00FD73B4">
        <w:rPr>
          <w:rFonts w:ascii="Arial" w:hAnsi="Arial" w:cs="Arial"/>
        </w:rPr>
        <w:t>1.2.4</w:t>
      </w:r>
      <w:r w:rsidR="00415A2A" w:rsidRPr="00FD73B4">
        <w:rPr>
          <w:rFonts w:ascii="Arial" w:eastAsia="Times New Roman" w:hAnsi="Arial" w:cs="Arial"/>
          <w:bCs/>
        </w:rPr>
        <w:t xml:space="preserve"> The UK context and health inequalities</w:t>
      </w:r>
      <w:r w:rsidRPr="00FD73B4">
        <w:rPr>
          <w:rFonts w:ascii="Arial" w:hAnsi="Arial" w:cs="Arial"/>
        </w:rPr>
        <w:t>................................</w:t>
      </w:r>
      <w:r w:rsidR="00DA34B0" w:rsidRPr="00FD73B4">
        <w:rPr>
          <w:rFonts w:ascii="Arial" w:hAnsi="Arial" w:cs="Arial"/>
        </w:rPr>
        <w:t>.</w:t>
      </w:r>
      <w:r w:rsidRPr="00FD73B4">
        <w:rPr>
          <w:rFonts w:ascii="Arial" w:hAnsi="Arial" w:cs="Arial"/>
        </w:rPr>
        <w:t>..</w:t>
      </w:r>
      <w:r w:rsidR="00976847" w:rsidRPr="00FD73B4">
        <w:rPr>
          <w:rFonts w:ascii="Arial" w:hAnsi="Arial" w:cs="Arial"/>
        </w:rPr>
        <w:t>.</w:t>
      </w:r>
      <w:r w:rsidR="00415A2A" w:rsidRPr="00FD73B4">
        <w:rPr>
          <w:rFonts w:ascii="Arial" w:hAnsi="Arial" w:cs="Arial"/>
        </w:rPr>
        <w:t>......................................</w:t>
      </w:r>
      <w:r w:rsidRPr="00FD73B4">
        <w:rPr>
          <w:rFonts w:ascii="Arial" w:hAnsi="Arial" w:cs="Arial"/>
        </w:rPr>
        <w:t>...</w:t>
      </w:r>
      <w:r w:rsidR="00F05CC8">
        <w:rPr>
          <w:rFonts w:ascii="Arial" w:hAnsi="Arial" w:cs="Arial"/>
        </w:rPr>
        <w:t>.3</w:t>
      </w:r>
      <w:r w:rsidRPr="00FD73B4">
        <w:rPr>
          <w:rFonts w:ascii="Arial" w:hAnsi="Arial" w:cs="Arial"/>
        </w:rPr>
        <w:t xml:space="preserve">3 </w:t>
      </w:r>
    </w:p>
    <w:p w14:paraId="124886B1" w14:textId="5852CD67"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1.</w:t>
      </w:r>
      <w:r w:rsidR="00415A2A" w:rsidRPr="00FD73B4">
        <w:rPr>
          <w:rFonts w:ascii="Arial" w:hAnsi="Arial" w:cs="Arial"/>
        </w:rPr>
        <w:t>2.5</w:t>
      </w:r>
      <w:r w:rsidRPr="00FD73B4">
        <w:rPr>
          <w:rFonts w:ascii="Arial" w:hAnsi="Arial" w:cs="Arial"/>
        </w:rPr>
        <w:t xml:space="preserve"> </w:t>
      </w:r>
      <w:r w:rsidR="00415A2A" w:rsidRPr="00FD73B4">
        <w:rPr>
          <w:rFonts w:ascii="Arial" w:eastAsia="Times New Roman" w:hAnsi="Arial" w:cs="Arial"/>
          <w:bCs/>
        </w:rPr>
        <w:t>Genetics, lifestyle, and prevention</w:t>
      </w:r>
      <w:r w:rsidRPr="00FD73B4">
        <w:rPr>
          <w:rFonts w:ascii="Arial" w:hAnsi="Arial" w:cs="Arial"/>
        </w:rPr>
        <w:t>.............................................</w:t>
      </w:r>
      <w:r w:rsidR="00415A2A" w:rsidRPr="00FD73B4">
        <w:rPr>
          <w:rFonts w:ascii="Arial" w:hAnsi="Arial" w:cs="Arial"/>
        </w:rPr>
        <w:t>.................</w:t>
      </w:r>
      <w:r w:rsidRPr="00FD73B4">
        <w:rPr>
          <w:rFonts w:ascii="Arial" w:hAnsi="Arial" w:cs="Arial"/>
        </w:rPr>
        <w:t>.......................</w:t>
      </w:r>
      <w:r w:rsidR="00F05CC8">
        <w:rPr>
          <w:rFonts w:ascii="Arial" w:hAnsi="Arial" w:cs="Arial"/>
        </w:rPr>
        <w:t>.4</w:t>
      </w:r>
      <w:r w:rsidRPr="00FD73B4">
        <w:rPr>
          <w:rFonts w:ascii="Arial" w:hAnsi="Arial" w:cs="Arial"/>
        </w:rPr>
        <w:t xml:space="preserve">4 </w:t>
      </w:r>
    </w:p>
    <w:p w14:paraId="2E4EC5F8" w14:textId="1B38A0BB"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1.</w:t>
      </w:r>
      <w:r w:rsidR="00415A2A" w:rsidRPr="00FD73B4">
        <w:rPr>
          <w:rFonts w:ascii="Arial" w:hAnsi="Arial" w:cs="Arial"/>
        </w:rPr>
        <w:t>2.6</w:t>
      </w:r>
      <w:r w:rsidRPr="00FD73B4">
        <w:rPr>
          <w:rFonts w:ascii="Arial" w:hAnsi="Arial" w:cs="Arial"/>
        </w:rPr>
        <w:t xml:space="preserve"> </w:t>
      </w:r>
      <w:r w:rsidR="00415A2A" w:rsidRPr="00FD73B4">
        <w:rPr>
          <w:rFonts w:ascii="Arial" w:eastAsia="Times New Roman" w:hAnsi="Arial" w:cs="Arial"/>
          <w:bCs/>
        </w:rPr>
        <w:t>Need for synthesis of UK-based evidence</w:t>
      </w:r>
      <w:r w:rsidRPr="00FD73B4">
        <w:rPr>
          <w:rFonts w:ascii="Arial" w:hAnsi="Arial" w:cs="Arial"/>
        </w:rPr>
        <w:t>.........................................................................</w:t>
      </w:r>
      <w:r w:rsidR="00F05CC8">
        <w:rPr>
          <w:rFonts w:ascii="Arial" w:hAnsi="Arial" w:cs="Arial"/>
        </w:rPr>
        <w:t>4</w:t>
      </w:r>
      <w:r w:rsidRPr="00FD73B4">
        <w:rPr>
          <w:rFonts w:ascii="Arial" w:hAnsi="Arial" w:cs="Arial"/>
        </w:rPr>
        <w:t>4</w:t>
      </w:r>
    </w:p>
    <w:p w14:paraId="66B88AC3" w14:textId="612EF716"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w:t>
      </w:r>
      <w:r w:rsidR="00415A2A" w:rsidRPr="00FD73B4">
        <w:rPr>
          <w:rFonts w:ascii="Arial" w:hAnsi="Arial" w:cs="Arial"/>
        </w:rPr>
        <w:t>3</w:t>
      </w:r>
      <w:r w:rsidRPr="00FD73B4">
        <w:rPr>
          <w:rFonts w:ascii="Arial" w:hAnsi="Arial" w:cs="Arial"/>
        </w:rPr>
        <w:t xml:space="preserve"> </w:t>
      </w:r>
      <w:r w:rsidR="00415A2A" w:rsidRPr="00FD73B4">
        <w:rPr>
          <w:rFonts w:ascii="Arial" w:eastAsia="Times New Roman" w:hAnsi="Arial" w:cs="Arial"/>
          <w:bCs/>
        </w:rPr>
        <w:t>Rationale for the Research / Problem Statement</w:t>
      </w:r>
      <w:r w:rsidRPr="00FD73B4">
        <w:rPr>
          <w:rFonts w:ascii="Arial" w:hAnsi="Arial" w:cs="Arial"/>
        </w:rPr>
        <w:t>.....</w:t>
      </w:r>
      <w:r w:rsidR="00415A2A" w:rsidRPr="00FD73B4">
        <w:rPr>
          <w:rFonts w:ascii="Arial" w:hAnsi="Arial" w:cs="Arial"/>
        </w:rPr>
        <w:t>.</w:t>
      </w:r>
      <w:r w:rsidRPr="00FD73B4">
        <w:rPr>
          <w:rFonts w:ascii="Arial" w:hAnsi="Arial" w:cs="Arial"/>
        </w:rPr>
        <w:t>...........................................................</w:t>
      </w:r>
      <w:r w:rsidR="00F05CC8">
        <w:rPr>
          <w:rFonts w:ascii="Arial" w:hAnsi="Arial" w:cs="Arial"/>
        </w:rPr>
        <w:t>5</w:t>
      </w:r>
      <w:r w:rsidRPr="00FD73B4">
        <w:rPr>
          <w:rFonts w:ascii="Arial" w:hAnsi="Arial" w:cs="Arial"/>
        </w:rPr>
        <w:t>5</w:t>
      </w:r>
    </w:p>
    <w:p w14:paraId="15F28594" w14:textId="7968B552"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w:t>
      </w:r>
      <w:r w:rsidR="00EF1D57" w:rsidRPr="00FD73B4">
        <w:rPr>
          <w:rFonts w:ascii="Arial" w:hAnsi="Arial" w:cs="Arial"/>
        </w:rPr>
        <w:t>4</w:t>
      </w:r>
      <w:r w:rsidRPr="00FD73B4">
        <w:rPr>
          <w:rFonts w:ascii="Arial" w:hAnsi="Arial" w:cs="Arial"/>
        </w:rPr>
        <w:t xml:space="preserve"> Research </w:t>
      </w:r>
      <w:r w:rsidR="00EF1D57" w:rsidRPr="00FD73B4">
        <w:rPr>
          <w:rFonts w:ascii="Arial" w:hAnsi="Arial" w:cs="Arial"/>
        </w:rPr>
        <w:t>Question</w:t>
      </w:r>
      <w:r w:rsidRPr="00FD73B4">
        <w:rPr>
          <w:rFonts w:ascii="Arial" w:hAnsi="Arial" w:cs="Arial"/>
        </w:rPr>
        <w:t>.....................................................................................</w:t>
      </w:r>
      <w:r w:rsidR="00EF1D57" w:rsidRPr="00FD73B4">
        <w:rPr>
          <w:rFonts w:ascii="Arial" w:hAnsi="Arial" w:cs="Arial"/>
        </w:rPr>
        <w:t>.</w:t>
      </w:r>
      <w:r w:rsidRPr="00FD73B4">
        <w:rPr>
          <w:rFonts w:ascii="Arial" w:hAnsi="Arial" w:cs="Arial"/>
        </w:rPr>
        <w:t>....................</w:t>
      </w:r>
      <w:r w:rsidR="00EF1D57" w:rsidRPr="00FD73B4">
        <w:rPr>
          <w:rFonts w:ascii="Arial" w:hAnsi="Arial" w:cs="Arial"/>
        </w:rPr>
        <w:t>..</w:t>
      </w:r>
      <w:r w:rsidRPr="00FD73B4">
        <w:rPr>
          <w:rFonts w:ascii="Arial" w:hAnsi="Arial" w:cs="Arial"/>
        </w:rPr>
        <w:t>..</w:t>
      </w:r>
      <w:r w:rsidR="00F05CC8">
        <w:rPr>
          <w:rFonts w:ascii="Arial" w:hAnsi="Arial" w:cs="Arial"/>
        </w:rPr>
        <w:t>.5</w:t>
      </w:r>
      <w:r w:rsidRPr="00FD73B4">
        <w:rPr>
          <w:rFonts w:ascii="Arial" w:hAnsi="Arial" w:cs="Arial"/>
        </w:rPr>
        <w:t>5</w:t>
      </w:r>
    </w:p>
    <w:p w14:paraId="2A91BA5B" w14:textId="33EBF3AE"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1.</w:t>
      </w:r>
      <w:r w:rsidR="00EF1D57" w:rsidRPr="00FD73B4">
        <w:rPr>
          <w:rFonts w:ascii="Arial" w:hAnsi="Arial" w:cs="Arial"/>
        </w:rPr>
        <w:t>5</w:t>
      </w:r>
      <w:r w:rsidRPr="00FD73B4">
        <w:rPr>
          <w:rFonts w:ascii="Arial" w:hAnsi="Arial" w:cs="Arial"/>
        </w:rPr>
        <w:t xml:space="preserve"> </w:t>
      </w:r>
      <w:r w:rsidR="00EF1D57" w:rsidRPr="00FD73B4">
        <w:rPr>
          <w:rFonts w:ascii="Arial" w:hAnsi="Arial" w:cs="Arial"/>
        </w:rPr>
        <w:t>Research Aim</w:t>
      </w:r>
      <w:r w:rsidRPr="00FD73B4">
        <w:rPr>
          <w:rFonts w:ascii="Arial" w:hAnsi="Arial" w:cs="Arial"/>
        </w:rPr>
        <w:t>......................................................................................................</w:t>
      </w:r>
      <w:r w:rsidR="00EF1D57" w:rsidRPr="00FD73B4">
        <w:rPr>
          <w:rFonts w:ascii="Arial" w:hAnsi="Arial" w:cs="Arial"/>
        </w:rPr>
        <w:t>.......</w:t>
      </w:r>
      <w:r w:rsidRPr="00FD73B4">
        <w:rPr>
          <w:rFonts w:ascii="Arial" w:hAnsi="Arial" w:cs="Arial"/>
        </w:rPr>
        <w:t>.....</w:t>
      </w:r>
      <w:r w:rsidR="008869BD" w:rsidRPr="00FD73B4">
        <w:rPr>
          <w:rFonts w:ascii="Arial" w:hAnsi="Arial" w:cs="Arial"/>
        </w:rPr>
        <w:t>....</w:t>
      </w:r>
      <w:r w:rsidR="008869BD">
        <w:rPr>
          <w:rFonts w:ascii="Arial" w:hAnsi="Arial" w:cs="Arial"/>
        </w:rPr>
        <w:t>.</w:t>
      </w:r>
      <w:r w:rsidR="00F05CC8">
        <w:rPr>
          <w:rFonts w:ascii="Arial" w:hAnsi="Arial" w:cs="Arial"/>
        </w:rPr>
        <w:t>5</w:t>
      </w:r>
      <w:r w:rsidRPr="00FD73B4">
        <w:rPr>
          <w:rFonts w:ascii="Arial" w:hAnsi="Arial" w:cs="Arial"/>
        </w:rPr>
        <w:t>5</w:t>
      </w:r>
    </w:p>
    <w:p w14:paraId="4C7D2EDB" w14:textId="0448BA0B" w:rsidR="00EF1D57"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lastRenderedPageBreak/>
        <w:t xml:space="preserve"> </w:t>
      </w:r>
      <w:r w:rsidR="00EF1D57" w:rsidRPr="00FD73B4">
        <w:rPr>
          <w:rFonts w:ascii="Arial" w:hAnsi="Arial" w:cs="Arial"/>
        </w:rPr>
        <w:t xml:space="preserve">1.6 </w:t>
      </w:r>
      <w:r w:rsidR="00EF1D57" w:rsidRPr="00FD73B4">
        <w:rPr>
          <w:rFonts w:ascii="Arial" w:eastAsia="Times New Roman" w:hAnsi="Arial" w:cs="Arial"/>
        </w:rPr>
        <w:t>Research Objectives……………………………………………………………………………</w:t>
      </w:r>
      <w:r w:rsidR="00F05CC8">
        <w:rPr>
          <w:rFonts w:ascii="Arial" w:eastAsia="Times New Roman" w:hAnsi="Arial" w:cs="Arial"/>
        </w:rPr>
        <w:t>…55</w:t>
      </w:r>
    </w:p>
    <w:p w14:paraId="035D9656" w14:textId="31C78A70" w:rsidR="00EF1D57" w:rsidRPr="00FD73B4" w:rsidRDefault="00EF1D57" w:rsidP="008632B0">
      <w:pPr>
        <w:spacing w:before="100" w:beforeAutospacing="1" w:after="100" w:afterAutospacing="1" w:line="360" w:lineRule="auto"/>
        <w:outlineLvl w:val="1"/>
        <w:rPr>
          <w:rFonts w:ascii="Arial" w:eastAsia="Times New Roman" w:hAnsi="Arial" w:cs="Arial"/>
          <w:b/>
          <w:bCs/>
        </w:rPr>
      </w:pPr>
      <w:r w:rsidRPr="00FD73B4">
        <w:rPr>
          <w:rFonts w:ascii="Arial" w:hAnsi="Arial" w:cs="Arial"/>
        </w:rPr>
        <w:t xml:space="preserve">1.7 </w:t>
      </w:r>
      <w:r w:rsidRPr="00FD73B4">
        <w:rPr>
          <w:rFonts w:ascii="Arial" w:eastAsia="Times New Roman" w:hAnsi="Arial" w:cs="Arial"/>
        </w:rPr>
        <w:t>Chapter Summary</w:t>
      </w:r>
      <w:r w:rsidRPr="00FD73B4">
        <w:rPr>
          <w:rFonts w:ascii="Arial" w:eastAsia="Times New Roman" w:hAnsi="Arial" w:cs="Arial"/>
          <w:b/>
          <w:bCs/>
        </w:rPr>
        <w:t xml:space="preserve"> </w:t>
      </w:r>
      <w:r w:rsidRPr="00FD73B4">
        <w:rPr>
          <w:rFonts w:ascii="Arial" w:eastAsia="Times New Roman" w:hAnsi="Arial" w:cs="Arial"/>
        </w:rPr>
        <w:t>………………………………………………...</w:t>
      </w:r>
      <w:r w:rsidR="008869BD">
        <w:rPr>
          <w:rFonts w:ascii="Arial" w:eastAsia="Times New Roman" w:hAnsi="Arial" w:cs="Arial"/>
        </w:rPr>
        <w:t>.............................................33</w:t>
      </w:r>
    </w:p>
    <w:p w14:paraId="01F6FBC8" w14:textId="3808ECDE"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CHAPTER 2 LITERATURE </w:t>
      </w:r>
      <w:r w:rsidR="00DA34B0" w:rsidRPr="00FD73B4">
        <w:rPr>
          <w:rFonts w:ascii="Arial" w:hAnsi="Arial" w:cs="Arial"/>
        </w:rPr>
        <w:t>REVIEW</w:t>
      </w:r>
      <w:r w:rsidRPr="00FD73B4">
        <w:rPr>
          <w:rFonts w:ascii="Arial" w:hAnsi="Arial" w:cs="Arial"/>
        </w:rPr>
        <w:t>.......................................................................................</w:t>
      </w:r>
      <w:r w:rsidR="008869BD">
        <w:rPr>
          <w:rFonts w:ascii="Arial" w:hAnsi="Arial" w:cs="Arial"/>
        </w:rPr>
        <w:t>...6</w:t>
      </w:r>
      <w:r w:rsidRPr="00FD73B4">
        <w:rPr>
          <w:rFonts w:ascii="Arial" w:hAnsi="Arial" w:cs="Arial"/>
        </w:rPr>
        <w:t>6</w:t>
      </w:r>
    </w:p>
    <w:p w14:paraId="74940D33" w14:textId="7DC27F64"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2.1 Introduction to the Literature Review Chapter....................................................................</w:t>
      </w:r>
      <w:r w:rsidR="008869BD">
        <w:rPr>
          <w:rFonts w:ascii="Arial" w:hAnsi="Arial" w:cs="Arial"/>
        </w:rPr>
        <w:t>..4</w:t>
      </w:r>
      <w:r w:rsidRPr="00FD73B4">
        <w:rPr>
          <w:rFonts w:ascii="Arial" w:hAnsi="Arial" w:cs="Arial"/>
        </w:rPr>
        <w:t xml:space="preserve">6 </w:t>
      </w:r>
    </w:p>
    <w:p w14:paraId="004E71F8" w14:textId="0089FDAB" w:rsidR="00EF1D57"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2.2 </w:t>
      </w:r>
      <w:r w:rsidR="00EF1D57" w:rsidRPr="00FD73B4">
        <w:rPr>
          <w:rFonts w:ascii="Arial" w:hAnsi="Arial" w:cs="Arial"/>
        </w:rPr>
        <w:t>Literature Review……………………</w:t>
      </w:r>
      <w:r w:rsidRPr="00FD73B4">
        <w:rPr>
          <w:rFonts w:ascii="Arial" w:hAnsi="Arial" w:cs="Arial"/>
        </w:rPr>
        <w:t>....................................................................................</w:t>
      </w:r>
      <w:r w:rsidR="008869BD">
        <w:rPr>
          <w:rFonts w:ascii="Arial" w:hAnsi="Arial" w:cs="Arial"/>
        </w:rPr>
        <w:t>..6</w:t>
      </w:r>
      <w:r w:rsidRPr="00FD73B4">
        <w:rPr>
          <w:rFonts w:ascii="Arial" w:hAnsi="Arial" w:cs="Arial"/>
        </w:rPr>
        <w:t>6</w:t>
      </w:r>
    </w:p>
    <w:p w14:paraId="0739CE4B" w14:textId="134CA06B"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2.2.1 </w:t>
      </w:r>
      <w:r w:rsidR="00EF1D57" w:rsidRPr="00FD73B4">
        <w:rPr>
          <w:rFonts w:ascii="Arial" w:eastAsia="Times New Roman" w:hAnsi="Arial" w:cs="Arial"/>
        </w:rPr>
        <w:t>Stroke as a preventable non-communicable disease</w:t>
      </w:r>
      <w:r w:rsidR="00EF1D57" w:rsidRPr="00FD73B4">
        <w:rPr>
          <w:rFonts w:ascii="Arial" w:eastAsia="Times New Roman" w:hAnsi="Arial" w:cs="Arial"/>
          <w:b/>
          <w:bCs/>
        </w:rPr>
        <w:t>……</w:t>
      </w:r>
      <w:r w:rsidRPr="00FD73B4">
        <w:rPr>
          <w:rFonts w:ascii="Arial" w:hAnsi="Arial" w:cs="Arial"/>
        </w:rPr>
        <w:t>...............................</w:t>
      </w:r>
      <w:r w:rsidR="00EF1D57" w:rsidRPr="00FD73B4">
        <w:rPr>
          <w:rFonts w:ascii="Arial" w:hAnsi="Arial" w:cs="Arial"/>
        </w:rPr>
        <w:t>.........</w:t>
      </w:r>
      <w:r w:rsidRPr="00FD73B4">
        <w:rPr>
          <w:rFonts w:ascii="Arial" w:hAnsi="Arial" w:cs="Arial"/>
        </w:rPr>
        <w:t>......</w:t>
      </w:r>
      <w:r w:rsidR="008869BD">
        <w:rPr>
          <w:rFonts w:ascii="Arial" w:hAnsi="Arial" w:cs="Arial"/>
        </w:rPr>
        <w:t>....6</w:t>
      </w:r>
      <w:r w:rsidRPr="00FD73B4">
        <w:rPr>
          <w:rFonts w:ascii="Arial" w:hAnsi="Arial" w:cs="Arial"/>
        </w:rPr>
        <w:t>6</w:t>
      </w:r>
    </w:p>
    <w:p w14:paraId="0D12EBF3" w14:textId="1B78BB2D"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2.2.2 </w:t>
      </w:r>
      <w:r w:rsidR="00EF1D57" w:rsidRPr="00FD73B4">
        <w:rPr>
          <w:rFonts w:ascii="Arial" w:eastAsia="Times New Roman" w:hAnsi="Arial" w:cs="Arial"/>
        </w:rPr>
        <w:t>Dietary patterns and stroke risk</w:t>
      </w:r>
      <w:r w:rsidRPr="00FD73B4">
        <w:rPr>
          <w:rFonts w:ascii="Arial" w:hAnsi="Arial" w:cs="Arial"/>
        </w:rPr>
        <w:t>................................................</w:t>
      </w:r>
      <w:r w:rsidR="00EF1D57" w:rsidRPr="00FD73B4">
        <w:rPr>
          <w:rFonts w:ascii="Arial" w:hAnsi="Arial" w:cs="Arial"/>
        </w:rPr>
        <w:t>.....</w:t>
      </w:r>
      <w:r w:rsidRPr="00FD73B4">
        <w:rPr>
          <w:rFonts w:ascii="Arial" w:hAnsi="Arial" w:cs="Arial"/>
        </w:rPr>
        <w:t>..................................</w:t>
      </w:r>
      <w:r w:rsidR="008869BD">
        <w:rPr>
          <w:rFonts w:ascii="Arial" w:hAnsi="Arial" w:cs="Arial"/>
        </w:rPr>
        <w:t>...6</w:t>
      </w:r>
      <w:r w:rsidRPr="00FD73B4">
        <w:rPr>
          <w:rFonts w:ascii="Arial" w:hAnsi="Arial" w:cs="Arial"/>
        </w:rPr>
        <w:t xml:space="preserve">6 </w:t>
      </w:r>
    </w:p>
    <w:p w14:paraId="5812F97D" w14:textId="6966AF92"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2.2.3 </w:t>
      </w:r>
      <w:r w:rsidR="00EF1D57" w:rsidRPr="00FD73B4">
        <w:rPr>
          <w:rFonts w:ascii="Arial" w:eastAsia="Times New Roman" w:hAnsi="Arial" w:cs="Arial"/>
        </w:rPr>
        <w:t>Dietary fibre and specific nutritional components</w:t>
      </w:r>
      <w:r w:rsidRPr="00FD73B4">
        <w:rPr>
          <w:rFonts w:ascii="Arial" w:hAnsi="Arial" w:cs="Arial"/>
        </w:rPr>
        <w:t>....................................................</w:t>
      </w:r>
      <w:r w:rsidR="008869BD">
        <w:rPr>
          <w:rFonts w:ascii="Arial" w:hAnsi="Arial" w:cs="Arial"/>
        </w:rPr>
        <w:t>...........8</w:t>
      </w:r>
      <w:r w:rsidRPr="00FD73B4">
        <w:rPr>
          <w:rFonts w:ascii="Arial" w:hAnsi="Arial" w:cs="Arial"/>
        </w:rPr>
        <w:t xml:space="preserve">8 </w:t>
      </w:r>
    </w:p>
    <w:p w14:paraId="1802ECEC" w14:textId="64F5A21E"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2.2.</w:t>
      </w:r>
      <w:r w:rsidR="00823E41" w:rsidRPr="00FD73B4">
        <w:rPr>
          <w:rFonts w:ascii="Arial" w:hAnsi="Arial" w:cs="Arial"/>
        </w:rPr>
        <w:t>4</w:t>
      </w:r>
      <w:r w:rsidR="00EF1D57" w:rsidRPr="00FD73B4">
        <w:rPr>
          <w:rFonts w:ascii="Arial" w:eastAsia="Times New Roman" w:hAnsi="Arial" w:cs="Arial"/>
          <w:b/>
          <w:bCs/>
        </w:rPr>
        <w:t xml:space="preserve"> </w:t>
      </w:r>
      <w:r w:rsidR="00EF1D57" w:rsidRPr="00FD73B4">
        <w:rPr>
          <w:rFonts w:ascii="Arial" w:eastAsia="Times New Roman" w:hAnsi="Arial" w:cs="Arial"/>
        </w:rPr>
        <w:t>Physical activity and stroke prevention</w:t>
      </w:r>
      <w:r w:rsidRPr="00FD73B4">
        <w:rPr>
          <w:rFonts w:ascii="Arial" w:hAnsi="Arial" w:cs="Arial"/>
        </w:rPr>
        <w:t>...............................................................................</w:t>
      </w:r>
      <w:r w:rsidR="008869BD">
        <w:rPr>
          <w:rFonts w:ascii="Arial" w:hAnsi="Arial" w:cs="Arial"/>
        </w:rPr>
        <w:t>8</w:t>
      </w:r>
      <w:r w:rsidRPr="00FD73B4">
        <w:rPr>
          <w:rFonts w:ascii="Arial" w:hAnsi="Arial" w:cs="Arial"/>
        </w:rPr>
        <w:t>8</w:t>
      </w:r>
    </w:p>
    <w:p w14:paraId="34FFDDA2" w14:textId="671C9477"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2.2.5 </w:t>
      </w:r>
      <w:r w:rsidR="00823E41" w:rsidRPr="00FD73B4">
        <w:rPr>
          <w:rFonts w:ascii="Arial" w:eastAsia="Times New Roman" w:hAnsi="Arial" w:cs="Arial"/>
        </w:rPr>
        <w:t>Sedentary behavior as an independent risk factor</w:t>
      </w:r>
      <w:r w:rsidRPr="00FD73B4">
        <w:rPr>
          <w:rFonts w:ascii="Arial" w:hAnsi="Arial" w:cs="Arial"/>
        </w:rPr>
        <w:t>.............................................................</w:t>
      </w:r>
      <w:r w:rsidR="008869BD">
        <w:rPr>
          <w:rFonts w:ascii="Arial" w:hAnsi="Arial" w:cs="Arial"/>
        </w:rPr>
        <w:t>99</w:t>
      </w:r>
      <w:r w:rsidRPr="00FD73B4">
        <w:rPr>
          <w:rFonts w:ascii="Arial" w:hAnsi="Arial" w:cs="Arial"/>
        </w:rPr>
        <w:t xml:space="preserve"> </w:t>
      </w:r>
    </w:p>
    <w:p w14:paraId="6123B4F4" w14:textId="0B66D7FB" w:rsidR="002D6D0B" w:rsidRPr="00FD73B4" w:rsidRDefault="00823E41" w:rsidP="008632B0">
      <w:pPr>
        <w:spacing w:before="100" w:beforeAutospacing="1" w:after="100" w:afterAutospacing="1" w:line="360" w:lineRule="auto"/>
        <w:outlineLvl w:val="0"/>
        <w:rPr>
          <w:rFonts w:ascii="Arial" w:hAnsi="Arial" w:cs="Arial"/>
        </w:rPr>
      </w:pPr>
      <w:r w:rsidRPr="00FD73B4">
        <w:rPr>
          <w:rFonts w:ascii="Arial" w:hAnsi="Arial" w:cs="Arial"/>
        </w:rPr>
        <w:t>2.2.6</w:t>
      </w:r>
      <w:r w:rsidRPr="00FD73B4">
        <w:rPr>
          <w:rFonts w:ascii="Arial" w:eastAsia="Times New Roman" w:hAnsi="Arial" w:cs="Arial"/>
        </w:rPr>
        <w:t xml:space="preserve"> Lifestyle clustering and cumulative risk……………………………………………………….</w:t>
      </w:r>
      <w:r w:rsidR="008869BD">
        <w:rPr>
          <w:rFonts w:ascii="Arial" w:eastAsia="Times New Roman" w:hAnsi="Arial" w:cs="Arial"/>
        </w:rPr>
        <w:t>.99</w:t>
      </w:r>
    </w:p>
    <w:p w14:paraId="5D27E52B" w14:textId="3CCE47DA" w:rsidR="00823E41" w:rsidRPr="00FD73B4" w:rsidRDefault="00823E41"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2.2.7 Genetic susceptibility and lifestyle interaction……………………………………………….</w:t>
      </w:r>
      <w:r w:rsidR="008869BD">
        <w:rPr>
          <w:rFonts w:ascii="Arial" w:eastAsia="Times New Roman" w:hAnsi="Arial" w:cs="Arial"/>
        </w:rPr>
        <w:t>.99</w:t>
      </w:r>
    </w:p>
    <w:p w14:paraId="4C530F54" w14:textId="6CE5CA58" w:rsidR="00823E41" w:rsidRPr="00FD73B4" w:rsidRDefault="00823E41"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2.2.8 Psychosocial and environmental influences on lifestyle behaviors…………………</w:t>
      </w:r>
      <w:r w:rsidR="008869BD">
        <w:rPr>
          <w:rFonts w:ascii="Arial" w:eastAsia="Times New Roman" w:hAnsi="Arial" w:cs="Arial"/>
        </w:rPr>
        <w:t>……...99</w:t>
      </w:r>
    </w:p>
    <w:p w14:paraId="257A9646" w14:textId="4D929C7F" w:rsidR="00823E41" w:rsidRPr="00FD73B4" w:rsidRDefault="00823E41"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2.2.9 Limitations of existing research……………………………………</w:t>
      </w:r>
      <w:r w:rsidR="008869BD">
        <w:rPr>
          <w:rFonts w:ascii="Arial" w:eastAsia="Times New Roman" w:hAnsi="Arial" w:cs="Arial"/>
        </w:rPr>
        <w:t>……………………………99</w:t>
      </w:r>
    </w:p>
    <w:p w14:paraId="5E361DF3" w14:textId="61D2390B" w:rsidR="00823E41" w:rsidRPr="00FD73B4" w:rsidRDefault="00823E41" w:rsidP="008632B0">
      <w:pPr>
        <w:spacing w:before="100" w:beforeAutospacing="1" w:after="100" w:afterAutospacing="1" w:line="360" w:lineRule="auto"/>
        <w:outlineLvl w:val="0"/>
        <w:rPr>
          <w:rFonts w:ascii="Arial" w:hAnsi="Arial" w:cs="Arial"/>
        </w:rPr>
      </w:pPr>
      <w:r w:rsidRPr="00FD73B4">
        <w:rPr>
          <w:rFonts w:ascii="Arial" w:eastAsia="Times New Roman" w:hAnsi="Arial" w:cs="Arial"/>
        </w:rPr>
        <w:t>2.2.10 Rationale for the present systematic literature review………</w:t>
      </w:r>
      <w:r w:rsidR="008869BD">
        <w:rPr>
          <w:rFonts w:ascii="Arial" w:eastAsia="Times New Roman" w:hAnsi="Arial" w:cs="Arial"/>
        </w:rPr>
        <w:t>………………………………99</w:t>
      </w:r>
    </w:p>
    <w:p w14:paraId="409E00A1" w14:textId="5753A2D0"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2.3 </w:t>
      </w:r>
      <w:r w:rsidR="00823E41" w:rsidRPr="00FD73B4">
        <w:rPr>
          <w:rFonts w:ascii="Arial" w:eastAsia="Times New Roman" w:hAnsi="Arial" w:cs="Arial"/>
        </w:rPr>
        <w:t>Chapter Summary</w:t>
      </w:r>
      <w:r w:rsidRPr="00FD73B4">
        <w:rPr>
          <w:rFonts w:ascii="Arial" w:hAnsi="Arial" w:cs="Arial"/>
        </w:rPr>
        <w:t xml:space="preserve"> ....................................</w:t>
      </w:r>
      <w:r w:rsidR="00823E41" w:rsidRPr="00FD73B4">
        <w:rPr>
          <w:rFonts w:ascii="Arial" w:hAnsi="Arial" w:cs="Arial"/>
        </w:rPr>
        <w:t>.............................</w:t>
      </w:r>
      <w:r w:rsidRPr="00FD73B4">
        <w:rPr>
          <w:rFonts w:ascii="Arial" w:hAnsi="Arial" w:cs="Arial"/>
        </w:rPr>
        <w:t>.......</w:t>
      </w:r>
      <w:r w:rsidR="00823E41" w:rsidRPr="00FD73B4">
        <w:rPr>
          <w:rFonts w:ascii="Arial" w:hAnsi="Arial" w:cs="Arial"/>
        </w:rPr>
        <w:t>..</w:t>
      </w:r>
      <w:r w:rsidR="008869BD">
        <w:rPr>
          <w:rFonts w:ascii="Arial" w:hAnsi="Arial" w:cs="Arial"/>
        </w:rPr>
        <w:t>......................................77</w:t>
      </w:r>
    </w:p>
    <w:p w14:paraId="3106C87F" w14:textId="2F008C0A"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CHAPTER </w:t>
      </w:r>
      <w:r w:rsidR="00823E41" w:rsidRPr="00FD73B4">
        <w:rPr>
          <w:rFonts w:ascii="Arial" w:hAnsi="Arial" w:cs="Arial"/>
        </w:rPr>
        <w:t>3: METHODOLOGY</w:t>
      </w:r>
      <w:r w:rsidRPr="00FD73B4">
        <w:rPr>
          <w:rFonts w:ascii="Arial" w:hAnsi="Arial" w:cs="Arial"/>
        </w:rPr>
        <w:t>...................................................................................</w:t>
      </w:r>
      <w:r w:rsidR="008869BD">
        <w:rPr>
          <w:rFonts w:ascii="Arial" w:hAnsi="Arial" w:cs="Arial"/>
        </w:rPr>
        <w:t>...............</w:t>
      </w:r>
      <w:r w:rsidRPr="00FD73B4">
        <w:rPr>
          <w:rFonts w:ascii="Arial" w:hAnsi="Arial" w:cs="Arial"/>
        </w:rPr>
        <w:t>12</w:t>
      </w:r>
    </w:p>
    <w:p w14:paraId="661A30AB" w14:textId="1C65D47F"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3.1 Introduction .....................................................................................................................</w:t>
      </w:r>
      <w:r w:rsidR="008869BD" w:rsidRPr="00FD73B4">
        <w:rPr>
          <w:rFonts w:ascii="Arial" w:hAnsi="Arial" w:cs="Arial"/>
        </w:rPr>
        <w:t>....</w:t>
      </w:r>
      <w:r w:rsidR="008869BD">
        <w:rPr>
          <w:rFonts w:ascii="Arial" w:hAnsi="Arial" w:cs="Arial"/>
        </w:rPr>
        <w:t>.</w:t>
      </w:r>
      <w:r w:rsidRPr="00FD73B4">
        <w:rPr>
          <w:rFonts w:ascii="Arial" w:hAnsi="Arial" w:cs="Arial"/>
        </w:rPr>
        <w:t>12</w:t>
      </w:r>
    </w:p>
    <w:p w14:paraId="7F57C611" w14:textId="0A14C349"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3.2 </w:t>
      </w:r>
      <w:r w:rsidR="00823E41" w:rsidRPr="00FD73B4">
        <w:rPr>
          <w:rStyle w:val="Strong"/>
          <w:rFonts w:ascii="Arial" w:hAnsi="Arial" w:cs="Arial"/>
          <w:b w:val="0"/>
          <w:bCs w:val="0"/>
        </w:rPr>
        <w:t>Systematic Literature Review Approach</w:t>
      </w:r>
      <w:r w:rsidRPr="00FD73B4">
        <w:rPr>
          <w:rFonts w:ascii="Arial" w:hAnsi="Arial" w:cs="Arial"/>
        </w:rPr>
        <w:t>...........................................................................</w:t>
      </w:r>
      <w:r w:rsidR="008869BD" w:rsidRPr="00FD73B4">
        <w:rPr>
          <w:rFonts w:ascii="Arial" w:hAnsi="Arial" w:cs="Arial"/>
        </w:rPr>
        <w:t>...</w:t>
      </w:r>
      <w:r w:rsidR="008869BD">
        <w:rPr>
          <w:rFonts w:ascii="Arial" w:hAnsi="Arial" w:cs="Arial"/>
        </w:rPr>
        <w:t>.</w:t>
      </w:r>
      <w:r w:rsidRPr="00FD73B4">
        <w:rPr>
          <w:rFonts w:ascii="Arial" w:hAnsi="Arial" w:cs="Arial"/>
        </w:rPr>
        <w:t xml:space="preserve">12 </w:t>
      </w:r>
    </w:p>
    <w:p w14:paraId="04F113A7" w14:textId="4B923278" w:rsidR="002D6D0B" w:rsidRPr="00FD73B4" w:rsidRDefault="002D6D0B" w:rsidP="008632B0">
      <w:pPr>
        <w:pStyle w:val="Heading2"/>
        <w:spacing w:line="360" w:lineRule="auto"/>
        <w:rPr>
          <w:rFonts w:ascii="Arial" w:hAnsi="Arial" w:cs="Arial"/>
          <w:sz w:val="22"/>
          <w:szCs w:val="22"/>
        </w:rPr>
      </w:pPr>
      <w:r w:rsidRPr="00FD73B4">
        <w:rPr>
          <w:rFonts w:ascii="Arial" w:hAnsi="Arial" w:cs="Arial"/>
          <w:b w:val="0"/>
          <w:bCs w:val="0"/>
          <w:sz w:val="22"/>
          <w:szCs w:val="22"/>
        </w:rPr>
        <w:t xml:space="preserve">3.3 </w:t>
      </w:r>
      <w:r w:rsidR="00823E41" w:rsidRPr="00FD73B4">
        <w:rPr>
          <w:rStyle w:val="Strong"/>
          <w:rFonts w:ascii="Arial" w:hAnsi="Arial" w:cs="Arial"/>
          <w:sz w:val="22"/>
          <w:szCs w:val="22"/>
        </w:rPr>
        <w:t>Research Question and Framework</w:t>
      </w:r>
      <w:r w:rsidRPr="008869BD">
        <w:rPr>
          <w:rFonts w:ascii="Arial" w:hAnsi="Arial" w:cs="Arial"/>
          <w:b w:val="0"/>
          <w:bCs w:val="0"/>
          <w:sz w:val="22"/>
          <w:szCs w:val="22"/>
        </w:rPr>
        <w:t>...................................................................</w:t>
      </w:r>
      <w:r w:rsidR="008869BD">
        <w:rPr>
          <w:rFonts w:ascii="Arial" w:hAnsi="Arial" w:cs="Arial"/>
          <w:b w:val="0"/>
          <w:bCs w:val="0"/>
          <w:sz w:val="22"/>
          <w:szCs w:val="22"/>
        </w:rPr>
        <w:t>...................</w:t>
      </w:r>
      <w:r w:rsidRPr="008869BD">
        <w:rPr>
          <w:rFonts w:ascii="Arial" w:hAnsi="Arial" w:cs="Arial"/>
          <w:b w:val="0"/>
          <w:bCs w:val="0"/>
          <w:sz w:val="22"/>
          <w:szCs w:val="22"/>
        </w:rPr>
        <w:t>12</w:t>
      </w:r>
      <w:r w:rsidRPr="00FD73B4">
        <w:rPr>
          <w:rFonts w:ascii="Arial" w:hAnsi="Arial" w:cs="Arial"/>
          <w:sz w:val="22"/>
          <w:szCs w:val="22"/>
        </w:rPr>
        <w:t xml:space="preserve"> </w:t>
      </w:r>
    </w:p>
    <w:p w14:paraId="1C80A54B" w14:textId="025DA9AA"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lastRenderedPageBreak/>
        <w:t xml:space="preserve">3.4 </w:t>
      </w:r>
      <w:r w:rsidR="00747DE4" w:rsidRPr="00FD73B4">
        <w:rPr>
          <w:rStyle w:val="Strong"/>
          <w:rFonts w:ascii="Arial" w:hAnsi="Arial" w:cs="Arial"/>
          <w:b w:val="0"/>
          <w:bCs w:val="0"/>
        </w:rPr>
        <w:t>Search Strategy</w:t>
      </w:r>
      <w:r w:rsidRPr="00FD73B4">
        <w:rPr>
          <w:rFonts w:ascii="Arial" w:hAnsi="Arial" w:cs="Arial"/>
        </w:rPr>
        <w:t>............................................................................................................</w:t>
      </w:r>
      <w:r w:rsidR="008869BD">
        <w:rPr>
          <w:rFonts w:ascii="Arial" w:hAnsi="Arial" w:cs="Arial"/>
        </w:rPr>
        <w:t>.........</w:t>
      </w:r>
      <w:r w:rsidRPr="00FD73B4">
        <w:rPr>
          <w:rFonts w:ascii="Arial" w:hAnsi="Arial" w:cs="Arial"/>
        </w:rPr>
        <w:t>13</w:t>
      </w:r>
    </w:p>
    <w:p w14:paraId="07B5A015" w14:textId="3D81DC69" w:rsidR="00747DE4" w:rsidRPr="00FD73B4" w:rsidRDefault="00747DE4" w:rsidP="008632B0">
      <w:pPr>
        <w:pStyle w:val="Heading3"/>
        <w:spacing w:line="360" w:lineRule="auto"/>
        <w:rPr>
          <w:rFonts w:ascii="Arial" w:hAnsi="Arial" w:cs="Arial"/>
          <w:sz w:val="22"/>
          <w:szCs w:val="22"/>
        </w:rPr>
      </w:pPr>
      <w:r w:rsidRPr="00FD73B4">
        <w:rPr>
          <w:rStyle w:val="Strong"/>
          <w:rFonts w:ascii="Arial" w:hAnsi="Arial" w:cs="Arial"/>
          <w:sz w:val="22"/>
          <w:szCs w:val="22"/>
        </w:rPr>
        <w:t>3.4.1 Boolean Operators and Search Strings……………………</w:t>
      </w:r>
      <w:r w:rsidR="008869BD">
        <w:rPr>
          <w:rStyle w:val="Strong"/>
          <w:rFonts w:ascii="Arial" w:hAnsi="Arial" w:cs="Arial"/>
          <w:sz w:val="22"/>
          <w:szCs w:val="22"/>
        </w:rPr>
        <w:t>…………………………………..12</w:t>
      </w:r>
    </w:p>
    <w:p w14:paraId="740C84F3" w14:textId="7E1214E0" w:rsidR="00747DE4" w:rsidRPr="00FD73B4" w:rsidRDefault="00747DE4" w:rsidP="008632B0">
      <w:pPr>
        <w:pStyle w:val="Heading3"/>
        <w:spacing w:line="360" w:lineRule="auto"/>
        <w:rPr>
          <w:rFonts w:ascii="Arial" w:hAnsi="Arial" w:cs="Arial"/>
          <w:sz w:val="22"/>
          <w:szCs w:val="22"/>
        </w:rPr>
      </w:pPr>
      <w:r w:rsidRPr="00FD73B4">
        <w:rPr>
          <w:rStyle w:val="Strong"/>
          <w:rFonts w:ascii="Arial" w:hAnsi="Arial" w:cs="Arial"/>
          <w:sz w:val="22"/>
          <w:szCs w:val="22"/>
        </w:rPr>
        <w:t>3.4.2 Truncations and Phrase Searching……………………</w:t>
      </w:r>
      <w:r w:rsidR="008869BD">
        <w:rPr>
          <w:rStyle w:val="Strong"/>
          <w:rFonts w:ascii="Arial" w:hAnsi="Arial" w:cs="Arial"/>
          <w:sz w:val="22"/>
          <w:szCs w:val="22"/>
        </w:rPr>
        <w:t>……………………………………….12</w:t>
      </w:r>
    </w:p>
    <w:p w14:paraId="0E51D3D0" w14:textId="0786F2A5" w:rsidR="00747DE4" w:rsidRPr="00FD73B4" w:rsidRDefault="00747DE4" w:rsidP="008632B0">
      <w:pPr>
        <w:pStyle w:val="Heading3"/>
        <w:spacing w:line="360" w:lineRule="auto"/>
        <w:rPr>
          <w:rFonts w:ascii="Arial" w:hAnsi="Arial" w:cs="Arial"/>
          <w:sz w:val="22"/>
          <w:szCs w:val="22"/>
        </w:rPr>
      </w:pPr>
      <w:r w:rsidRPr="00FD73B4">
        <w:rPr>
          <w:rStyle w:val="Strong"/>
          <w:rFonts w:ascii="Arial" w:hAnsi="Arial" w:cs="Arial"/>
          <w:sz w:val="22"/>
          <w:szCs w:val="22"/>
        </w:rPr>
        <w:t>3.4.3 Filters and Limits………………………</w:t>
      </w:r>
      <w:r w:rsidR="008869BD">
        <w:rPr>
          <w:rStyle w:val="Strong"/>
          <w:rFonts w:ascii="Arial" w:hAnsi="Arial" w:cs="Arial"/>
          <w:sz w:val="22"/>
          <w:szCs w:val="22"/>
        </w:rPr>
        <w:t>………………………………………………………….22</w:t>
      </w:r>
    </w:p>
    <w:p w14:paraId="7A49B9F7" w14:textId="1B988BF0"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3.5 Key Words .......................................................................................................................</w:t>
      </w:r>
      <w:r w:rsidR="008869BD">
        <w:rPr>
          <w:rFonts w:ascii="Arial" w:hAnsi="Arial" w:cs="Arial"/>
        </w:rPr>
        <w:t>....</w:t>
      </w:r>
      <w:r w:rsidRPr="00FD73B4">
        <w:rPr>
          <w:rFonts w:ascii="Arial" w:hAnsi="Arial" w:cs="Arial"/>
        </w:rPr>
        <w:t xml:space="preserve">14 </w:t>
      </w:r>
    </w:p>
    <w:p w14:paraId="606D6432" w14:textId="195E9356"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3.6 </w:t>
      </w:r>
      <w:r w:rsidR="00747DE4" w:rsidRPr="00FD73B4">
        <w:rPr>
          <w:rStyle w:val="Strong"/>
          <w:rFonts w:ascii="Arial" w:hAnsi="Arial" w:cs="Arial"/>
          <w:b w:val="0"/>
          <w:bCs w:val="0"/>
        </w:rPr>
        <w:t>Databases Searched</w:t>
      </w:r>
      <w:r w:rsidRPr="00FD73B4">
        <w:rPr>
          <w:rFonts w:ascii="Arial" w:hAnsi="Arial" w:cs="Arial"/>
        </w:rPr>
        <w:t>............................................................................................................</w:t>
      </w:r>
      <w:r w:rsidR="008869BD">
        <w:rPr>
          <w:rFonts w:ascii="Arial" w:hAnsi="Arial" w:cs="Arial"/>
        </w:rPr>
        <w:t>.</w:t>
      </w:r>
      <w:r w:rsidRPr="00FD73B4">
        <w:rPr>
          <w:rFonts w:ascii="Arial" w:hAnsi="Arial" w:cs="Arial"/>
        </w:rPr>
        <w:t>14</w:t>
      </w:r>
    </w:p>
    <w:p w14:paraId="0B271338" w14:textId="1270AC55" w:rsidR="00747DE4" w:rsidRPr="00FD73B4" w:rsidRDefault="00747DE4" w:rsidP="008632B0">
      <w:pPr>
        <w:pStyle w:val="Heading3"/>
        <w:spacing w:line="360" w:lineRule="auto"/>
        <w:rPr>
          <w:rFonts w:ascii="Arial" w:hAnsi="Arial" w:cs="Arial"/>
          <w:sz w:val="22"/>
          <w:szCs w:val="22"/>
        </w:rPr>
      </w:pPr>
      <w:r w:rsidRPr="00FD73B4">
        <w:rPr>
          <w:rStyle w:val="Strong"/>
          <w:rFonts w:ascii="Arial" w:hAnsi="Arial" w:cs="Arial"/>
          <w:sz w:val="22"/>
          <w:szCs w:val="22"/>
        </w:rPr>
        <w:t>3.6.1 PubMed…………………</w:t>
      </w:r>
      <w:r w:rsidR="008869BD">
        <w:rPr>
          <w:rStyle w:val="Strong"/>
          <w:rFonts w:ascii="Arial" w:hAnsi="Arial" w:cs="Arial"/>
          <w:sz w:val="22"/>
          <w:szCs w:val="22"/>
        </w:rPr>
        <w:t>…………………………………………………………………………12</w:t>
      </w:r>
    </w:p>
    <w:p w14:paraId="51F1A467" w14:textId="7ECC1FA2" w:rsidR="00CF7916" w:rsidRPr="00FD73B4" w:rsidRDefault="00CF7916" w:rsidP="008632B0">
      <w:pPr>
        <w:pStyle w:val="Heading3"/>
        <w:spacing w:line="360" w:lineRule="auto"/>
        <w:rPr>
          <w:rFonts w:ascii="Arial" w:hAnsi="Arial" w:cs="Arial"/>
          <w:sz w:val="22"/>
          <w:szCs w:val="22"/>
        </w:rPr>
      </w:pPr>
      <w:r w:rsidRPr="00FD73B4">
        <w:rPr>
          <w:rStyle w:val="Strong"/>
          <w:rFonts w:ascii="Arial" w:hAnsi="Arial" w:cs="Arial"/>
          <w:sz w:val="22"/>
          <w:szCs w:val="22"/>
        </w:rPr>
        <w:t>3.6.2 ProQuest…………………………………………</w:t>
      </w:r>
      <w:r w:rsidR="008869BD" w:rsidRPr="00FD73B4">
        <w:rPr>
          <w:rStyle w:val="Strong"/>
          <w:rFonts w:ascii="Arial" w:hAnsi="Arial" w:cs="Arial"/>
          <w:sz w:val="22"/>
          <w:szCs w:val="22"/>
        </w:rPr>
        <w:t>…</w:t>
      </w:r>
      <w:r w:rsidR="008869BD">
        <w:rPr>
          <w:rStyle w:val="Strong"/>
          <w:rFonts w:ascii="Arial" w:hAnsi="Arial" w:cs="Arial"/>
          <w:sz w:val="22"/>
          <w:szCs w:val="22"/>
        </w:rPr>
        <w:t>……………………………………………..11</w:t>
      </w:r>
    </w:p>
    <w:p w14:paraId="5FDF847A" w14:textId="1E9E557E" w:rsidR="00CF7916" w:rsidRPr="00FD73B4" w:rsidRDefault="00CF7916" w:rsidP="008632B0">
      <w:pPr>
        <w:pStyle w:val="Heading3"/>
        <w:spacing w:line="360" w:lineRule="auto"/>
        <w:rPr>
          <w:rFonts w:ascii="Arial" w:hAnsi="Arial" w:cs="Arial"/>
          <w:sz w:val="22"/>
          <w:szCs w:val="22"/>
        </w:rPr>
      </w:pPr>
      <w:r w:rsidRPr="00FD73B4">
        <w:rPr>
          <w:rStyle w:val="Strong"/>
          <w:rFonts w:ascii="Arial" w:hAnsi="Arial" w:cs="Arial"/>
          <w:sz w:val="22"/>
          <w:szCs w:val="22"/>
        </w:rPr>
        <w:t>3.6.3 Supplementary Searching Methods………………………………</w:t>
      </w:r>
      <w:r w:rsidR="008869BD">
        <w:rPr>
          <w:rStyle w:val="Strong"/>
          <w:rFonts w:ascii="Arial" w:hAnsi="Arial" w:cs="Arial"/>
          <w:sz w:val="22"/>
          <w:szCs w:val="22"/>
        </w:rPr>
        <w:t>…………………………….12</w:t>
      </w:r>
    </w:p>
    <w:p w14:paraId="0B7D70EF" w14:textId="58B18B72" w:rsidR="002D6D0B" w:rsidRPr="00FD73B4" w:rsidRDefault="002D6D0B" w:rsidP="008632B0">
      <w:pPr>
        <w:pStyle w:val="Heading2"/>
        <w:spacing w:line="360" w:lineRule="auto"/>
        <w:rPr>
          <w:rFonts w:ascii="Arial" w:hAnsi="Arial" w:cs="Arial"/>
          <w:b w:val="0"/>
          <w:bCs w:val="0"/>
          <w:sz w:val="22"/>
          <w:szCs w:val="22"/>
        </w:rPr>
      </w:pPr>
      <w:r w:rsidRPr="00FD73B4">
        <w:rPr>
          <w:rFonts w:ascii="Arial" w:hAnsi="Arial" w:cs="Arial"/>
          <w:b w:val="0"/>
          <w:bCs w:val="0"/>
          <w:sz w:val="22"/>
          <w:szCs w:val="22"/>
        </w:rPr>
        <w:t>3.7</w:t>
      </w:r>
      <w:r w:rsidRPr="00FD73B4">
        <w:rPr>
          <w:rFonts w:ascii="Arial" w:hAnsi="Arial" w:cs="Arial"/>
          <w:sz w:val="22"/>
          <w:szCs w:val="22"/>
        </w:rPr>
        <w:t xml:space="preserve"> </w:t>
      </w:r>
      <w:r w:rsidR="00CF7916" w:rsidRPr="00FD73B4">
        <w:rPr>
          <w:rStyle w:val="Strong"/>
          <w:rFonts w:ascii="Arial" w:hAnsi="Arial" w:cs="Arial"/>
          <w:sz w:val="22"/>
          <w:szCs w:val="22"/>
        </w:rPr>
        <w:t>Inclusion and Exclusion Criteria</w:t>
      </w:r>
      <w:r w:rsidRPr="00FD73B4">
        <w:rPr>
          <w:rFonts w:ascii="Arial" w:hAnsi="Arial" w:cs="Arial"/>
          <w:b w:val="0"/>
          <w:bCs w:val="0"/>
          <w:sz w:val="22"/>
          <w:szCs w:val="22"/>
        </w:rPr>
        <w:t>.........................................................</w:t>
      </w:r>
      <w:r w:rsidR="008869BD">
        <w:rPr>
          <w:rFonts w:ascii="Arial" w:hAnsi="Arial" w:cs="Arial"/>
          <w:b w:val="0"/>
          <w:bCs w:val="0"/>
          <w:sz w:val="22"/>
          <w:szCs w:val="22"/>
        </w:rPr>
        <w:t>...............................</w:t>
      </w:r>
      <w:r w:rsidRPr="00FD73B4">
        <w:rPr>
          <w:rFonts w:ascii="Arial" w:hAnsi="Arial" w:cs="Arial"/>
          <w:b w:val="0"/>
          <w:bCs w:val="0"/>
          <w:sz w:val="22"/>
          <w:szCs w:val="22"/>
        </w:rPr>
        <w:t>....15</w:t>
      </w:r>
    </w:p>
    <w:p w14:paraId="119CA80E" w14:textId="7FF6F4B6" w:rsidR="002D6D0B" w:rsidRPr="00FD73B4" w:rsidRDefault="0082770D" w:rsidP="008632B0">
      <w:pPr>
        <w:pStyle w:val="Heading3"/>
        <w:spacing w:line="360" w:lineRule="auto"/>
        <w:rPr>
          <w:rFonts w:ascii="Arial" w:hAnsi="Arial" w:cs="Arial"/>
          <w:b w:val="0"/>
          <w:bCs w:val="0"/>
          <w:sz w:val="22"/>
          <w:szCs w:val="22"/>
        </w:rPr>
      </w:pPr>
      <w:r w:rsidRPr="00FD73B4">
        <w:rPr>
          <w:rStyle w:val="Strong"/>
          <w:rFonts w:ascii="Arial" w:hAnsi="Arial" w:cs="Arial"/>
          <w:sz w:val="22"/>
          <w:szCs w:val="22"/>
        </w:rPr>
        <w:t>3.7.1 Inclusion Criteria</w:t>
      </w:r>
      <w:r w:rsidR="002D6D0B" w:rsidRPr="00FD73B4">
        <w:rPr>
          <w:rFonts w:ascii="Arial" w:hAnsi="Arial" w:cs="Arial"/>
          <w:b w:val="0"/>
          <w:bCs w:val="0"/>
          <w:sz w:val="22"/>
          <w:szCs w:val="22"/>
        </w:rPr>
        <w:t>...................................................................................</w:t>
      </w:r>
      <w:r w:rsidR="008869BD">
        <w:rPr>
          <w:rFonts w:ascii="Arial" w:hAnsi="Arial" w:cs="Arial"/>
          <w:b w:val="0"/>
          <w:bCs w:val="0"/>
          <w:sz w:val="22"/>
          <w:szCs w:val="22"/>
        </w:rPr>
        <w:t>......................</w:t>
      </w:r>
      <w:r w:rsidR="002D6D0B" w:rsidRPr="00FD73B4">
        <w:rPr>
          <w:rFonts w:ascii="Arial" w:hAnsi="Arial" w:cs="Arial"/>
          <w:b w:val="0"/>
          <w:bCs w:val="0"/>
          <w:sz w:val="22"/>
          <w:szCs w:val="22"/>
        </w:rPr>
        <w:t>........15</w:t>
      </w:r>
    </w:p>
    <w:p w14:paraId="74F23412" w14:textId="75C4CE2A"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3.7.2 Exclusion Criteria ............................................................................................................</w:t>
      </w:r>
      <w:r w:rsidR="008869BD">
        <w:rPr>
          <w:rFonts w:ascii="Arial" w:hAnsi="Arial" w:cs="Arial"/>
        </w:rPr>
        <w:t>.</w:t>
      </w:r>
      <w:r w:rsidRPr="00FD73B4">
        <w:rPr>
          <w:rFonts w:ascii="Arial" w:hAnsi="Arial" w:cs="Arial"/>
        </w:rPr>
        <w:t xml:space="preserve">..16 </w:t>
      </w:r>
    </w:p>
    <w:p w14:paraId="2F3472AC" w14:textId="06E9B484"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3.8 </w:t>
      </w:r>
      <w:r w:rsidR="0082770D" w:rsidRPr="00FD73B4">
        <w:rPr>
          <w:rStyle w:val="Strong"/>
          <w:rFonts w:ascii="Arial" w:hAnsi="Arial" w:cs="Arial"/>
          <w:b w:val="0"/>
          <w:bCs w:val="0"/>
        </w:rPr>
        <w:t>Screening and Selection Process</w:t>
      </w:r>
      <w:r w:rsidRPr="00FD73B4">
        <w:rPr>
          <w:rFonts w:ascii="Arial" w:hAnsi="Arial" w:cs="Arial"/>
        </w:rPr>
        <w:t>......................................................................................</w:t>
      </w:r>
      <w:r w:rsidR="008869BD">
        <w:rPr>
          <w:rFonts w:ascii="Arial" w:hAnsi="Arial" w:cs="Arial"/>
        </w:rPr>
        <w:t>.</w:t>
      </w:r>
      <w:r w:rsidRPr="00FD73B4">
        <w:rPr>
          <w:rFonts w:ascii="Arial" w:hAnsi="Arial" w:cs="Arial"/>
        </w:rPr>
        <w:t>...16</w:t>
      </w:r>
    </w:p>
    <w:p w14:paraId="2ED31210" w14:textId="77E25481" w:rsidR="002D6D0B" w:rsidRPr="00FD73B4" w:rsidRDefault="002D6D0B" w:rsidP="008632B0">
      <w:pPr>
        <w:pStyle w:val="Heading2"/>
        <w:spacing w:line="360" w:lineRule="auto"/>
        <w:rPr>
          <w:rFonts w:ascii="Arial" w:hAnsi="Arial" w:cs="Arial"/>
          <w:sz w:val="22"/>
          <w:szCs w:val="22"/>
        </w:rPr>
      </w:pPr>
      <w:r w:rsidRPr="00FD73B4">
        <w:rPr>
          <w:rFonts w:ascii="Arial" w:hAnsi="Arial" w:cs="Arial"/>
          <w:b w:val="0"/>
          <w:bCs w:val="0"/>
          <w:sz w:val="22"/>
          <w:szCs w:val="22"/>
        </w:rPr>
        <w:t>3.9</w:t>
      </w:r>
      <w:r w:rsidRPr="00FD73B4">
        <w:rPr>
          <w:rFonts w:ascii="Arial" w:hAnsi="Arial" w:cs="Arial"/>
          <w:sz w:val="22"/>
          <w:szCs w:val="22"/>
        </w:rPr>
        <w:t xml:space="preserve"> </w:t>
      </w:r>
      <w:r w:rsidR="0082770D" w:rsidRPr="00FD73B4">
        <w:rPr>
          <w:rStyle w:val="Strong"/>
          <w:rFonts w:ascii="Arial" w:hAnsi="Arial" w:cs="Arial"/>
          <w:sz w:val="22"/>
          <w:szCs w:val="22"/>
        </w:rPr>
        <w:t>Quality Appraisal</w:t>
      </w:r>
      <w:r w:rsidRPr="00FD73B4">
        <w:rPr>
          <w:rFonts w:ascii="Arial" w:hAnsi="Arial" w:cs="Arial"/>
          <w:b w:val="0"/>
          <w:bCs w:val="0"/>
          <w:sz w:val="22"/>
          <w:szCs w:val="22"/>
        </w:rPr>
        <w:t>...........................................................................................</w:t>
      </w:r>
      <w:r w:rsidR="008869BD">
        <w:rPr>
          <w:rFonts w:ascii="Arial" w:hAnsi="Arial" w:cs="Arial"/>
          <w:b w:val="0"/>
          <w:bCs w:val="0"/>
          <w:sz w:val="22"/>
          <w:szCs w:val="22"/>
        </w:rPr>
        <w:t>......................</w:t>
      </w:r>
      <w:r w:rsidRPr="00FD73B4">
        <w:rPr>
          <w:rFonts w:ascii="Arial" w:hAnsi="Arial" w:cs="Arial"/>
          <w:b w:val="0"/>
          <w:bCs w:val="0"/>
          <w:sz w:val="22"/>
          <w:szCs w:val="22"/>
        </w:rPr>
        <w:t>..18</w:t>
      </w:r>
      <w:r w:rsidRPr="00FD73B4">
        <w:rPr>
          <w:rFonts w:ascii="Arial" w:hAnsi="Arial" w:cs="Arial"/>
          <w:sz w:val="22"/>
          <w:szCs w:val="22"/>
        </w:rPr>
        <w:t xml:space="preserve"> </w:t>
      </w:r>
    </w:p>
    <w:p w14:paraId="7E8F24E4" w14:textId="3C05555B" w:rsidR="002D6D0B"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3.10</w:t>
      </w:r>
      <w:r w:rsidR="0082770D" w:rsidRPr="00FD73B4">
        <w:rPr>
          <w:rFonts w:ascii="Arial" w:hAnsi="Arial" w:cs="Arial"/>
        </w:rPr>
        <w:t xml:space="preserve"> Da</w:t>
      </w:r>
      <w:r w:rsidR="0082770D" w:rsidRPr="00FD73B4">
        <w:rPr>
          <w:rStyle w:val="Strong"/>
          <w:rFonts w:ascii="Arial" w:hAnsi="Arial" w:cs="Arial"/>
          <w:b w:val="0"/>
          <w:bCs w:val="0"/>
        </w:rPr>
        <w:t>ta Extraction and Synthesis</w:t>
      </w:r>
      <w:r w:rsidRPr="00FD73B4">
        <w:rPr>
          <w:rFonts w:ascii="Arial" w:hAnsi="Arial" w:cs="Arial"/>
        </w:rPr>
        <w:t>................................................................................</w:t>
      </w:r>
      <w:r w:rsidR="008869BD">
        <w:rPr>
          <w:rFonts w:ascii="Arial" w:hAnsi="Arial" w:cs="Arial"/>
        </w:rPr>
        <w:t>............</w:t>
      </w:r>
      <w:r w:rsidRPr="00FD73B4">
        <w:rPr>
          <w:rFonts w:ascii="Arial" w:hAnsi="Arial" w:cs="Arial"/>
        </w:rPr>
        <w:t xml:space="preserve">18 </w:t>
      </w:r>
    </w:p>
    <w:p w14:paraId="67BD57FF" w14:textId="79AAEA22" w:rsidR="0082770D" w:rsidRPr="00FD73B4" w:rsidRDefault="0082770D" w:rsidP="008632B0">
      <w:pPr>
        <w:pStyle w:val="Heading2"/>
        <w:spacing w:line="360" w:lineRule="auto"/>
        <w:rPr>
          <w:rFonts w:ascii="Arial" w:hAnsi="Arial" w:cs="Arial"/>
          <w:sz w:val="22"/>
          <w:szCs w:val="22"/>
        </w:rPr>
      </w:pPr>
      <w:r w:rsidRPr="00FD73B4">
        <w:rPr>
          <w:rStyle w:val="Strong"/>
          <w:rFonts w:ascii="Arial" w:hAnsi="Arial" w:cs="Arial"/>
          <w:sz w:val="22"/>
          <w:szCs w:val="22"/>
        </w:rPr>
        <w:t>3.11 Ethical Considerations…………………</w:t>
      </w:r>
      <w:r w:rsidR="008869BD">
        <w:rPr>
          <w:rStyle w:val="Strong"/>
          <w:rFonts w:ascii="Arial" w:hAnsi="Arial" w:cs="Arial"/>
          <w:sz w:val="22"/>
          <w:szCs w:val="22"/>
        </w:rPr>
        <w:t>…………………………………………………………12</w:t>
      </w:r>
    </w:p>
    <w:p w14:paraId="6D02B7A3" w14:textId="7353F8CF" w:rsidR="0082770D" w:rsidRPr="00FD73B4" w:rsidRDefault="0082770D" w:rsidP="008632B0">
      <w:pPr>
        <w:pStyle w:val="Heading2"/>
        <w:spacing w:line="360" w:lineRule="auto"/>
        <w:rPr>
          <w:rFonts w:ascii="Arial" w:hAnsi="Arial" w:cs="Arial"/>
          <w:sz w:val="22"/>
          <w:szCs w:val="22"/>
        </w:rPr>
      </w:pPr>
      <w:r w:rsidRPr="00FD73B4">
        <w:rPr>
          <w:rStyle w:val="Strong"/>
          <w:rFonts w:ascii="Arial" w:hAnsi="Arial" w:cs="Arial"/>
          <w:sz w:val="22"/>
          <w:szCs w:val="22"/>
        </w:rPr>
        <w:t>3.12 Chapter Summary………………………………………………………</w:t>
      </w:r>
      <w:r w:rsidR="009E58FB">
        <w:rPr>
          <w:rStyle w:val="Strong"/>
          <w:rFonts w:ascii="Arial" w:hAnsi="Arial" w:cs="Arial"/>
          <w:sz w:val="22"/>
          <w:szCs w:val="22"/>
        </w:rPr>
        <w:t>…………………………12</w:t>
      </w:r>
    </w:p>
    <w:p w14:paraId="7A4E6FE3" w14:textId="5D995240" w:rsidR="00DA34B0" w:rsidRPr="00FD73B4" w:rsidRDefault="002D6D0B" w:rsidP="008632B0">
      <w:pPr>
        <w:spacing w:before="100" w:beforeAutospacing="1" w:after="100" w:afterAutospacing="1" w:line="360" w:lineRule="auto"/>
        <w:outlineLvl w:val="0"/>
        <w:rPr>
          <w:rFonts w:ascii="Arial" w:eastAsia="Times New Roman" w:hAnsi="Arial" w:cs="Arial"/>
          <w:b/>
          <w:bCs/>
          <w:kern w:val="36"/>
        </w:rPr>
      </w:pPr>
      <w:r w:rsidRPr="00FD73B4">
        <w:rPr>
          <w:rFonts w:ascii="Arial" w:hAnsi="Arial" w:cs="Arial"/>
        </w:rPr>
        <w:t xml:space="preserve">CHAPTER 4: </w:t>
      </w:r>
      <w:r w:rsidR="0082770D" w:rsidRPr="00FD73B4">
        <w:rPr>
          <w:rFonts w:ascii="Arial" w:eastAsia="Times New Roman" w:hAnsi="Arial" w:cs="Arial"/>
          <w:kern w:val="36"/>
        </w:rPr>
        <w:t>DATA EXTRACTION AND EVALUATION</w:t>
      </w:r>
      <w:r w:rsidRPr="00FD73B4">
        <w:rPr>
          <w:rFonts w:ascii="Arial" w:hAnsi="Arial" w:cs="Arial"/>
        </w:rPr>
        <w:t>............................................</w:t>
      </w:r>
      <w:r w:rsidR="009E58FB">
        <w:rPr>
          <w:rFonts w:ascii="Arial" w:hAnsi="Arial" w:cs="Arial"/>
        </w:rPr>
        <w:t>................</w:t>
      </w:r>
      <w:r w:rsidRPr="00FD73B4">
        <w:rPr>
          <w:rFonts w:ascii="Arial" w:hAnsi="Arial" w:cs="Arial"/>
        </w:rPr>
        <w:t xml:space="preserve">19 </w:t>
      </w:r>
    </w:p>
    <w:p w14:paraId="37D67BCC" w14:textId="3EE5A517"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4.1 Introduction to Chapter.......................................................................................................</w:t>
      </w:r>
      <w:r w:rsidR="009E58FB">
        <w:rPr>
          <w:rFonts w:ascii="Arial" w:hAnsi="Arial" w:cs="Arial"/>
        </w:rPr>
        <w:t>...</w:t>
      </w:r>
      <w:r w:rsidRPr="00FD73B4">
        <w:rPr>
          <w:rFonts w:ascii="Arial" w:hAnsi="Arial" w:cs="Arial"/>
        </w:rPr>
        <w:t>19</w:t>
      </w:r>
    </w:p>
    <w:p w14:paraId="61004E98" w14:textId="64EB8760"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4.2 Data Extraction.....................................................................................................................19</w:t>
      </w:r>
    </w:p>
    <w:p w14:paraId="2432D599" w14:textId="26B75D29" w:rsidR="009002C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lastRenderedPageBreak/>
        <w:t xml:space="preserve"> 4.3 </w:t>
      </w:r>
      <w:r w:rsidR="0082770D" w:rsidRPr="00FD73B4">
        <w:rPr>
          <w:rFonts w:ascii="Arial" w:eastAsia="Times New Roman" w:hAnsi="Arial" w:cs="Arial"/>
        </w:rPr>
        <w:t>Critical Appraisal and Paper Quality Assessment</w:t>
      </w:r>
      <w:r w:rsidRPr="00FD73B4">
        <w:rPr>
          <w:rFonts w:ascii="Arial" w:hAnsi="Arial" w:cs="Arial"/>
        </w:rPr>
        <w:t>...........................</w:t>
      </w:r>
      <w:r w:rsidR="009E58FB">
        <w:rPr>
          <w:rFonts w:ascii="Arial" w:hAnsi="Arial" w:cs="Arial"/>
        </w:rPr>
        <w:t>.....................................</w:t>
      </w:r>
      <w:r w:rsidRPr="00FD73B4">
        <w:rPr>
          <w:rFonts w:ascii="Arial" w:hAnsi="Arial" w:cs="Arial"/>
        </w:rPr>
        <w:t>19</w:t>
      </w:r>
    </w:p>
    <w:p w14:paraId="40ACFFB9" w14:textId="2C26557E"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4.4 </w:t>
      </w:r>
      <w:r w:rsidR="0082770D" w:rsidRPr="00FD73B4">
        <w:rPr>
          <w:rFonts w:ascii="Arial" w:eastAsia="Times New Roman" w:hAnsi="Arial" w:cs="Arial"/>
        </w:rPr>
        <w:t>Critical Appraisal Tools</w:t>
      </w:r>
      <w:r w:rsidRPr="00FD73B4">
        <w:rPr>
          <w:rFonts w:ascii="Arial" w:hAnsi="Arial" w:cs="Arial"/>
        </w:rPr>
        <w:t>.................................................................................</w:t>
      </w:r>
      <w:r w:rsidR="009E58FB">
        <w:rPr>
          <w:rFonts w:ascii="Arial" w:hAnsi="Arial" w:cs="Arial"/>
        </w:rPr>
        <w:t>.........................</w:t>
      </w:r>
      <w:r w:rsidRPr="00FD73B4">
        <w:rPr>
          <w:rFonts w:ascii="Arial" w:hAnsi="Arial" w:cs="Arial"/>
        </w:rPr>
        <w:t>20</w:t>
      </w:r>
    </w:p>
    <w:p w14:paraId="4189C6F4" w14:textId="6C8FB22B"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4.5 </w:t>
      </w:r>
      <w:r w:rsidR="009002C0" w:rsidRPr="00FD73B4">
        <w:rPr>
          <w:rFonts w:ascii="Arial" w:eastAsia="Times New Roman" w:hAnsi="Arial" w:cs="Arial"/>
          <w:kern w:val="36"/>
        </w:rPr>
        <w:t>Evaluation of Qualitative Study Using CASP</w:t>
      </w:r>
      <w:r w:rsidRPr="00FD73B4">
        <w:rPr>
          <w:rFonts w:ascii="Arial" w:hAnsi="Arial" w:cs="Arial"/>
        </w:rPr>
        <w:t>...............................................</w:t>
      </w:r>
      <w:r w:rsidR="009E58FB">
        <w:rPr>
          <w:rFonts w:ascii="Arial" w:hAnsi="Arial" w:cs="Arial"/>
        </w:rPr>
        <w:t>..........................</w:t>
      </w:r>
      <w:r w:rsidRPr="00FD73B4">
        <w:rPr>
          <w:rFonts w:ascii="Arial" w:hAnsi="Arial" w:cs="Arial"/>
        </w:rPr>
        <w:t>20</w:t>
      </w:r>
    </w:p>
    <w:p w14:paraId="404267DD" w14:textId="52EDE960"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4.6 </w:t>
      </w:r>
      <w:r w:rsidR="009002C0" w:rsidRPr="00FD73B4">
        <w:rPr>
          <w:rStyle w:val="Strong"/>
          <w:rFonts w:ascii="Arial" w:hAnsi="Arial" w:cs="Arial"/>
          <w:b w:val="0"/>
          <w:bCs w:val="0"/>
        </w:rPr>
        <w:t>Evaluation of Quantitative Studies</w:t>
      </w:r>
      <w:r w:rsidRPr="00FD73B4">
        <w:rPr>
          <w:rFonts w:ascii="Arial" w:hAnsi="Arial" w:cs="Arial"/>
        </w:rPr>
        <w:t>................................................................</w:t>
      </w:r>
      <w:r w:rsidR="009E58FB">
        <w:rPr>
          <w:rFonts w:ascii="Arial" w:hAnsi="Arial" w:cs="Arial"/>
        </w:rPr>
        <w:t>.........................</w:t>
      </w:r>
      <w:r w:rsidRPr="00FD73B4">
        <w:rPr>
          <w:rFonts w:ascii="Arial" w:hAnsi="Arial" w:cs="Arial"/>
        </w:rPr>
        <w:t xml:space="preserve">21 </w:t>
      </w:r>
    </w:p>
    <w:p w14:paraId="11AC672A" w14:textId="66DA5943" w:rsidR="009002C0" w:rsidRPr="00FD73B4" w:rsidRDefault="009002C0" w:rsidP="008632B0">
      <w:pPr>
        <w:pStyle w:val="Heading3"/>
        <w:spacing w:line="360" w:lineRule="auto"/>
        <w:rPr>
          <w:rFonts w:ascii="Arial" w:hAnsi="Arial" w:cs="Arial"/>
          <w:sz w:val="22"/>
          <w:szCs w:val="22"/>
        </w:rPr>
      </w:pPr>
      <w:r w:rsidRPr="00FD73B4">
        <w:rPr>
          <w:rStyle w:val="Strong"/>
          <w:rFonts w:ascii="Arial" w:hAnsi="Arial" w:cs="Arial"/>
          <w:sz w:val="22"/>
          <w:szCs w:val="22"/>
        </w:rPr>
        <w:t>4.6.1 Justification for the Appraisal Framework……………………</w:t>
      </w:r>
      <w:r w:rsidR="009E58FB">
        <w:rPr>
          <w:rStyle w:val="Strong"/>
          <w:rFonts w:ascii="Arial" w:hAnsi="Arial" w:cs="Arial"/>
          <w:sz w:val="22"/>
          <w:szCs w:val="22"/>
        </w:rPr>
        <w:t>………………………………...22</w:t>
      </w:r>
    </w:p>
    <w:p w14:paraId="339122FD" w14:textId="642D2927" w:rsidR="009002C0" w:rsidRPr="00FD73B4" w:rsidRDefault="009002C0" w:rsidP="008632B0">
      <w:pPr>
        <w:pStyle w:val="Heading3"/>
        <w:spacing w:line="360" w:lineRule="auto"/>
        <w:rPr>
          <w:rFonts w:ascii="Arial" w:hAnsi="Arial" w:cs="Arial"/>
          <w:sz w:val="22"/>
          <w:szCs w:val="22"/>
        </w:rPr>
      </w:pPr>
      <w:r w:rsidRPr="00FD73B4">
        <w:rPr>
          <w:rStyle w:val="Strong"/>
          <w:rFonts w:ascii="Arial" w:hAnsi="Arial" w:cs="Arial"/>
          <w:sz w:val="22"/>
          <w:szCs w:val="22"/>
        </w:rPr>
        <w:t>4.6.2 Methodological Quality of Included Studies……………………</w:t>
      </w:r>
      <w:r w:rsidR="009E58FB">
        <w:rPr>
          <w:rStyle w:val="Strong"/>
          <w:rFonts w:ascii="Arial" w:hAnsi="Arial" w:cs="Arial"/>
          <w:sz w:val="22"/>
          <w:szCs w:val="22"/>
        </w:rPr>
        <w:t>………………………………22</w:t>
      </w:r>
    </w:p>
    <w:p w14:paraId="430EC099" w14:textId="7B30973B" w:rsidR="009002C0" w:rsidRPr="00FD73B4" w:rsidRDefault="009002C0" w:rsidP="008632B0">
      <w:pPr>
        <w:pStyle w:val="Heading3"/>
        <w:spacing w:line="360" w:lineRule="auto"/>
        <w:rPr>
          <w:rFonts w:ascii="Arial" w:hAnsi="Arial" w:cs="Arial"/>
          <w:sz w:val="22"/>
          <w:szCs w:val="22"/>
        </w:rPr>
      </w:pPr>
      <w:r w:rsidRPr="00FD73B4">
        <w:rPr>
          <w:rStyle w:val="Strong"/>
          <w:rFonts w:ascii="Arial" w:hAnsi="Arial" w:cs="Arial"/>
          <w:sz w:val="22"/>
          <w:szCs w:val="22"/>
        </w:rPr>
        <w:t>4.6.3 Overall Appraisal and Evidence Strength…………</w:t>
      </w:r>
      <w:r w:rsidR="009E58FB">
        <w:rPr>
          <w:rStyle w:val="Strong"/>
          <w:rFonts w:ascii="Arial" w:hAnsi="Arial" w:cs="Arial"/>
          <w:sz w:val="22"/>
          <w:szCs w:val="22"/>
        </w:rPr>
        <w:t>…………………………………………...22</w:t>
      </w:r>
    </w:p>
    <w:p w14:paraId="4B05166E" w14:textId="3636F5CB" w:rsidR="009002C0" w:rsidRPr="00FD73B4" w:rsidRDefault="009002C0" w:rsidP="008632B0">
      <w:pPr>
        <w:spacing w:before="100" w:beforeAutospacing="1" w:after="100" w:afterAutospacing="1" w:line="360" w:lineRule="auto"/>
        <w:outlineLvl w:val="1"/>
        <w:rPr>
          <w:rFonts w:ascii="Arial" w:eastAsia="Times New Roman" w:hAnsi="Arial" w:cs="Arial"/>
        </w:rPr>
      </w:pPr>
      <w:r w:rsidRPr="00FD73B4">
        <w:rPr>
          <w:rFonts w:ascii="Arial" w:eastAsia="Times New Roman" w:hAnsi="Arial" w:cs="Arial"/>
        </w:rPr>
        <w:t>4.6.4 Critical Appraisal of Individual Quantitative Studies……</w:t>
      </w:r>
      <w:r w:rsidR="009E58FB">
        <w:rPr>
          <w:rFonts w:ascii="Arial" w:eastAsia="Times New Roman" w:hAnsi="Arial" w:cs="Arial"/>
        </w:rPr>
        <w:t>……………………………………..23</w:t>
      </w:r>
    </w:p>
    <w:p w14:paraId="71F91FEC" w14:textId="4008A1FB" w:rsidR="009002C0" w:rsidRPr="00FD73B4" w:rsidRDefault="009002C0" w:rsidP="008632B0">
      <w:pPr>
        <w:spacing w:before="100" w:beforeAutospacing="1" w:after="100" w:afterAutospacing="1" w:line="360" w:lineRule="auto"/>
        <w:outlineLvl w:val="0"/>
        <w:rPr>
          <w:rFonts w:ascii="Arial" w:hAnsi="Arial" w:cs="Arial"/>
        </w:rPr>
      </w:pPr>
      <w:r w:rsidRPr="00FD73B4">
        <w:rPr>
          <w:rFonts w:ascii="Arial" w:eastAsia="Times New Roman" w:hAnsi="Arial" w:cs="Arial"/>
          <w:kern w:val="36"/>
        </w:rPr>
        <w:t>4.6.5 JBI Appraisal Table for Quantitative Studies……</w:t>
      </w:r>
      <w:r w:rsidR="009E58FB">
        <w:rPr>
          <w:rFonts w:ascii="Arial" w:eastAsia="Times New Roman" w:hAnsi="Arial" w:cs="Arial"/>
          <w:kern w:val="36"/>
        </w:rPr>
        <w:t>……………………………………………..22</w:t>
      </w:r>
    </w:p>
    <w:p w14:paraId="21946ADC" w14:textId="7792380B" w:rsidR="00DA34B0" w:rsidRPr="00FD73B4" w:rsidRDefault="002D6D0B" w:rsidP="008632B0">
      <w:pPr>
        <w:spacing w:before="100" w:beforeAutospacing="1" w:after="100" w:afterAutospacing="1" w:line="360" w:lineRule="auto"/>
        <w:outlineLvl w:val="0"/>
        <w:rPr>
          <w:rFonts w:ascii="Arial" w:eastAsia="Times New Roman" w:hAnsi="Arial" w:cs="Arial"/>
          <w:b/>
          <w:bCs/>
          <w:kern w:val="36"/>
        </w:rPr>
      </w:pPr>
      <w:r w:rsidRPr="00FD73B4">
        <w:rPr>
          <w:rFonts w:ascii="Arial" w:hAnsi="Arial" w:cs="Arial"/>
        </w:rPr>
        <w:t>4.7</w:t>
      </w:r>
      <w:r w:rsidR="009002C0" w:rsidRPr="00FD73B4">
        <w:rPr>
          <w:rFonts w:ascii="Arial" w:eastAsia="Times New Roman" w:hAnsi="Arial" w:cs="Arial"/>
          <w:b/>
          <w:bCs/>
          <w:kern w:val="36"/>
        </w:rPr>
        <w:t xml:space="preserve"> </w:t>
      </w:r>
      <w:r w:rsidR="009002C0" w:rsidRPr="00FD73B4">
        <w:rPr>
          <w:rFonts w:ascii="Arial" w:eastAsia="Times New Roman" w:hAnsi="Arial" w:cs="Arial"/>
          <w:kern w:val="36"/>
        </w:rPr>
        <w:t>Chapter Summary</w:t>
      </w:r>
      <w:r w:rsidRPr="00FD73B4">
        <w:rPr>
          <w:rFonts w:ascii="Arial" w:hAnsi="Arial" w:cs="Arial"/>
        </w:rPr>
        <w:t>.....................................................................</w:t>
      </w:r>
      <w:r w:rsidR="009E58FB">
        <w:rPr>
          <w:rFonts w:ascii="Arial" w:hAnsi="Arial" w:cs="Arial"/>
        </w:rPr>
        <w:t>............................................</w:t>
      </w:r>
      <w:r w:rsidRPr="00FD73B4">
        <w:rPr>
          <w:rFonts w:ascii="Arial" w:hAnsi="Arial" w:cs="Arial"/>
        </w:rPr>
        <w:t>22</w:t>
      </w:r>
    </w:p>
    <w:p w14:paraId="0C12EB1B" w14:textId="5004FD25"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CHAPTER 5: DATA ANALYSIS AND SYNTHESIS...........................................................</w:t>
      </w:r>
      <w:r w:rsidR="009E58FB">
        <w:rPr>
          <w:rFonts w:ascii="Arial" w:hAnsi="Arial" w:cs="Arial"/>
        </w:rPr>
        <w:t>.........</w:t>
      </w:r>
      <w:r w:rsidRPr="00FD73B4">
        <w:rPr>
          <w:rFonts w:ascii="Arial" w:hAnsi="Arial" w:cs="Arial"/>
        </w:rPr>
        <w:t>28</w:t>
      </w:r>
    </w:p>
    <w:p w14:paraId="70594066" w14:textId="22148CC7"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5.1 Introduction to</w:t>
      </w:r>
      <w:r w:rsidR="00BD7C62" w:rsidRPr="00FD73B4">
        <w:rPr>
          <w:rFonts w:ascii="Arial" w:hAnsi="Arial" w:cs="Arial"/>
        </w:rPr>
        <w:t xml:space="preserve"> the</w:t>
      </w:r>
      <w:r w:rsidRPr="00FD73B4">
        <w:rPr>
          <w:rFonts w:ascii="Arial" w:hAnsi="Arial" w:cs="Arial"/>
        </w:rPr>
        <w:t xml:space="preserve"> Chapter...............................................................................................</w:t>
      </w:r>
      <w:r w:rsidR="009E58FB">
        <w:rPr>
          <w:rFonts w:ascii="Arial" w:hAnsi="Arial" w:cs="Arial"/>
        </w:rPr>
        <w:t>....</w:t>
      </w:r>
      <w:r w:rsidRPr="00FD73B4">
        <w:rPr>
          <w:rFonts w:ascii="Arial" w:hAnsi="Arial" w:cs="Arial"/>
        </w:rPr>
        <w:t>28</w:t>
      </w:r>
    </w:p>
    <w:p w14:paraId="7E7E5DA3" w14:textId="73079681"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5.2 Thematic Analysis ..........................................................................................................</w:t>
      </w:r>
      <w:r w:rsidR="009E58FB">
        <w:rPr>
          <w:rFonts w:ascii="Arial" w:hAnsi="Arial" w:cs="Arial"/>
        </w:rPr>
        <w:t>.....</w:t>
      </w:r>
      <w:r w:rsidRPr="00FD73B4">
        <w:rPr>
          <w:rFonts w:ascii="Arial" w:hAnsi="Arial" w:cs="Arial"/>
        </w:rPr>
        <w:t>28</w:t>
      </w:r>
    </w:p>
    <w:p w14:paraId="05C34D09" w14:textId="14649B5B"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5.3 Data Analysis Tool................................................................................................................28</w:t>
      </w:r>
    </w:p>
    <w:p w14:paraId="30B1C5BD" w14:textId="6F6352FF"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 5.4 Characteristics of the Identified Studies.............................................................................</w:t>
      </w:r>
      <w:r w:rsidR="009E58FB">
        <w:rPr>
          <w:rFonts w:ascii="Arial" w:hAnsi="Arial" w:cs="Arial"/>
        </w:rPr>
        <w:t>..</w:t>
      </w:r>
      <w:r w:rsidRPr="00FD73B4">
        <w:rPr>
          <w:rFonts w:ascii="Arial" w:hAnsi="Arial" w:cs="Arial"/>
        </w:rPr>
        <w:t xml:space="preserve">28 </w:t>
      </w:r>
    </w:p>
    <w:p w14:paraId="078B2CBD" w14:textId="0C0F1857"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 xml:space="preserve">5.5 </w:t>
      </w:r>
      <w:r w:rsidR="00BD7C62" w:rsidRPr="00FD73B4">
        <w:rPr>
          <w:rFonts w:ascii="Arial" w:hAnsi="Arial" w:cs="Arial"/>
        </w:rPr>
        <w:t>Themes and Sub-themes Identified from Included Studies</w:t>
      </w:r>
      <w:r w:rsidRPr="00FD73B4">
        <w:rPr>
          <w:rFonts w:ascii="Arial" w:hAnsi="Arial" w:cs="Arial"/>
        </w:rPr>
        <w:t>.................................................</w:t>
      </w:r>
      <w:r w:rsidR="009E58FB">
        <w:rPr>
          <w:rFonts w:ascii="Arial" w:hAnsi="Arial" w:cs="Arial"/>
        </w:rPr>
        <w:t>..</w:t>
      </w:r>
      <w:r w:rsidRPr="00FD73B4">
        <w:rPr>
          <w:rFonts w:ascii="Arial" w:hAnsi="Arial" w:cs="Arial"/>
        </w:rPr>
        <w:t xml:space="preserve">29 </w:t>
      </w:r>
    </w:p>
    <w:p w14:paraId="12A9C758" w14:textId="0C5937C1"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5.</w:t>
      </w:r>
      <w:r w:rsidR="00BD7C62" w:rsidRPr="00FD73B4">
        <w:rPr>
          <w:rFonts w:ascii="Arial" w:hAnsi="Arial" w:cs="Arial"/>
        </w:rPr>
        <w:t>6</w:t>
      </w:r>
      <w:r w:rsidR="00BD7C62" w:rsidRPr="00FD73B4">
        <w:rPr>
          <w:rStyle w:val="Strong"/>
          <w:rFonts w:ascii="Arial" w:hAnsi="Arial" w:cs="Arial"/>
          <w:b w:val="0"/>
          <w:bCs w:val="0"/>
        </w:rPr>
        <w:t xml:space="preserve"> Chapter Summary</w:t>
      </w:r>
      <w:r w:rsidRPr="00FD73B4">
        <w:rPr>
          <w:rFonts w:ascii="Arial" w:hAnsi="Arial" w:cs="Arial"/>
        </w:rPr>
        <w:t>.....................</w:t>
      </w:r>
      <w:r w:rsidR="00BD7C62" w:rsidRPr="00FD73B4">
        <w:rPr>
          <w:rFonts w:ascii="Arial" w:hAnsi="Arial" w:cs="Arial"/>
        </w:rPr>
        <w:t>........................................</w:t>
      </w:r>
      <w:r w:rsidRPr="00FD73B4">
        <w:rPr>
          <w:rFonts w:ascii="Arial" w:hAnsi="Arial" w:cs="Arial"/>
        </w:rPr>
        <w:t>.....</w:t>
      </w:r>
      <w:r w:rsidR="009E58FB">
        <w:rPr>
          <w:rFonts w:ascii="Arial" w:hAnsi="Arial" w:cs="Arial"/>
        </w:rPr>
        <w:t>...............................................</w:t>
      </w:r>
      <w:r w:rsidRPr="00FD73B4">
        <w:rPr>
          <w:rFonts w:ascii="Arial" w:hAnsi="Arial" w:cs="Arial"/>
        </w:rPr>
        <w:t xml:space="preserve">30 </w:t>
      </w:r>
    </w:p>
    <w:p w14:paraId="77285781" w14:textId="60A4D449"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CHAPTER 6: DISCUSSION ...................................................................................................</w:t>
      </w:r>
      <w:r w:rsidR="009E58FB">
        <w:rPr>
          <w:rFonts w:ascii="Arial" w:hAnsi="Arial" w:cs="Arial"/>
        </w:rPr>
        <w:t>....</w:t>
      </w:r>
      <w:r w:rsidRPr="00FD73B4">
        <w:rPr>
          <w:rFonts w:ascii="Arial" w:hAnsi="Arial" w:cs="Arial"/>
        </w:rPr>
        <w:t>37</w:t>
      </w:r>
    </w:p>
    <w:p w14:paraId="02E62768" w14:textId="1A009AFE"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6.1 Introduction to Chapter.......................................................................................................</w:t>
      </w:r>
      <w:r w:rsidR="009E58FB">
        <w:rPr>
          <w:rFonts w:ascii="Arial" w:hAnsi="Arial" w:cs="Arial"/>
        </w:rPr>
        <w:t>...</w:t>
      </w:r>
      <w:r w:rsidRPr="00FD73B4">
        <w:rPr>
          <w:rFonts w:ascii="Arial" w:hAnsi="Arial" w:cs="Arial"/>
        </w:rPr>
        <w:t>37</w:t>
      </w:r>
    </w:p>
    <w:p w14:paraId="75052C14" w14:textId="4616AF96" w:rsidR="00DA34B0" w:rsidRPr="00FD73B4" w:rsidRDefault="002D6D0B" w:rsidP="008632B0">
      <w:pPr>
        <w:spacing w:before="100" w:beforeAutospacing="1" w:after="100" w:afterAutospacing="1" w:line="360" w:lineRule="auto"/>
        <w:outlineLvl w:val="0"/>
        <w:rPr>
          <w:rFonts w:ascii="Arial" w:hAnsi="Arial" w:cs="Arial"/>
        </w:rPr>
      </w:pPr>
      <w:r w:rsidRPr="00FD73B4">
        <w:rPr>
          <w:rFonts w:ascii="Arial" w:hAnsi="Arial" w:cs="Arial"/>
        </w:rPr>
        <w:t>6.2 Discussion of Key findings ................................................................</w:t>
      </w:r>
      <w:r w:rsidR="009E58FB">
        <w:rPr>
          <w:rFonts w:ascii="Arial" w:hAnsi="Arial" w:cs="Arial"/>
        </w:rPr>
        <w:t>....................................</w:t>
      </w:r>
      <w:r w:rsidRPr="00FD73B4">
        <w:rPr>
          <w:rFonts w:ascii="Arial" w:hAnsi="Arial" w:cs="Arial"/>
        </w:rPr>
        <w:t>38</w:t>
      </w:r>
    </w:p>
    <w:p w14:paraId="01ADE7A2" w14:textId="59394679" w:rsidR="009E58FB"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lastRenderedPageBreak/>
        <w:t>6.2.</w:t>
      </w:r>
      <w:r w:rsidR="00BD7C62" w:rsidRPr="00FD73B4">
        <w:rPr>
          <w:rFonts w:ascii="Arial" w:eastAsia="Times New Roman" w:hAnsi="Arial" w:cs="Arial"/>
        </w:rPr>
        <w:t>2 Mediterranean dietary patterns and population relevance</w:t>
      </w:r>
      <w:r w:rsidRPr="00FD73B4">
        <w:rPr>
          <w:rFonts w:ascii="Arial" w:hAnsi="Arial" w:cs="Arial"/>
        </w:rPr>
        <w:t>.......................................</w:t>
      </w:r>
      <w:r w:rsidR="009E58FB">
        <w:rPr>
          <w:rFonts w:ascii="Arial" w:hAnsi="Arial" w:cs="Arial"/>
        </w:rPr>
        <w:t>..........</w:t>
      </w:r>
      <w:r w:rsidRPr="00FD73B4">
        <w:rPr>
          <w:rFonts w:ascii="Arial" w:hAnsi="Arial" w:cs="Arial"/>
        </w:rPr>
        <w:t xml:space="preserve">38 </w:t>
      </w:r>
    </w:p>
    <w:p w14:paraId="024797D4" w14:textId="295374A0"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6.2.3 </w:t>
      </w:r>
      <w:r w:rsidR="00BD7C62" w:rsidRPr="00FD73B4">
        <w:rPr>
          <w:rFonts w:ascii="Arial" w:eastAsia="Times New Roman" w:hAnsi="Arial" w:cs="Arial"/>
        </w:rPr>
        <w:t>Complexity and risk within restrictive dietary patterns</w:t>
      </w:r>
      <w:r w:rsidRPr="00FD73B4">
        <w:rPr>
          <w:rFonts w:ascii="Arial" w:hAnsi="Arial" w:cs="Arial"/>
        </w:rPr>
        <w:t>.............................</w:t>
      </w:r>
      <w:r w:rsidR="009E58FB">
        <w:rPr>
          <w:rFonts w:ascii="Arial" w:hAnsi="Arial" w:cs="Arial"/>
        </w:rPr>
        <w:t>...........................</w:t>
      </w:r>
      <w:r w:rsidRPr="00FD73B4">
        <w:rPr>
          <w:rFonts w:ascii="Arial" w:hAnsi="Arial" w:cs="Arial"/>
        </w:rPr>
        <w:t xml:space="preserve">39 </w:t>
      </w:r>
    </w:p>
    <w:p w14:paraId="606C0A18" w14:textId="34E26345"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6.2.4 </w:t>
      </w:r>
      <w:r w:rsidR="00103FBF" w:rsidRPr="00FD73B4">
        <w:rPr>
          <w:rFonts w:ascii="Arial" w:eastAsia="Times New Roman" w:hAnsi="Arial" w:cs="Arial"/>
        </w:rPr>
        <w:t>Dietary fibre as a mechanistic link to stroke reduction</w:t>
      </w:r>
      <w:r w:rsidRPr="00FD73B4">
        <w:rPr>
          <w:rFonts w:ascii="Arial" w:hAnsi="Arial" w:cs="Arial"/>
        </w:rPr>
        <w:t>.........................................</w:t>
      </w:r>
      <w:r w:rsidR="009E58FB">
        <w:rPr>
          <w:rFonts w:ascii="Arial" w:hAnsi="Arial" w:cs="Arial"/>
        </w:rPr>
        <w:t>..............</w:t>
      </w:r>
      <w:r w:rsidRPr="00FD73B4">
        <w:rPr>
          <w:rFonts w:ascii="Arial" w:hAnsi="Arial" w:cs="Arial"/>
        </w:rPr>
        <w:t xml:space="preserve">39 </w:t>
      </w:r>
    </w:p>
    <w:p w14:paraId="529BDCD3" w14:textId="1CC6DDE2"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6.2.5 </w:t>
      </w:r>
      <w:r w:rsidR="00103FBF" w:rsidRPr="00FD73B4">
        <w:rPr>
          <w:rFonts w:ascii="Arial" w:eastAsia="Times New Roman" w:hAnsi="Arial" w:cs="Arial"/>
        </w:rPr>
        <w:t>Physical activity as a flexible but essential protective behavior</w:t>
      </w:r>
      <w:r w:rsidRPr="00FD73B4">
        <w:rPr>
          <w:rFonts w:ascii="Arial" w:hAnsi="Arial" w:cs="Arial"/>
        </w:rPr>
        <w:t>......................................</w:t>
      </w:r>
      <w:r w:rsidR="009E58FB">
        <w:rPr>
          <w:rFonts w:ascii="Arial" w:hAnsi="Arial" w:cs="Arial"/>
        </w:rPr>
        <w:t>....</w:t>
      </w:r>
      <w:r w:rsidRPr="00FD73B4">
        <w:rPr>
          <w:rFonts w:ascii="Arial" w:hAnsi="Arial" w:cs="Arial"/>
        </w:rPr>
        <w:t>40</w:t>
      </w:r>
    </w:p>
    <w:p w14:paraId="2484573A" w14:textId="002FC177"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6.2.6 </w:t>
      </w:r>
      <w:r w:rsidR="00103FBF" w:rsidRPr="00FD73B4">
        <w:rPr>
          <w:rFonts w:ascii="Arial" w:eastAsia="Times New Roman" w:hAnsi="Arial" w:cs="Arial"/>
        </w:rPr>
        <w:t>Sedentary behavior as an independent and underestimated risk</w:t>
      </w:r>
      <w:r w:rsidRPr="00FD73B4">
        <w:rPr>
          <w:rFonts w:ascii="Arial" w:hAnsi="Arial" w:cs="Arial"/>
        </w:rPr>
        <w:t>................................</w:t>
      </w:r>
      <w:r w:rsidR="009E58FB">
        <w:rPr>
          <w:rFonts w:ascii="Arial" w:hAnsi="Arial" w:cs="Arial"/>
        </w:rPr>
        <w:t>......</w:t>
      </w:r>
      <w:r w:rsidRPr="00FD73B4">
        <w:rPr>
          <w:rFonts w:ascii="Arial" w:hAnsi="Arial" w:cs="Arial"/>
        </w:rPr>
        <w:t xml:space="preserve">40 </w:t>
      </w:r>
    </w:p>
    <w:p w14:paraId="686C6952" w14:textId="4171B613"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6.2.7 </w:t>
      </w:r>
      <w:r w:rsidR="00103FBF" w:rsidRPr="00FD73B4">
        <w:rPr>
          <w:rFonts w:ascii="Arial" w:eastAsia="Times New Roman" w:hAnsi="Arial" w:cs="Arial"/>
        </w:rPr>
        <w:t>Lifestyle clustering and cumulative exposure</w:t>
      </w:r>
      <w:r w:rsidRPr="00FD73B4">
        <w:rPr>
          <w:rFonts w:ascii="Arial" w:hAnsi="Arial" w:cs="Arial"/>
        </w:rPr>
        <w:t>..........................................................</w:t>
      </w:r>
      <w:r w:rsidR="009E58FB">
        <w:rPr>
          <w:rFonts w:ascii="Arial" w:hAnsi="Arial" w:cs="Arial"/>
        </w:rPr>
        <w:t>...........</w:t>
      </w:r>
      <w:r w:rsidRPr="00FD73B4">
        <w:rPr>
          <w:rFonts w:ascii="Arial" w:hAnsi="Arial" w:cs="Arial"/>
        </w:rPr>
        <w:t>41</w:t>
      </w:r>
    </w:p>
    <w:p w14:paraId="691794D9" w14:textId="540E26D6" w:rsidR="00103FBF" w:rsidRPr="00FD73B4" w:rsidRDefault="00103FBF"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6.2.8 Gene–lifestyle interaction and public health implications</w:t>
      </w:r>
      <w:r w:rsidRPr="00FD73B4">
        <w:rPr>
          <w:rFonts w:ascii="Arial" w:eastAsia="Times New Roman" w:hAnsi="Arial" w:cs="Arial"/>
        </w:rPr>
        <w:t>…………………………</w:t>
      </w:r>
      <w:r w:rsidR="009E58FB">
        <w:rPr>
          <w:rFonts w:ascii="Arial" w:eastAsia="Times New Roman" w:hAnsi="Arial" w:cs="Arial"/>
        </w:rPr>
        <w:t>………….42</w:t>
      </w:r>
    </w:p>
    <w:p w14:paraId="496D92F6" w14:textId="140AC4AD" w:rsidR="00103FBF" w:rsidRPr="00FD73B4" w:rsidRDefault="00103FBF"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6.2.9 Psychosocial barriers and real-world feasibility</w:t>
      </w:r>
      <w:r w:rsidRPr="00FD73B4">
        <w:rPr>
          <w:rFonts w:ascii="Arial" w:eastAsia="Times New Roman" w:hAnsi="Arial" w:cs="Arial"/>
        </w:rPr>
        <w:t>………………………………</w:t>
      </w:r>
      <w:r w:rsidR="009E58FB">
        <w:rPr>
          <w:rFonts w:ascii="Arial" w:eastAsia="Times New Roman" w:hAnsi="Arial" w:cs="Arial"/>
        </w:rPr>
        <w:t>……………….44</w:t>
      </w:r>
    </w:p>
    <w:p w14:paraId="13F542E6" w14:textId="35135173" w:rsidR="00103FBF" w:rsidRPr="00FD73B4" w:rsidRDefault="00103FBF"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6.2.10 Environmental context and unintended risk</w:t>
      </w:r>
      <w:r w:rsidRPr="00FD73B4">
        <w:rPr>
          <w:rFonts w:ascii="Arial" w:eastAsia="Times New Roman" w:hAnsi="Arial" w:cs="Arial"/>
        </w:rPr>
        <w:t>…………………………</w:t>
      </w:r>
      <w:r w:rsidR="009E58FB">
        <w:rPr>
          <w:rFonts w:ascii="Arial" w:eastAsia="Times New Roman" w:hAnsi="Arial" w:cs="Arial"/>
        </w:rPr>
        <w:t>……………………….44</w:t>
      </w:r>
    </w:p>
    <w:p w14:paraId="4064D87D" w14:textId="3F7D5EA5" w:rsidR="00103FBF" w:rsidRPr="00FD73B4" w:rsidRDefault="00103FBF"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6.2.11 Critical reflection on the evidence base</w:t>
      </w:r>
      <w:r w:rsidRPr="00FD73B4">
        <w:rPr>
          <w:rFonts w:ascii="Arial" w:eastAsia="Times New Roman" w:hAnsi="Arial" w:cs="Arial"/>
        </w:rPr>
        <w:t>……………………………………</w:t>
      </w:r>
      <w:r w:rsidR="009E58FB">
        <w:rPr>
          <w:rFonts w:ascii="Arial" w:eastAsia="Times New Roman" w:hAnsi="Arial" w:cs="Arial"/>
        </w:rPr>
        <w:t>…………………45</w:t>
      </w:r>
    </w:p>
    <w:p w14:paraId="10E4A312" w14:textId="54226498" w:rsidR="00DA34B0" w:rsidRPr="00FD73B4" w:rsidRDefault="00103FBF" w:rsidP="009E58FB">
      <w:pPr>
        <w:spacing w:before="100" w:beforeAutospacing="1" w:after="100" w:afterAutospacing="1" w:line="360" w:lineRule="auto"/>
        <w:outlineLvl w:val="1"/>
        <w:rPr>
          <w:rFonts w:ascii="Arial" w:eastAsia="Times New Roman" w:hAnsi="Arial" w:cs="Arial"/>
        </w:rPr>
      </w:pPr>
      <w:r w:rsidRPr="00FD73B4">
        <w:rPr>
          <w:rFonts w:ascii="Arial" w:eastAsia="Times New Roman" w:hAnsi="Arial" w:cs="Arial"/>
        </w:rPr>
        <w:t>6.3 Strengths and Limitations of the Review</w:t>
      </w:r>
      <w:r w:rsidR="002D6D0B" w:rsidRPr="00FD73B4">
        <w:rPr>
          <w:rFonts w:ascii="Arial" w:hAnsi="Arial" w:cs="Arial"/>
        </w:rPr>
        <w:t>......</w:t>
      </w:r>
      <w:r w:rsidR="009E58FB">
        <w:rPr>
          <w:rFonts w:ascii="Arial" w:hAnsi="Arial" w:cs="Arial"/>
        </w:rPr>
        <w:t>.........................................................................</w:t>
      </w:r>
      <w:r w:rsidR="002D6D0B" w:rsidRPr="00FD73B4">
        <w:rPr>
          <w:rFonts w:ascii="Arial" w:hAnsi="Arial" w:cs="Arial"/>
        </w:rPr>
        <w:t>41</w:t>
      </w:r>
    </w:p>
    <w:p w14:paraId="66F1E51F" w14:textId="157E1AE8" w:rsidR="00DA34B0" w:rsidRPr="00FD73B4" w:rsidRDefault="00103FBF" w:rsidP="009E58FB">
      <w:pPr>
        <w:spacing w:before="100" w:beforeAutospacing="1" w:after="100" w:afterAutospacing="1" w:line="360" w:lineRule="auto"/>
        <w:outlineLvl w:val="0"/>
        <w:rPr>
          <w:rFonts w:ascii="Arial" w:hAnsi="Arial" w:cs="Arial"/>
        </w:rPr>
      </w:pPr>
      <w:r w:rsidRPr="00FD73B4">
        <w:rPr>
          <w:rFonts w:ascii="Arial" w:eastAsia="Times New Roman" w:hAnsi="Arial" w:cs="Arial"/>
        </w:rPr>
        <w:t>6.</w:t>
      </w:r>
      <w:r w:rsidRPr="00FD73B4">
        <w:rPr>
          <w:rFonts w:ascii="Arial" w:eastAsia="Times New Roman" w:hAnsi="Arial" w:cs="Arial"/>
        </w:rPr>
        <w:t>4 Chapter Summary</w:t>
      </w:r>
      <w:r w:rsidR="002D6D0B" w:rsidRPr="00FD73B4">
        <w:rPr>
          <w:rFonts w:ascii="Arial" w:hAnsi="Arial" w:cs="Arial"/>
        </w:rPr>
        <w:t>.............................................................................................</w:t>
      </w:r>
      <w:r w:rsidR="009E58FB">
        <w:rPr>
          <w:rFonts w:ascii="Arial" w:hAnsi="Arial" w:cs="Arial"/>
        </w:rPr>
        <w:t>....................</w:t>
      </w:r>
      <w:r w:rsidR="002D6D0B" w:rsidRPr="00FD73B4">
        <w:rPr>
          <w:rFonts w:ascii="Arial" w:hAnsi="Arial" w:cs="Arial"/>
        </w:rPr>
        <w:t>41</w:t>
      </w:r>
    </w:p>
    <w:p w14:paraId="301BA5E4" w14:textId="3DB8AA02" w:rsidR="00DA34B0" w:rsidRPr="00FD73B4" w:rsidRDefault="00103FBF" w:rsidP="009E58FB">
      <w:pPr>
        <w:spacing w:before="100" w:beforeAutospacing="1" w:after="100" w:afterAutospacing="1" w:line="360" w:lineRule="auto"/>
        <w:outlineLvl w:val="0"/>
        <w:rPr>
          <w:rFonts w:ascii="Arial" w:eastAsia="Times New Roman" w:hAnsi="Arial" w:cs="Arial"/>
          <w:kern w:val="36"/>
        </w:rPr>
      </w:pPr>
      <w:r w:rsidRPr="00FD73B4">
        <w:rPr>
          <w:rFonts w:ascii="Arial" w:eastAsia="Times New Roman" w:hAnsi="Arial" w:cs="Arial"/>
          <w:kern w:val="36"/>
        </w:rPr>
        <w:t>CHAPTER 7: RECOMMENDATIONS AND CONCLUSION</w:t>
      </w:r>
      <w:r w:rsidR="002D6D0B" w:rsidRPr="00FD73B4">
        <w:rPr>
          <w:rFonts w:ascii="Arial" w:hAnsi="Arial" w:cs="Arial"/>
        </w:rPr>
        <w:t>.................................</w:t>
      </w:r>
      <w:r w:rsidR="009E58FB">
        <w:rPr>
          <w:rFonts w:ascii="Arial" w:hAnsi="Arial" w:cs="Arial"/>
        </w:rPr>
        <w:t>..................</w:t>
      </w:r>
      <w:r w:rsidR="002D6D0B" w:rsidRPr="00FD73B4">
        <w:rPr>
          <w:rFonts w:ascii="Arial" w:hAnsi="Arial" w:cs="Arial"/>
        </w:rPr>
        <w:t>....43</w:t>
      </w:r>
    </w:p>
    <w:p w14:paraId="3CC070AB" w14:textId="18B962E6"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7.1 </w:t>
      </w:r>
      <w:r w:rsidR="00103FBF" w:rsidRPr="00FD73B4">
        <w:rPr>
          <w:rFonts w:ascii="Arial" w:eastAsia="Times New Roman" w:hAnsi="Arial" w:cs="Arial"/>
        </w:rPr>
        <w:t>Introduction to the Chapter</w:t>
      </w:r>
      <w:r w:rsidRPr="00FD73B4">
        <w:rPr>
          <w:rFonts w:ascii="Arial" w:hAnsi="Arial" w:cs="Arial"/>
        </w:rPr>
        <w:t>............................................................................</w:t>
      </w:r>
      <w:r w:rsidR="009E58FB">
        <w:rPr>
          <w:rFonts w:ascii="Arial" w:hAnsi="Arial" w:cs="Arial"/>
        </w:rPr>
        <w:t>...........</w:t>
      </w:r>
      <w:r w:rsidRPr="00FD73B4">
        <w:rPr>
          <w:rFonts w:ascii="Arial" w:hAnsi="Arial" w:cs="Arial"/>
        </w:rPr>
        <w:t>.............43</w:t>
      </w:r>
    </w:p>
    <w:p w14:paraId="02C7411B" w14:textId="7AB3D322"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7.2 Implications of Findings..............................................................................................</w:t>
      </w:r>
      <w:r w:rsidR="009E58FB">
        <w:rPr>
          <w:rFonts w:ascii="Arial" w:hAnsi="Arial" w:cs="Arial"/>
        </w:rPr>
        <w:t>..</w:t>
      </w:r>
      <w:r w:rsidRPr="00FD73B4">
        <w:rPr>
          <w:rFonts w:ascii="Arial" w:hAnsi="Arial" w:cs="Arial"/>
        </w:rPr>
        <w:t>.........43</w:t>
      </w:r>
    </w:p>
    <w:p w14:paraId="340798EE" w14:textId="3E5E28A6"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 xml:space="preserve">7.2.1 </w:t>
      </w:r>
      <w:r w:rsidR="007833DD" w:rsidRPr="00FD73B4">
        <w:rPr>
          <w:rFonts w:ascii="Arial" w:eastAsia="Times New Roman" w:hAnsi="Arial" w:cs="Arial"/>
        </w:rPr>
        <w:t>Implications for stroke prevention and public health</w:t>
      </w:r>
      <w:r w:rsidRPr="00FD73B4">
        <w:rPr>
          <w:rFonts w:ascii="Arial" w:hAnsi="Arial" w:cs="Arial"/>
        </w:rPr>
        <w:t>...........................................</w:t>
      </w:r>
      <w:r w:rsidR="009E58FB">
        <w:rPr>
          <w:rFonts w:ascii="Arial" w:hAnsi="Arial" w:cs="Arial"/>
        </w:rPr>
        <w:t>..........</w:t>
      </w:r>
      <w:r w:rsidRPr="00FD73B4">
        <w:rPr>
          <w:rFonts w:ascii="Arial" w:hAnsi="Arial" w:cs="Arial"/>
        </w:rPr>
        <w:t>......43</w:t>
      </w:r>
    </w:p>
    <w:p w14:paraId="3FF546C6" w14:textId="772E6F2B" w:rsidR="007833DD" w:rsidRPr="00FD73B4" w:rsidRDefault="007833DD"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7.2.2 Implications for equity and population-wide approaches</w:t>
      </w:r>
      <w:r w:rsidRPr="00FD73B4">
        <w:rPr>
          <w:rFonts w:ascii="Arial" w:eastAsia="Times New Roman" w:hAnsi="Arial" w:cs="Arial"/>
        </w:rPr>
        <w:t>…………………………</w:t>
      </w:r>
      <w:r w:rsidR="009E58FB">
        <w:rPr>
          <w:rFonts w:ascii="Arial" w:eastAsia="Times New Roman" w:hAnsi="Arial" w:cs="Arial"/>
        </w:rPr>
        <w:t>………….44</w:t>
      </w:r>
    </w:p>
    <w:p w14:paraId="09A4887F" w14:textId="3E10662D" w:rsidR="00DA34B0" w:rsidRPr="00FD73B4" w:rsidRDefault="002D6D0B" w:rsidP="009E58FB">
      <w:pPr>
        <w:spacing w:before="100" w:beforeAutospacing="1" w:after="100" w:afterAutospacing="1" w:line="360" w:lineRule="auto"/>
        <w:outlineLvl w:val="0"/>
        <w:rPr>
          <w:rFonts w:ascii="Arial" w:hAnsi="Arial" w:cs="Arial"/>
        </w:rPr>
      </w:pPr>
      <w:r w:rsidRPr="00FD73B4">
        <w:rPr>
          <w:rFonts w:ascii="Arial" w:hAnsi="Arial" w:cs="Arial"/>
        </w:rPr>
        <w:t>7.3 Recommendations for Practice...........................................................................................</w:t>
      </w:r>
      <w:r w:rsidR="009E58FB">
        <w:rPr>
          <w:rFonts w:ascii="Arial" w:hAnsi="Arial" w:cs="Arial"/>
        </w:rPr>
        <w:t>..</w:t>
      </w:r>
      <w:r w:rsidRPr="00FD73B4">
        <w:rPr>
          <w:rFonts w:ascii="Arial" w:hAnsi="Arial" w:cs="Arial"/>
        </w:rPr>
        <w:t>44</w:t>
      </w:r>
    </w:p>
    <w:p w14:paraId="5A2C5274" w14:textId="2A8D1253" w:rsidR="007833DD" w:rsidRPr="00FD73B4" w:rsidRDefault="007833DD" w:rsidP="009E58FB">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7.3.1 Recommendations for healthcare professionals</w:t>
      </w:r>
      <w:r w:rsidRPr="00FD73B4">
        <w:rPr>
          <w:rFonts w:ascii="Arial" w:eastAsia="Times New Roman" w:hAnsi="Arial" w:cs="Arial"/>
        </w:rPr>
        <w:t>…………………………</w:t>
      </w:r>
      <w:r w:rsidR="009E58FB">
        <w:rPr>
          <w:rFonts w:ascii="Arial" w:eastAsia="Times New Roman" w:hAnsi="Arial" w:cs="Arial"/>
        </w:rPr>
        <w:t>……………………45</w:t>
      </w:r>
    </w:p>
    <w:p w14:paraId="0DB85278" w14:textId="27B9D1B6"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7.3.2 Recommendations for public health programs</w:t>
      </w:r>
      <w:r w:rsidRPr="00FD73B4">
        <w:rPr>
          <w:rFonts w:ascii="Arial" w:eastAsia="Times New Roman" w:hAnsi="Arial" w:cs="Arial"/>
        </w:rPr>
        <w:t>…………………………</w:t>
      </w:r>
      <w:r w:rsidR="009E58FB">
        <w:rPr>
          <w:rFonts w:ascii="Arial" w:eastAsia="Times New Roman" w:hAnsi="Arial" w:cs="Arial"/>
        </w:rPr>
        <w:t>……………………..44</w:t>
      </w:r>
    </w:p>
    <w:p w14:paraId="3DAAE673" w14:textId="466B29DB"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lastRenderedPageBreak/>
        <w:t>7.3.3 Recommendations for supportive and person-centred care</w:t>
      </w:r>
      <w:r w:rsidRPr="00FD73B4">
        <w:rPr>
          <w:rFonts w:ascii="Arial" w:eastAsia="Times New Roman" w:hAnsi="Arial" w:cs="Arial"/>
        </w:rPr>
        <w:t>……………</w:t>
      </w:r>
      <w:r w:rsidR="009E58FB">
        <w:rPr>
          <w:rFonts w:ascii="Arial" w:eastAsia="Times New Roman" w:hAnsi="Arial" w:cs="Arial"/>
        </w:rPr>
        <w:t>…………………..</w:t>
      </w:r>
      <w:r w:rsidRPr="00FD73B4">
        <w:rPr>
          <w:rFonts w:ascii="Arial" w:eastAsia="Times New Roman" w:hAnsi="Arial" w:cs="Arial"/>
        </w:rPr>
        <w:t>.</w:t>
      </w:r>
      <w:r w:rsidR="009E58FB">
        <w:rPr>
          <w:rFonts w:ascii="Arial" w:eastAsia="Times New Roman" w:hAnsi="Arial" w:cs="Arial"/>
        </w:rPr>
        <w:t>50</w:t>
      </w:r>
    </w:p>
    <w:p w14:paraId="2F967D9A" w14:textId="2C32DB5B" w:rsidR="00DA34B0" w:rsidRPr="00FD73B4" w:rsidRDefault="002D6D0B" w:rsidP="008632B0">
      <w:pPr>
        <w:spacing w:before="100" w:beforeAutospacing="1" w:after="100" w:afterAutospacing="1" w:line="360" w:lineRule="auto"/>
        <w:outlineLvl w:val="1"/>
        <w:rPr>
          <w:rFonts w:ascii="Arial" w:eastAsia="Times New Roman" w:hAnsi="Arial" w:cs="Arial"/>
          <w:b/>
          <w:bCs/>
        </w:rPr>
      </w:pPr>
      <w:r w:rsidRPr="00FD73B4">
        <w:rPr>
          <w:rFonts w:ascii="Arial" w:hAnsi="Arial" w:cs="Arial"/>
        </w:rPr>
        <w:t>7.4</w:t>
      </w:r>
      <w:r w:rsidR="007833DD" w:rsidRPr="00FD73B4">
        <w:rPr>
          <w:rFonts w:ascii="Arial" w:eastAsia="Times New Roman" w:hAnsi="Arial" w:cs="Arial"/>
          <w:b/>
          <w:bCs/>
        </w:rPr>
        <w:t xml:space="preserve"> </w:t>
      </w:r>
      <w:r w:rsidR="007833DD" w:rsidRPr="00FD73B4">
        <w:rPr>
          <w:rFonts w:ascii="Arial" w:eastAsia="Times New Roman" w:hAnsi="Arial" w:cs="Arial"/>
        </w:rPr>
        <w:t>Recommendations for Future Research</w:t>
      </w:r>
      <w:r w:rsidRPr="00FD73B4">
        <w:rPr>
          <w:rFonts w:ascii="Arial" w:hAnsi="Arial" w:cs="Arial"/>
        </w:rPr>
        <w:t>....................</w:t>
      </w:r>
      <w:r w:rsidR="009E58FB">
        <w:rPr>
          <w:rFonts w:ascii="Arial" w:hAnsi="Arial" w:cs="Arial"/>
        </w:rPr>
        <w:t>............................................................</w:t>
      </w:r>
      <w:r w:rsidRPr="00FD73B4">
        <w:rPr>
          <w:rFonts w:ascii="Arial" w:hAnsi="Arial" w:cs="Arial"/>
        </w:rPr>
        <w:t>44</w:t>
      </w:r>
    </w:p>
    <w:p w14:paraId="5A2B2A77" w14:textId="78BFD79A"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7.4.1 Methodological recommendations</w:t>
      </w:r>
      <w:r w:rsidRPr="00FD73B4">
        <w:rPr>
          <w:rFonts w:ascii="Arial" w:eastAsia="Times New Roman" w:hAnsi="Arial" w:cs="Arial"/>
        </w:rPr>
        <w:t>………………</w:t>
      </w:r>
      <w:r w:rsidR="009E58FB">
        <w:rPr>
          <w:rFonts w:ascii="Arial" w:eastAsia="Times New Roman" w:hAnsi="Arial" w:cs="Arial"/>
        </w:rPr>
        <w:t>……………………………………………..</w:t>
      </w:r>
      <w:r w:rsidRPr="00FD73B4">
        <w:rPr>
          <w:rFonts w:ascii="Arial" w:eastAsia="Times New Roman" w:hAnsi="Arial" w:cs="Arial"/>
        </w:rPr>
        <w:t>.</w:t>
      </w:r>
      <w:r w:rsidR="009E58FB">
        <w:rPr>
          <w:rFonts w:ascii="Arial" w:eastAsia="Times New Roman" w:hAnsi="Arial" w:cs="Arial"/>
        </w:rPr>
        <w:t>50</w:t>
      </w:r>
    </w:p>
    <w:p w14:paraId="2D9FF18B" w14:textId="463ABCBF"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7.4.2 Subgroup and contextual research</w:t>
      </w:r>
      <w:r w:rsidRPr="00FD73B4">
        <w:rPr>
          <w:rFonts w:ascii="Arial" w:eastAsia="Times New Roman" w:hAnsi="Arial" w:cs="Arial"/>
        </w:rPr>
        <w:t>…………………</w:t>
      </w:r>
      <w:r w:rsidR="009E58FB">
        <w:rPr>
          <w:rFonts w:ascii="Arial" w:eastAsia="Times New Roman" w:hAnsi="Arial" w:cs="Arial"/>
        </w:rPr>
        <w:t>…………………………………………..60</w:t>
      </w:r>
    </w:p>
    <w:p w14:paraId="21D5051D" w14:textId="2B36DB28"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7.4.3 Implementation-focused research</w:t>
      </w:r>
      <w:r w:rsidRPr="00FD73B4">
        <w:rPr>
          <w:rFonts w:ascii="Arial" w:eastAsia="Times New Roman" w:hAnsi="Arial" w:cs="Arial"/>
        </w:rPr>
        <w:t>……………………</w:t>
      </w:r>
      <w:r w:rsidR="00022028">
        <w:rPr>
          <w:rFonts w:ascii="Arial" w:eastAsia="Times New Roman" w:hAnsi="Arial" w:cs="Arial"/>
        </w:rPr>
        <w:t>…………………………………………60</w:t>
      </w:r>
    </w:p>
    <w:p w14:paraId="11D964D3" w14:textId="4603DAD2" w:rsidR="007833DD" w:rsidRPr="00FD73B4" w:rsidRDefault="002D6D0B" w:rsidP="008632B0">
      <w:pPr>
        <w:spacing w:before="100" w:beforeAutospacing="1" w:after="100" w:afterAutospacing="1" w:line="360" w:lineRule="auto"/>
        <w:jc w:val="both"/>
        <w:outlineLvl w:val="0"/>
        <w:rPr>
          <w:rFonts w:ascii="Arial" w:hAnsi="Arial" w:cs="Arial"/>
        </w:rPr>
      </w:pPr>
      <w:r w:rsidRPr="00FD73B4">
        <w:rPr>
          <w:rFonts w:ascii="Arial" w:hAnsi="Arial" w:cs="Arial"/>
        </w:rPr>
        <w:t>7.5 Conclusion............................................................................................................................</w:t>
      </w:r>
      <w:r w:rsidR="00022028">
        <w:rPr>
          <w:rFonts w:ascii="Arial" w:hAnsi="Arial" w:cs="Arial"/>
        </w:rPr>
        <w:t>.60</w:t>
      </w:r>
      <w:r w:rsidRPr="00FD73B4">
        <w:rPr>
          <w:rFonts w:ascii="Arial" w:hAnsi="Arial" w:cs="Arial"/>
        </w:rPr>
        <w:t xml:space="preserve"> </w:t>
      </w:r>
    </w:p>
    <w:p w14:paraId="35F57A5A" w14:textId="0EE018AF"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7.5.1 Restatement of the research topic and question</w:t>
      </w:r>
      <w:r w:rsidRPr="00FD73B4">
        <w:rPr>
          <w:rFonts w:ascii="Arial" w:eastAsia="Times New Roman" w:hAnsi="Arial" w:cs="Arial"/>
        </w:rPr>
        <w:t>…………………</w:t>
      </w:r>
      <w:r w:rsidR="00022028">
        <w:rPr>
          <w:rFonts w:ascii="Arial" w:eastAsia="Times New Roman" w:hAnsi="Arial" w:cs="Arial"/>
        </w:rPr>
        <w:t>…………………………...60</w:t>
      </w:r>
    </w:p>
    <w:p w14:paraId="213D857C" w14:textId="085F7B35"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7.5.2 Summary of main findings</w:t>
      </w:r>
      <w:r w:rsidRPr="00FD73B4">
        <w:rPr>
          <w:rFonts w:ascii="Arial" w:eastAsia="Times New Roman" w:hAnsi="Arial" w:cs="Arial"/>
        </w:rPr>
        <w:t>……………………………</w:t>
      </w:r>
      <w:r w:rsidR="00022028">
        <w:rPr>
          <w:rFonts w:ascii="Arial" w:eastAsia="Times New Roman" w:hAnsi="Arial" w:cs="Arial"/>
        </w:rPr>
        <w:t>………………………………………….70</w:t>
      </w:r>
    </w:p>
    <w:p w14:paraId="2F91F524" w14:textId="402BD18D"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7.5.3 Significance and contribution of the study</w:t>
      </w:r>
      <w:r w:rsidRPr="00FD73B4">
        <w:rPr>
          <w:rFonts w:ascii="Arial" w:eastAsia="Times New Roman" w:hAnsi="Arial" w:cs="Arial"/>
        </w:rPr>
        <w:t>………………</w:t>
      </w:r>
      <w:r w:rsidR="00022028">
        <w:rPr>
          <w:rFonts w:ascii="Arial" w:eastAsia="Times New Roman" w:hAnsi="Arial" w:cs="Arial"/>
        </w:rPr>
        <w:t>……………………………………..70</w:t>
      </w:r>
    </w:p>
    <w:p w14:paraId="4D4FA04B" w14:textId="75D1F3AA" w:rsidR="007833DD" w:rsidRPr="00FD73B4" w:rsidRDefault="007833DD" w:rsidP="008632B0">
      <w:p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7.5.4 Concluding statement</w:t>
      </w:r>
      <w:r w:rsidRPr="00FD73B4">
        <w:rPr>
          <w:rFonts w:ascii="Arial" w:eastAsia="Times New Roman" w:hAnsi="Arial" w:cs="Arial"/>
        </w:rPr>
        <w:t>………………………</w:t>
      </w:r>
      <w:r w:rsidR="00022028">
        <w:rPr>
          <w:rFonts w:ascii="Arial" w:eastAsia="Times New Roman" w:hAnsi="Arial" w:cs="Arial"/>
        </w:rPr>
        <w:t>……………………………………………………80</w:t>
      </w:r>
    </w:p>
    <w:p w14:paraId="7708C649" w14:textId="09C7B3E9" w:rsidR="007833DD" w:rsidRPr="00FD73B4" w:rsidRDefault="002D6D0B" w:rsidP="008632B0">
      <w:pPr>
        <w:spacing w:before="100" w:beforeAutospacing="1" w:after="100" w:afterAutospacing="1" w:line="360" w:lineRule="auto"/>
        <w:jc w:val="both"/>
        <w:outlineLvl w:val="0"/>
        <w:rPr>
          <w:rFonts w:ascii="Arial" w:hAnsi="Arial" w:cs="Arial"/>
        </w:rPr>
      </w:pPr>
      <w:r w:rsidRPr="00FD73B4">
        <w:rPr>
          <w:rFonts w:ascii="Arial" w:hAnsi="Arial" w:cs="Arial"/>
        </w:rPr>
        <w:t>REFERENCES.............................................................................................................</w:t>
      </w:r>
      <w:r w:rsidR="00022028">
        <w:rPr>
          <w:rFonts w:ascii="Arial" w:hAnsi="Arial" w:cs="Arial"/>
        </w:rPr>
        <w:t>...............</w:t>
      </w:r>
      <w:r w:rsidRPr="00FD73B4">
        <w:rPr>
          <w:rFonts w:ascii="Arial" w:hAnsi="Arial" w:cs="Arial"/>
        </w:rPr>
        <w:t xml:space="preserve">47 </w:t>
      </w:r>
    </w:p>
    <w:p w14:paraId="6658B581" w14:textId="71473912" w:rsidR="009E0432" w:rsidRPr="00FD73B4" w:rsidRDefault="002D6D0B" w:rsidP="008632B0">
      <w:pPr>
        <w:spacing w:before="100" w:beforeAutospacing="1" w:after="100" w:afterAutospacing="1" w:line="360" w:lineRule="auto"/>
        <w:jc w:val="both"/>
        <w:outlineLvl w:val="0"/>
        <w:rPr>
          <w:rFonts w:ascii="Arial" w:eastAsia="Times New Roman" w:hAnsi="Arial" w:cs="Arial"/>
          <w:b/>
          <w:bCs/>
          <w:kern w:val="36"/>
        </w:rPr>
      </w:pPr>
      <w:r w:rsidRPr="00FD73B4">
        <w:rPr>
          <w:rFonts w:ascii="Arial" w:hAnsi="Arial" w:cs="Arial"/>
        </w:rPr>
        <w:t>APPENDICES</w:t>
      </w:r>
      <w:r w:rsidR="007833DD" w:rsidRPr="00FD73B4">
        <w:rPr>
          <w:rFonts w:ascii="Arial" w:hAnsi="Arial" w:cs="Arial"/>
        </w:rPr>
        <w:t>…………</w:t>
      </w:r>
      <w:r w:rsidRPr="00FD73B4">
        <w:rPr>
          <w:rFonts w:ascii="Arial" w:hAnsi="Arial" w:cs="Arial"/>
        </w:rPr>
        <w:t>......................................................</w:t>
      </w:r>
      <w:r w:rsidR="00022028">
        <w:rPr>
          <w:rFonts w:ascii="Arial" w:hAnsi="Arial" w:cs="Arial"/>
        </w:rPr>
        <w:t>.........................................................88</w:t>
      </w:r>
    </w:p>
    <w:p w14:paraId="068C720F" w14:textId="77777777" w:rsidR="00DA34B0" w:rsidRPr="00FD73B4" w:rsidRDefault="00DA34B0" w:rsidP="009E0432">
      <w:pPr>
        <w:spacing w:before="100" w:beforeAutospacing="1" w:after="100" w:afterAutospacing="1" w:line="360" w:lineRule="auto"/>
        <w:outlineLvl w:val="0"/>
        <w:rPr>
          <w:rFonts w:ascii="Arial" w:eastAsia="Times New Roman" w:hAnsi="Arial" w:cs="Arial"/>
          <w:b/>
          <w:bCs/>
          <w:kern w:val="36"/>
        </w:rPr>
      </w:pPr>
    </w:p>
    <w:p w14:paraId="08B7D042" w14:textId="77777777" w:rsidR="00DA34B0" w:rsidRPr="00FD73B4" w:rsidRDefault="00DA34B0" w:rsidP="009E0432">
      <w:pPr>
        <w:spacing w:before="100" w:beforeAutospacing="1" w:after="100" w:afterAutospacing="1" w:line="360" w:lineRule="auto"/>
        <w:outlineLvl w:val="0"/>
        <w:rPr>
          <w:rFonts w:ascii="Arial" w:eastAsia="Times New Roman" w:hAnsi="Arial" w:cs="Arial"/>
          <w:b/>
          <w:bCs/>
          <w:kern w:val="36"/>
        </w:rPr>
      </w:pPr>
    </w:p>
    <w:p w14:paraId="09BC1D86" w14:textId="77777777" w:rsidR="00DA34B0" w:rsidRPr="00FD73B4" w:rsidRDefault="00DA34B0" w:rsidP="009E0432">
      <w:pPr>
        <w:spacing w:before="100" w:beforeAutospacing="1" w:after="100" w:afterAutospacing="1" w:line="360" w:lineRule="auto"/>
        <w:outlineLvl w:val="0"/>
        <w:rPr>
          <w:rFonts w:ascii="Arial" w:eastAsia="Times New Roman" w:hAnsi="Arial" w:cs="Arial"/>
          <w:b/>
          <w:bCs/>
          <w:kern w:val="36"/>
        </w:rPr>
      </w:pPr>
    </w:p>
    <w:p w14:paraId="47887E38" w14:textId="77777777" w:rsidR="008632B0" w:rsidRPr="00FD73B4" w:rsidRDefault="008632B0" w:rsidP="008632B0">
      <w:pPr>
        <w:spacing w:line="360" w:lineRule="auto"/>
        <w:rPr>
          <w:rFonts w:ascii="Arial" w:eastAsia="Times New Roman" w:hAnsi="Arial" w:cs="Arial"/>
          <w:b/>
          <w:bCs/>
          <w:kern w:val="36"/>
        </w:rPr>
      </w:pPr>
    </w:p>
    <w:p w14:paraId="4B985E21" w14:textId="77777777" w:rsidR="00FD73B4" w:rsidRDefault="00FD73B4" w:rsidP="008632B0">
      <w:pPr>
        <w:spacing w:line="360" w:lineRule="auto"/>
        <w:jc w:val="center"/>
        <w:rPr>
          <w:rFonts w:ascii="Arial" w:hAnsi="Arial" w:cs="Arial"/>
          <w:b/>
        </w:rPr>
      </w:pPr>
    </w:p>
    <w:p w14:paraId="0F235FD0" w14:textId="77777777" w:rsidR="00FD73B4" w:rsidRDefault="00FD73B4" w:rsidP="008632B0">
      <w:pPr>
        <w:spacing w:line="360" w:lineRule="auto"/>
        <w:jc w:val="center"/>
        <w:rPr>
          <w:rFonts w:ascii="Arial" w:hAnsi="Arial" w:cs="Arial"/>
          <w:b/>
        </w:rPr>
      </w:pPr>
    </w:p>
    <w:p w14:paraId="5CA7FAD3" w14:textId="77777777" w:rsidR="00FD73B4" w:rsidRDefault="00FD73B4" w:rsidP="008632B0">
      <w:pPr>
        <w:spacing w:line="360" w:lineRule="auto"/>
        <w:jc w:val="center"/>
        <w:rPr>
          <w:rFonts w:ascii="Arial" w:hAnsi="Arial" w:cs="Arial"/>
          <w:b/>
        </w:rPr>
      </w:pPr>
    </w:p>
    <w:p w14:paraId="5CDA5D76" w14:textId="77777777" w:rsidR="00FD73B4" w:rsidRDefault="00FD73B4" w:rsidP="008632B0">
      <w:pPr>
        <w:spacing w:line="360" w:lineRule="auto"/>
        <w:jc w:val="center"/>
        <w:rPr>
          <w:rFonts w:ascii="Arial" w:hAnsi="Arial" w:cs="Arial"/>
          <w:b/>
        </w:rPr>
      </w:pPr>
    </w:p>
    <w:p w14:paraId="0245B37E" w14:textId="77777777" w:rsidR="00FD73B4" w:rsidRDefault="00FD73B4" w:rsidP="008632B0">
      <w:pPr>
        <w:spacing w:line="360" w:lineRule="auto"/>
        <w:jc w:val="center"/>
        <w:rPr>
          <w:rFonts w:ascii="Arial" w:hAnsi="Arial" w:cs="Arial"/>
          <w:b/>
        </w:rPr>
      </w:pPr>
    </w:p>
    <w:p w14:paraId="63DA0B22" w14:textId="40406A95" w:rsidR="00947F31" w:rsidRPr="00FD73B4" w:rsidRDefault="00947F31" w:rsidP="008632B0">
      <w:pPr>
        <w:spacing w:line="360" w:lineRule="auto"/>
        <w:jc w:val="center"/>
        <w:rPr>
          <w:rFonts w:ascii="Arial" w:hAnsi="Arial" w:cs="Arial"/>
          <w:b/>
          <w:sz w:val="24"/>
          <w:szCs w:val="24"/>
        </w:rPr>
      </w:pPr>
      <w:r w:rsidRPr="00FD73B4">
        <w:rPr>
          <w:rFonts w:ascii="Arial" w:hAnsi="Arial" w:cs="Arial"/>
          <w:b/>
          <w:sz w:val="24"/>
          <w:szCs w:val="24"/>
        </w:rPr>
        <w:lastRenderedPageBreak/>
        <w:t>List of Abbreviations</w:t>
      </w:r>
    </w:p>
    <w:p w14:paraId="59FB539D" w14:textId="77777777" w:rsidR="00947F31" w:rsidRPr="00FD73B4" w:rsidRDefault="00947F31" w:rsidP="00947F31">
      <w:pPr>
        <w:spacing w:line="360" w:lineRule="auto"/>
        <w:jc w:val="center"/>
        <w:rPr>
          <w:rFonts w:ascii="Arial" w:hAnsi="Arial" w:cs="Arial"/>
          <w: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0"/>
        <w:gridCol w:w="6918"/>
      </w:tblGrid>
      <w:tr w:rsidR="00947F31" w:rsidRPr="00FD73B4" w14:paraId="0A3DD82A" w14:textId="77777777" w:rsidTr="00A1297E">
        <w:trPr>
          <w:tblHeader/>
          <w:tblCellSpacing w:w="15" w:type="dxa"/>
        </w:trPr>
        <w:tc>
          <w:tcPr>
            <w:tcW w:w="0" w:type="auto"/>
            <w:vAlign w:val="center"/>
            <w:hideMark/>
          </w:tcPr>
          <w:p w14:paraId="3EE9F77C" w14:textId="77777777" w:rsidR="00947F31" w:rsidRPr="00FD73B4" w:rsidRDefault="00947F31" w:rsidP="00A1297E">
            <w:pPr>
              <w:spacing w:after="0" w:line="360" w:lineRule="auto"/>
              <w:jc w:val="center"/>
              <w:rPr>
                <w:rFonts w:ascii="Arial" w:eastAsia="Times New Roman" w:hAnsi="Arial" w:cs="Arial"/>
                <w:b/>
                <w:bCs/>
              </w:rPr>
            </w:pPr>
            <w:r w:rsidRPr="00FD73B4">
              <w:rPr>
                <w:rFonts w:ascii="Arial" w:eastAsia="Times New Roman" w:hAnsi="Arial" w:cs="Arial"/>
                <w:b/>
                <w:bCs/>
              </w:rPr>
              <w:t>Abbreviation</w:t>
            </w:r>
          </w:p>
        </w:tc>
        <w:tc>
          <w:tcPr>
            <w:tcW w:w="0" w:type="auto"/>
            <w:vAlign w:val="center"/>
            <w:hideMark/>
          </w:tcPr>
          <w:p w14:paraId="30C82B9C" w14:textId="77777777" w:rsidR="00947F31" w:rsidRPr="00FD73B4" w:rsidRDefault="00947F31" w:rsidP="00A1297E">
            <w:pPr>
              <w:spacing w:after="0" w:line="360" w:lineRule="auto"/>
              <w:jc w:val="center"/>
              <w:rPr>
                <w:rFonts w:ascii="Arial" w:eastAsia="Times New Roman" w:hAnsi="Arial" w:cs="Arial"/>
                <w:b/>
                <w:bCs/>
              </w:rPr>
            </w:pPr>
            <w:r w:rsidRPr="00FD73B4">
              <w:rPr>
                <w:rFonts w:ascii="Arial" w:eastAsia="Times New Roman" w:hAnsi="Arial" w:cs="Arial"/>
                <w:b/>
                <w:bCs/>
              </w:rPr>
              <w:t>Full Term</w:t>
            </w:r>
          </w:p>
        </w:tc>
      </w:tr>
      <w:tr w:rsidR="00947F31" w:rsidRPr="00FD73B4" w14:paraId="0AEC2F84" w14:textId="77777777" w:rsidTr="00A1297E">
        <w:trPr>
          <w:tblCellSpacing w:w="15" w:type="dxa"/>
        </w:trPr>
        <w:tc>
          <w:tcPr>
            <w:tcW w:w="0" w:type="auto"/>
            <w:vAlign w:val="center"/>
            <w:hideMark/>
          </w:tcPr>
          <w:p w14:paraId="019A8A98"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BMI</w:t>
            </w:r>
          </w:p>
        </w:tc>
        <w:tc>
          <w:tcPr>
            <w:tcW w:w="0" w:type="auto"/>
            <w:vAlign w:val="center"/>
            <w:hideMark/>
          </w:tcPr>
          <w:p w14:paraId="20C399B3"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Body Mass Index</w:t>
            </w:r>
          </w:p>
        </w:tc>
      </w:tr>
      <w:tr w:rsidR="00947F31" w:rsidRPr="00FD73B4" w14:paraId="4969B17A" w14:textId="77777777" w:rsidTr="00A1297E">
        <w:trPr>
          <w:tblCellSpacing w:w="15" w:type="dxa"/>
        </w:trPr>
        <w:tc>
          <w:tcPr>
            <w:tcW w:w="0" w:type="auto"/>
            <w:vAlign w:val="center"/>
            <w:hideMark/>
          </w:tcPr>
          <w:p w14:paraId="21E77E8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CASP</w:t>
            </w:r>
          </w:p>
        </w:tc>
        <w:tc>
          <w:tcPr>
            <w:tcW w:w="0" w:type="auto"/>
            <w:vAlign w:val="center"/>
            <w:hideMark/>
          </w:tcPr>
          <w:p w14:paraId="48ED0F1D" w14:textId="13738D3E"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Critical Appraisal Skills Program</w:t>
            </w:r>
          </w:p>
        </w:tc>
      </w:tr>
      <w:tr w:rsidR="00947F31" w:rsidRPr="00FD73B4" w14:paraId="2858443E" w14:textId="77777777" w:rsidTr="00A1297E">
        <w:trPr>
          <w:tblCellSpacing w:w="15" w:type="dxa"/>
        </w:trPr>
        <w:tc>
          <w:tcPr>
            <w:tcW w:w="0" w:type="auto"/>
            <w:vAlign w:val="center"/>
            <w:hideMark/>
          </w:tcPr>
          <w:p w14:paraId="76CA60B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CVD</w:t>
            </w:r>
          </w:p>
        </w:tc>
        <w:tc>
          <w:tcPr>
            <w:tcW w:w="0" w:type="auto"/>
            <w:vAlign w:val="center"/>
            <w:hideMark/>
          </w:tcPr>
          <w:p w14:paraId="4CEC8287"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Cardiovascular Disease</w:t>
            </w:r>
          </w:p>
        </w:tc>
      </w:tr>
      <w:tr w:rsidR="00947F31" w:rsidRPr="00FD73B4" w14:paraId="6578D938" w14:textId="77777777" w:rsidTr="00A1297E">
        <w:trPr>
          <w:tblCellSpacing w:w="15" w:type="dxa"/>
        </w:trPr>
        <w:tc>
          <w:tcPr>
            <w:tcW w:w="0" w:type="auto"/>
            <w:vAlign w:val="center"/>
            <w:hideMark/>
          </w:tcPr>
          <w:p w14:paraId="5D3ED823"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DASH</w:t>
            </w:r>
          </w:p>
        </w:tc>
        <w:tc>
          <w:tcPr>
            <w:tcW w:w="0" w:type="auto"/>
            <w:vAlign w:val="center"/>
            <w:hideMark/>
          </w:tcPr>
          <w:p w14:paraId="4EF699D8"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Dietary Approaches to Stop Hypertension</w:t>
            </w:r>
          </w:p>
        </w:tc>
      </w:tr>
      <w:tr w:rsidR="00947F31" w:rsidRPr="00FD73B4" w14:paraId="2A71C662" w14:textId="77777777" w:rsidTr="00A1297E">
        <w:trPr>
          <w:tblCellSpacing w:w="15" w:type="dxa"/>
        </w:trPr>
        <w:tc>
          <w:tcPr>
            <w:tcW w:w="0" w:type="auto"/>
            <w:vAlign w:val="center"/>
            <w:hideMark/>
          </w:tcPr>
          <w:p w14:paraId="68322CCE"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FFQ</w:t>
            </w:r>
          </w:p>
        </w:tc>
        <w:tc>
          <w:tcPr>
            <w:tcW w:w="0" w:type="auto"/>
            <w:vAlign w:val="center"/>
            <w:hideMark/>
          </w:tcPr>
          <w:p w14:paraId="67EDD784"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Food Frequency Questionnaire</w:t>
            </w:r>
          </w:p>
        </w:tc>
      </w:tr>
      <w:tr w:rsidR="00947F31" w:rsidRPr="00FD73B4" w14:paraId="4B5D9D85" w14:textId="77777777" w:rsidTr="00A1297E">
        <w:trPr>
          <w:tblCellSpacing w:w="15" w:type="dxa"/>
        </w:trPr>
        <w:tc>
          <w:tcPr>
            <w:tcW w:w="0" w:type="auto"/>
            <w:vAlign w:val="center"/>
            <w:hideMark/>
          </w:tcPr>
          <w:p w14:paraId="69D478D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HDL</w:t>
            </w:r>
          </w:p>
        </w:tc>
        <w:tc>
          <w:tcPr>
            <w:tcW w:w="0" w:type="auto"/>
            <w:vAlign w:val="center"/>
            <w:hideMark/>
          </w:tcPr>
          <w:p w14:paraId="172D9945"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High-Density Lipoprotein</w:t>
            </w:r>
          </w:p>
        </w:tc>
      </w:tr>
      <w:tr w:rsidR="00947F31" w:rsidRPr="00FD73B4" w14:paraId="1E2A7BD8" w14:textId="77777777" w:rsidTr="00A1297E">
        <w:trPr>
          <w:tblCellSpacing w:w="15" w:type="dxa"/>
        </w:trPr>
        <w:tc>
          <w:tcPr>
            <w:tcW w:w="0" w:type="auto"/>
            <w:vAlign w:val="center"/>
            <w:hideMark/>
          </w:tcPr>
          <w:p w14:paraId="6170CCA8"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HR</w:t>
            </w:r>
          </w:p>
        </w:tc>
        <w:tc>
          <w:tcPr>
            <w:tcW w:w="0" w:type="auto"/>
            <w:vAlign w:val="center"/>
            <w:hideMark/>
          </w:tcPr>
          <w:p w14:paraId="3F6844F7"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Hazard Ratio</w:t>
            </w:r>
          </w:p>
        </w:tc>
      </w:tr>
      <w:tr w:rsidR="00947F31" w:rsidRPr="00FD73B4" w14:paraId="459F48A6" w14:textId="77777777" w:rsidTr="00A1297E">
        <w:trPr>
          <w:tblCellSpacing w:w="15" w:type="dxa"/>
        </w:trPr>
        <w:tc>
          <w:tcPr>
            <w:tcW w:w="0" w:type="auto"/>
            <w:vAlign w:val="center"/>
            <w:hideMark/>
          </w:tcPr>
          <w:p w14:paraId="5EDDC537"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ICD</w:t>
            </w:r>
          </w:p>
        </w:tc>
        <w:tc>
          <w:tcPr>
            <w:tcW w:w="0" w:type="auto"/>
            <w:vAlign w:val="center"/>
            <w:hideMark/>
          </w:tcPr>
          <w:p w14:paraId="7CE3AE36"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International Classification of Diseases</w:t>
            </w:r>
          </w:p>
        </w:tc>
      </w:tr>
      <w:tr w:rsidR="00947F31" w:rsidRPr="00FD73B4" w14:paraId="1C27067F" w14:textId="77777777" w:rsidTr="00A1297E">
        <w:trPr>
          <w:tblCellSpacing w:w="15" w:type="dxa"/>
        </w:trPr>
        <w:tc>
          <w:tcPr>
            <w:tcW w:w="0" w:type="auto"/>
            <w:vAlign w:val="center"/>
            <w:hideMark/>
          </w:tcPr>
          <w:p w14:paraId="0AB2EC0A"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IS</w:t>
            </w:r>
          </w:p>
        </w:tc>
        <w:tc>
          <w:tcPr>
            <w:tcW w:w="0" w:type="auto"/>
            <w:vAlign w:val="center"/>
            <w:hideMark/>
          </w:tcPr>
          <w:p w14:paraId="0D15E60C" w14:textId="56742826" w:rsidR="00947F31" w:rsidRPr="00FD73B4" w:rsidRDefault="006D2DE1" w:rsidP="00A1297E">
            <w:pPr>
              <w:spacing w:after="0" w:line="360" w:lineRule="auto"/>
              <w:rPr>
                <w:rFonts w:ascii="Arial" w:eastAsia="Times New Roman" w:hAnsi="Arial" w:cs="Arial"/>
              </w:rPr>
            </w:pPr>
            <w:r w:rsidRPr="00FD73B4">
              <w:rPr>
                <w:rFonts w:ascii="Arial" w:eastAsia="Times New Roman" w:hAnsi="Arial" w:cs="Arial"/>
              </w:rPr>
              <w:t>Ischemic</w:t>
            </w:r>
            <w:r w:rsidR="00947F31" w:rsidRPr="00FD73B4">
              <w:rPr>
                <w:rFonts w:ascii="Arial" w:eastAsia="Times New Roman" w:hAnsi="Arial" w:cs="Arial"/>
              </w:rPr>
              <w:t xml:space="preserve"> Stroke</w:t>
            </w:r>
          </w:p>
        </w:tc>
      </w:tr>
      <w:tr w:rsidR="00947F31" w:rsidRPr="00FD73B4" w14:paraId="11EAFCE9" w14:textId="77777777" w:rsidTr="00A1297E">
        <w:trPr>
          <w:tblCellSpacing w:w="15" w:type="dxa"/>
        </w:trPr>
        <w:tc>
          <w:tcPr>
            <w:tcW w:w="0" w:type="auto"/>
            <w:vAlign w:val="center"/>
            <w:hideMark/>
          </w:tcPr>
          <w:p w14:paraId="2030E917"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JBI</w:t>
            </w:r>
          </w:p>
        </w:tc>
        <w:tc>
          <w:tcPr>
            <w:tcW w:w="0" w:type="auto"/>
            <w:vAlign w:val="center"/>
            <w:hideMark/>
          </w:tcPr>
          <w:p w14:paraId="0F6ADE9E"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Joanna Briggs Institute</w:t>
            </w:r>
          </w:p>
        </w:tc>
      </w:tr>
      <w:tr w:rsidR="00947F31" w:rsidRPr="00FD73B4" w14:paraId="411DB302" w14:textId="77777777" w:rsidTr="00A1297E">
        <w:trPr>
          <w:tblCellSpacing w:w="15" w:type="dxa"/>
        </w:trPr>
        <w:tc>
          <w:tcPr>
            <w:tcW w:w="0" w:type="auto"/>
            <w:vAlign w:val="center"/>
            <w:hideMark/>
          </w:tcPr>
          <w:p w14:paraId="7EF5423E"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LDL</w:t>
            </w:r>
          </w:p>
        </w:tc>
        <w:tc>
          <w:tcPr>
            <w:tcW w:w="0" w:type="auto"/>
            <w:vAlign w:val="center"/>
            <w:hideMark/>
          </w:tcPr>
          <w:p w14:paraId="21FB4F4B"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Low-Density Lipoprotein</w:t>
            </w:r>
          </w:p>
        </w:tc>
      </w:tr>
      <w:tr w:rsidR="00947F31" w:rsidRPr="00FD73B4" w14:paraId="01F4DF95" w14:textId="77777777" w:rsidTr="00A1297E">
        <w:trPr>
          <w:tblCellSpacing w:w="15" w:type="dxa"/>
        </w:trPr>
        <w:tc>
          <w:tcPr>
            <w:tcW w:w="0" w:type="auto"/>
            <w:vAlign w:val="center"/>
            <w:hideMark/>
          </w:tcPr>
          <w:p w14:paraId="2B69277F"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MET</w:t>
            </w:r>
          </w:p>
        </w:tc>
        <w:tc>
          <w:tcPr>
            <w:tcW w:w="0" w:type="auto"/>
            <w:vAlign w:val="center"/>
            <w:hideMark/>
          </w:tcPr>
          <w:p w14:paraId="7C1D0FD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Metabolic Equivalent of Task</w:t>
            </w:r>
          </w:p>
        </w:tc>
      </w:tr>
      <w:tr w:rsidR="00947F31" w:rsidRPr="00FD73B4" w14:paraId="2C648BD3" w14:textId="77777777" w:rsidTr="00A1297E">
        <w:trPr>
          <w:tblCellSpacing w:w="15" w:type="dxa"/>
        </w:trPr>
        <w:tc>
          <w:tcPr>
            <w:tcW w:w="0" w:type="auto"/>
            <w:vAlign w:val="center"/>
            <w:hideMark/>
          </w:tcPr>
          <w:p w14:paraId="2A32070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MI</w:t>
            </w:r>
          </w:p>
        </w:tc>
        <w:tc>
          <w:tcPr>
            <w:tcW w:w="0" w:type="auto"/>
            <w:vAlign w:val="center"/>
            <w:hideMark/>
          </w:tcPr>
          <w:p w14:paraId="5C43B430"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Myocardial Infarction</w:t>
            </w:r>
          </w:p>
        </w:tc>
      </w:tr>
      <w:tr w:rsidR="00947F31" w:rsidRPr="00FD73B4" w14:paraId="1F2B3D3E" w14:textId="77777777" w:rsidTr="00A1297E">
        <w:trPr>
          <w:tblCellSpacing w:w="15" w:type="dxa"/>
        </w:trPr>
        <w:tc>
          <w:tcPr>
            <w:tcW w:w="0" w:type="auto"/>
            <w:vAlign w:val="center"/>
            <w:hideMark/>
          </w:tcPr>
          <w:p w14:paraId="2854F73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MVPA</w:t>
            </w:r>
          </w:p>
        </w:tc>
        <w:tc>
          <w:tcPr>
            <w:tcW w:w="0" w:type="auto"/>
            <w:vAlign w:val="center"/>
            <w:hideMark/>
          </w:tcPr>
          <w:p w14:paraId="5E9BEEF6"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Moderate-to-Vigorous Physical Activity</w:t>
            </w:r>
          </w:p>
        </w:tc>
      </w:tr>
      <w:tr w:rsidR="00947F31" w:rsidRPr="00FD73B4" w14:paraId="2DD09107" w14:textId="77777777" w:rsidTr="00A1297E">
        <w:trPr>
          <w:tblCellSpacing w:w="15" w:type="dxa"/>
        </w:trPr>
        <w:tc>
          <w:tcPr>
            <w:tcW w:w="0" w:type="auto"/>
            <w:vAlign w:val="center"/>
            <w:hideMark/>
          </w:tcPr>
          <w:p w14:paraId="58D94040"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NHS</w:t>
            </w:r>
          </w:p>
        </w:tc>
        <w:tc>
          <w:tcPr>
            <w:tcW w:w="0" w:type="auto"/>
            <w:vAlign w:val="center"/>
            <w:hideMark/>
          </w:tcPr>
          <w:p w14:paraId="2182B117"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National Health Service</w:t>
            </w:r>
          </w:p>
        </w:tc>
      </w:tr>
      <w:tr w:rsidR="00947F31" w:rsidRPr="00FD73B4" w14:paraId="67A72379" w14:textId="77777777" w:rsidTr="00A1297E">
        <w:trPr>
          <w:tblCellSpacing w:w="15" w:type="dxa"/>
        </w:trPr>
        <w:tc>
          <w:tcPr>
            <w:tcW w:w="0" w:type="auto"/>
            <w:vAlign w:val="center"/>
            <w:hideMark/>
          </w:tcPr>
          <w:p w14:paraId="355892EF"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NSP</w:t>
            </w:r>
          </w:p>
        </w:tc>
        <w:tc>
          <w:tcPr>
            <w:tcW w:w="0" w:type="auto"/>
            <w:vAlign w:val="center"/>
            <w:hideMark/>
          </w:tcPr>
          <w:p w14:paraId="2209A90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Non-Starch Polysaccharide</w:t>
            </w:r>
          </w:p>
        </w:tc>
      </w:tr>
      <w:tr w:rsidR="00947F31" w:rsidRPr="00FD73B4" w14:paraId="28CECD4B" w14:textId="77777777" w:rsidTr="00A1297E">
        <w:trPr>
          <w:tblCellSpacing w:w="15" w:type="dxa"/>
        </w:trPr>
        <w:tc>
          <w:tcPr>
            <w:tcW w:w="0" w:type="auto"/>
            <w:vAlign w:val="center"/>
            <w:hideMark/>
          </w:tcPr>
          <w:p w14:paraId="1208CB4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PA</w:t>
            </w:r>
          </w:p>
        </w:tc>
        <w:tc>
          <w:tcPr>
            <w:tcW w:w="0" w:type="auto"/>
            <w:vAlign w:val="center"/>
            <w:hideMark/>
          </w:tcPr>
          <w:p w14:paraId="766C037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Physical Activity</w:t>
            </w:r>
          </w:p>
        </w:tc>
      </w:tr>
      <w:tr w:rsidR="00947F31" w:rsidRPr="00FD73B4" w14:paraId="3FFEC245" w14:textId="77777777" w:rsidTr="00A1297E">
        <w:trPr>
          <w:tblCellSpacing w:w="15" w:type="dxa"/>
        </w:trPr>
        <w:tc>
          <w:tcPr>
            <w:tcW w:w="0" w:type="auto"/>
            <w:vAlign w:val="center"/>
            <w:hideMark/>
          </w:tcPr>
          <w:p w14:paraId="20A68BE4"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PEO</w:t>
            </w:r>
          </w:p>
        </w:tc>
        <w:tc>
          <w:tcPr>
            <w:tcW w:w="0" w:type="auto"/>
            <w:vAlign w:val="center"/>
            <w:hideMark/>
          </w:tcPr>
          <w:p w14:paraId="305174E8"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Population–Exposure–Outcome</w:t>
            </w:r>
          </w:p>
        </w:tc>
      </w:tr>
      <w:tr w:rsidR="00947F31" w:rsidRPr="00FD73B4" w14:paraId="17F4DE9D" w14:textId="77777777" w:rsidTr="00A1297E">
        <w:trPr>
          <w:tblCellSpacing w:w="15" w:type="dxa"/>
        </w:trPr>
        <w:tc>
          <w:tcPr>
            <w:tcW w:w="0" w:type="auto"/>
            <w:vAlign w:val="center"/>
            <w:hideMark/>
          </w:tcPr>
          <w:p w14:paraId="2B6FB0A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PRISMA</w:t>
            </w:r>
          </w:p>
        </w:tc>
        <w:tc>
          <w:tcPr>
            <w:tcW w:w="0" w:type="auto"/>
            <w:vAlign w:val="center"/>
            <w:hideMark/>
          </w:tcPr>
          <w:p w14:paraId="76D9ADFE"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Preferred Reporting Items for Systematic Reviews and Meta-Analyses</w:t>
            </w:r>
          </w:p>
        </w:tc>
      </w:tr>
      <w:tr w:rsidR="00947F31" w:rsidRPr="00FD73B4" w14:paraId="4A3E815D" w14:textId="77777777" w:rsidTr="00A1297E">
        <w:trPr>
          <w:tblCellSpacing w:w="15" w:type="dxa"/>
        </w:trPr>
        <w:tc>
          <w:tcPr>
            <w:tcW w:w="0" w:type="auto"/>
            <w:vAlign w:val="center"/>
            <w:hideMark/>
          </w:tcPr>
          <w:p w14:paraId="280CF1E5"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PRS</w:t>
            </w:r>
          </w:p>
        </w:tc>
        <w:tc>
          <w:tcPr>
            <w:tcW w:w="0" w:type="auto"/>
            <w:vAlign w:val="center"/>
            <w:hideMark/>
          </w:tcPr>
          <w:p w14:paraId="13A8B543"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Polygenic Risk Score</w:t>
            </w:r>
          </w:p>
        </w:tc>
      </w:tr>
      <w:tr w:rsidR="00947F31" w:rsidRPr="00FD73B4" w14:paraId="5EDEA493" w14:textId="77777777" w:rsidTr="00A1297E">
        <w:trPr>
          <w:tblCellSpacing w:w="15" w:type="dxa"/>
        </w:trPr>
        <w:tc>
          <w:tcPr>
            <w:tcW w:w="0" w:type="auto"/>
            <w:vAlign w:val="center"/>
            <w:hideMark/>
          </w:tcPr>
          <w:p w14:paraId="5AF5A533"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SB</w:t>
            </w:r>
          </w:p>
        </w:tc>
        <w:tc>
          <w:tcPr>
            <w:tcW w:w="0" w:type="auto"/>
            <w:vAlign w:val="center"/>
            <w:hideMark/>
          </w:tcPr>
          <w:p w14:paraId="1CCF7C42" w14:textId="54436B6E"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Sedentary Behavior</w:t>
            </w:r>
          </w:p>
        </w:tc>
      </w:tr>
      <w:tr w:rsidR="00947F31" w:rsidRPr="00FD73B4" w14:paraId="7A4DBFE7" w14:textId="77777777" w:rsidTr="00A1297E">
        <w:trPr>
          <w:tblCellSpacing w:w="15" w:type="dxa"/>
        </w:trPr>
        <w:tc>
          <w:tcPr>
            <w:tcW w:w="0" w:type="auto"/>
            <w:vAlign w:val="center"/>
            <w:hideMark/>
          </w:tcPr>
          <w:p w14:paraId="1E5C88E0"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SLR</w:t>
            </w:r>
          </w:p>
        </w:tc>
        <w:tc>
          <w:tcPr>
            <w:tcW w:w="0" w:type="auto"/>
            <w:vAlign w:val="center"/>
            <w:hideMark/>
          </w:tcPr>
          <w:p w14:paraId="5EFBBB4F"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Systematic Literature Review</w:t>
            </w:r>
          </w:p>
        </w:tc>
      </w:tr>
      <w:tr w:rsidR="00947F31" w:rsidRPr="00FD73B4" w14:paraId="65E040A1" w14:textId="77777777" w:rsidTr="00A1297E">
        <w:trPr>
          <w:tblCellSpacing w:w="15" w:type="dxa"/>
        </w:trPr>
        <w:tc>
          <w:tcPr>
            <w:tcW w:w="0" w:type="auto"/>
            <w:vAlign w:val="center"/>
            <w:hideMark/>
          </w:tcPr>
          <w:p w14:paraId="13C80AF0"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UK</w:t>
            </w:r>
          </w:p>
        </w:tc>
        <w:tc>
          <w:tcPr>
            <w:tcW w:w="0" w:type="auto"/>
            <w:vAlign w:val="center"/>
            <w:hideMark/>
          </w:tcPr>
          <w:p w14:paraId="7C586323"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United Kingdom</w:t>
            </w:r>
          </w:p>
        </w:tc>
      </w:tr>
      <w:tr w:rsidR="00947F31" w:rsidRPr="00FD73B4" w14:paraId="268C81F8" w14:textId="77777777" w:rsidTr="00A1297E">
        <w:trPr>
          <w:tblCellSpacing w:w="15" w:type="dxa"/>
        </w:trPr>
        <w:tc>
          <w:tcPr>
            <w:tcW w:w="0" w:type="auto"/>
            <w:vAlign w:val="center"/>
            <w:hideMark/>
          </w:tcPr>
          <w:p w14:paraId="671C57B2"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UKB</w:t>
            </w:r>
          </w:p>
        </w:tc>
        <w:tc>
          <w:tcPr>
            <w:tcW w:w="0" w:type="auto"/>
            <w:vAlign w:val="center"/>
            <w:hideMark/>
          </w:tcPr>
          <w:p w14:paraId="455D477E"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UK Biobank</w:t>
            </w:r>
          </w:p>
        </w:tc>
      </w:tr>
      <w:tr w:rsidR="00947F31" w:rsidRPr="00FD73B4" w14:paraId="6302182B" w14:textId="77777777" w:rsidTr="00A1297E">
        <w:trPr>
          <w:tblCellSpacing w:w="15" w:type="dxa"/>
        </w:trPr>
        <w:tc>
          <w:tcPr>
            <w:tcW w:w="0" w:type="auto"/>
            <w:vAlign w:val="center"/>
            <w:hideMark/>
          </w:tcPr>
          <w:p w14:paraId="7762CEB9"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lastRenderedPageBreak/>
              <w:t>UKWCS</w:t>
            </w:r>
          </w:p>
        </w:tc>
        <w:tc>
          <w:tcPr>
            <w:tcW w:w="0" w:type="auto"/>
            <w:vAlign w:val="center"/>
            <w:hideMark/>
          </w:tcPr>
          <w:p w14:paraId="24A181E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UK Women’s Cohort Study</w:t>
            </w:r>
          </w:p>
        </w:tc>
      </w:tr>
      <w:tr w:rsidR="00947F31" w:rsidRPr="00FD73B4" w14:paraId="5CC28434" w14:textId="77777777" w:rsidTr="00A1297E">
        <w:trPr>
          <w:tblCellSpacing w:w="15" w:type="dxa"/>
        </w:trPr>
        <w:tc>
          <w:tcPr>
            <w:tcW w:w="0" w:type="auto"/>
            <w:vAlign w:val="center"/>
            <w:hideMark/>
          </w:tcPr>
          <w:p w14:paraId="626616DD"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WHO</w:t>
            </w:r>
          </w:p>
        </w:tc>
        <w:tc>
          <w:tcPr>
            <w:tcW w:w="0" w:type="auto"/>
            <w:vAlign w:val="center"/>
            <w:hideMark/>
          </w:tcPr>
          <w:p w14:paraId="0188160C" w14:textId="77777777" w:rsidR="00947F31" w:rsidRPr="00FD73B4" w:rsidRDefault="00947F31" w:rsidP="00A1297E">
            <w:pPr>
              <w:spacing w:after="0" w:line="360" w:lineRule="auto"/>
              <w:rPr>
                <w:rFonts w:ascii="Arial" w:eastAsia="Times New Roman" w:hAnsi="Arial" w:cs="Arial"/>
              </w:rPr>
            </w:pPr>
            <w:r w:rsidRPr="00FD73B4">
              <w:rPr>
                <w:rFonts w:ascii="Arial" w:eastAsia="Times New Roman" w:hAnsi="Arial" w:cs="Arial"/>
              </w:rPr>
              <w:t>World Health Organization</w:t>
            </w:r>
          </w:p>
        </w:tc>
      </w:tr>
    </w:tbl>
    <w:p w14:paraId="6C9C5EBC" w14:textId="77777777" w:rsidR="00726889" w:rsidRPr="00FD73B4" w:rsidRDefault="00726889" w:rsidP="00726889">
      <w:pPr>
        <w:rPr>
          <w:rFonts w:ascii="Arial" w:eastAsia="Times New Roman" w:hAnsi="Arial" w:cs="Arial"/>
          <w:b/>
          <w:bCs/>
          <w:kern w:val="36"/>
        </w:rPr>
      </w:pPr>
    </w:p>
    <w:p w14:paraId="6C844FCE" w14:textId="77777777" w:rsidR="00726889" w:rsidRPr="00FD73B4" w:rsidRDefault="00726889" w:rsidP="00726889">
      <w:pPr>
        <w:rPr>
          <w:rFonts w:ascii="Arial" w:eastAsia="Times New Roman" w:hAnsi="Arial" w:cs="Arial"/>
          <w:b/>
          <w:bCs/>
          <w:kern w:val="36"/>
        </w:rPr>
      </w:pPr>
    </w:p>
    <w:p w14:paraId="4BFAAD3F" w14:textId="77777777" w:rsidR="00726889" w:rsidRPr="00FD73B4" w:rsidRDefault="00726889" w:rsidP="00726889">
      <w:pPr>
        <w:rPr>
          <w:rFonts w:ascii="Arial" w:eastAsia="Times New Roman" w:hAnsi="Arial" w:cs="Arial"/>
          <w:b/>
          <w:bCs/>
          <w:kern w:val="36"/>
        </w:rPr>
      </w:pPr>
    </w:p>
    <w:p w14:paraId="0C1C1B84" w14:textId="77777777" w:rsidR="00726889" w:rsidRPr="00FD73B4" w:rsidRDefault="00726889" w:rsidP="00726889">
      <w:pPr>
        <w:rPr>
          <w:rFonts w:ascii="Arial" w:eastAsia="Times New Roman" w:hAnsi="Arial" w:cs="Arial"/>
          <w:b/>
          <w:bCs/>
          <w:kern w:val="36"/>
        </w:rPr>
      </w:pPr>
    </w:p>
    <w:p w14:paraId="2F266FE5" w14:textId="77777777" w:rsidR="00726889" w:rsidRPr="00FD73B4" w:rsidRDefault="00726889" w:rsidP="00726889">
      <w:pPr>
        <w:rPr>
          <w:rFonts w:ascii="Arial" w:eastAsia="Times New Roman" w:hAnsi="Arial" w:cs="Arial"/>
          <w:b/>
          <w:bCs/>
          <w:kern w:val="36"/>
        </w:rPr>
      </w:pPr>
    </w:p>
    <w:p w14:paraId="2D1DFF58" w14:textId="77777777" w:rsidR="00726889" w:rsidRPr="00FD73B4" w:rsidRDefault="00726889" w:rsidP="00726889">
      <w:pPr>
        <w:rPr>
          <w:rFonts w:ascii="Arial" w:eastAsia="Times New Roman" w:hAnsi="Arial" w:cs="Arial"/>
          <w:b/>
          <w:bCs/>
          <w:kern w:val="36"/>
        </w:rPr>
      </w:pPr>
    </w:p>
    <w:p w14:paraId="22BEDEC5" w14:textId="77777777" w:rsidR="00726889" w:rsidRPr="00FD73B4" w:rsidRDefault="00726889" w:rsidP="00726889">
      <w:pPr>
        <w:rPr>
          <w:rFonts w:ascii="Arial" w:eastAsia="Times New Roman" w:hAnsi="Arial" w:cs="Arial"/>
          <w:b/>
          <w:bCs/>
          <w:kern w:val="36"/>
        </w:rPr>
      </w:pPr>
    </w:p>
    <w:p w14:paraId="16A540BC" w14:textId="77777777" w:rsidR="00726889" w:rsidRPr="00FD73B4" w:rsidRDefault="00726889" w:rsidP="00726889">
      <w:pPr>
        <w:rPr>
          <w:rFonts w:ascii="Arial" w:eastAsia="Times New Roman" w:hAnsi="Arial" w:cs="Arial"/>
          <w:b/>
          <w:bCs/>
          <w:kern w:val="36"/>
        </w:rPr>
      </w:pPr>
    </w:p>
    <w:p w14:paraId="115389A8" w14:textId="77777777" w:rsidR="00726889" w:rsidRPr="00FD73B4" w:rsidRDefault="00726889" w:rsidP="00726889">
      <w:pPr>
        <w:rPr>
          <w:rFonts w:ascii="Arial" w:eastAsia="Times New Roman" w:hAnsi="Arial" w:cs="Arial"/>
          <w:b/>
          <w:bCs/>
          <w:kern w:val="36"/>
        </w:rPr>
      </w:pPr>
    </w:p>
    <w:p w14:paraId="17C99C47" w14:textId="77777777" w:rsidR="00726889" w:rsidRPr="00FD73B4" w:rsidRDefault="00726889" w:rsidP="00726889">
      <w:pPr>
        <w:rPr>
          <w:rFonts w:ascii="Arial" w:eastAsia="Times New Roman" w:hAnsi="Arial" w:cs="Arial"/>
          <w:b/>
          <w:bCs/>
          <w:kern w:val="36"/>
        </w:rPr>
      </w:pPr>
    </w:p>
    <w:p w14:paraId="53497BDC" w14:textId="77777777" w:rsidR="00726889" w:rsidRPr="00FD73B4" w:rsidRDefault="00726889" w:rsidP="00726889">
      <w:pPr>
        <w:rPr>
          <w:rFonts w:ascii="Arial" w:eastAsia="Times New Roman" w:hAnsi="Arial" w:cs="Arial"/>
          <w:b/>
          <w:bCs/>
          <w:kern w:val="36"/>
        </w:rPr>
      </w:pPr>
    </w:p>
    <w:p w14:paraId="2FFC9A08" w14:textId="77777777" w:rsidR="00726889" w:rsidRPr="00FD73B4" w:rsidRDefault="00726889" w:rsidP="00726889">
      <w:pPr>
        <w:rPr>
          <w:rFonts w:ascii="Arial" w:eastAsia="Times New Roman" w:hAnsi="Arial" w:cs="Arial"/>
          <w:b/>
          <w:bCs/>
          <w:kern w:val="36"/>
        </w:rPr>
      </w:pPr>
    </w:p>
    <w:p w14:paraId="15607F14" w14:textId="77777777" w:rsidR="00726889" w:rsidRPr="00FD73B4" w:rsidRDefault="00726889" w:rsidP="00726889">
      <w:pPr>
        <w:rPr>
          <w:rFonts w:ascii="Arial" w:eastAsia="Times New Roman" w:hAnsi="Arial" w:cs="Arial"/>
          <w:b/>
          <w:bCs/>
          <w:kern w:val="36"/>
        </w:rPr>
      </w:pPr>
    </w:p>
    <w:p w14:paraId="0F8A00C3" w14:textId="77777777" w:rsidR="00726889" w:rsidRPr="00FD73B4" w:rsidRDefault="00726889" w:rsidP="00726889">
      <w:pPr>
        <w:rPr>
          <w:rFonts w:ascii="Arial" w:eastAsia="Times New Roman" w:hAnsi="Arial" w:cs="Arial"/>
          <w:b/>
          <w:bCs/>
          <w:kern w:val="36"/>
        </w:rPr>
      </w:pPr>
    </w:p>
    <w:p w14:paraId="4992DBA1" w14:textId="77777777" w:rsidR="00726889" w:rsidRPr="00FD73B4" w:rsidRDefault="00726889" w:rsidP="00726889">
      <w:pPr>
        <w:rPr>
          <w:rFonts w:ascii="Arial" w:eastAsia="Times New Roman" w:hAnsi="Arial" w:cs="Arial"/>
          <w:b/>
          <w:bCs/>
          <w:kern w:val="36"/>
        </w:rPr>
      </w:pPr>
    </w:p>
    <w:p w14:paraId="0A8722D8" w14:textId="77777777" w:rsidR="00726889" w:rsidRPr="00FD73B4" w:rsidRDefault="00726889" w:rsidP="00726889">
      <w:pPr>
        <w:rPr>
          <w:rFonts w:ascii="Arial" w:eastAsia="Times New Roman" w:hAnsi="Arial" w:cs="Arial"/>
          <w:b/>
          <w:bCs/>
          <w:kern w:val="36"/>
        </w:rPr>
      </w:pPr>
    </w:p>
    <w:p w14:paraId="138E9A77" w14:textId="77777777" w:rsidR="00726889" w:rsidRPr="00FD73B4" w:rsidRDefault="00726889" w:rsidP="00726889">
      <w:pPr>
        <w:rPr>
          <w:rFonts w:ascii="Arial" w:eastAsia="Times New Roman" w:hAnsi="Arial" w:cs="Arial"/>
          <w:b/>
          <w:bCs/>
          <w:kern w:val="36"/>
        </w:rPr>
      </w:pPr>
    </w:p>
    <w:p w14:paraId="07C1B04A" w14:textId="77777777" w:rsidR="00726889" w:rsidRPr="00FD73B4" w:rsidRDefault="00726889" w:rsidP="00726889">
      <w:pPr>
        <w:rPr>
          <w:rFonts w:ascii="Arial" w:eastAsia="Times New Roman" w:hAnsi="Arial" w:cs="Arial"/>
          <w:b/>
          <w:bCs/>
          <w:kern w:val="36"/>
        </w:rPr>
      </w:pPr>
    </w:p>
    <w:p w14:paraId="61426725" w14:textId="77777777" w:rsidR="00726889" w:rsidRPr="00FD73B4" w:rsidRDefault="00726889" w:rsidP="00726889">
      <w:pPr>
        <w:rPr>
          <w:rFonts w:ascii="Arial" w:eastAsia="Times New Roman" w:hAnsi="Arial" w:cs="Arial"/>
          <w:b/>
          <w:bCs/>
          <w:kern w:val="36"/>
        </w:rPr>
      </w:pPr>
    </w:p>
    <w:p w14:paraId="683728B9" w14:textId="77777777" w:rsidR="00726889" w:rsidRPr="00FD73B4" w:rsidRDefault="00726889" w:rsidP="00726889">
      <w:pPr>
        <w:rPr>
          <w:rFonts w:ascii="Arial" w:eastAsia="Times New Roman" w:hAnsi="Arial" w:cs="Arial"/>
          <w:b/>
          <w:bCs/>
          <w:kern w:val="36"/>
        </w:rPr>
      </w:pPr>
    </w:p>
    <w:p w14:paraId="64D011DF" w14:textId="77777777" w:rsidR="00726889" w:rsidRPr="00FD73B4" w:rsidRDefault="00726889" w:rsidP="00726889">
      <w:pPr>
        <w:rPr>
          <w:rFonts w:ascii="Arial" w:eastAsia="Times New Roman" w:hAnsi="Arial" w:cs="Arial"/>
          <w:b/>
          <w:bCs/>
          <w:kern w:val="36"/>
        </w:rPr>
      </w:pPr>
    </w:p>
    <w:p w14:paraId="4E76ED6A" w14:textId="77777777" w:rsidR="00726889" w:rsidRPr="00FD73B4" w:rsidRDefault="00726889" w:rsidP="00726889">
      <w:pPr>
        <w:rPr>
          <w:rFonts w:ascii="Arial" w:eastAsia="Times New Roman" w:hAnsi="Arial" w:cs="Arial"/>
          <w:b/>
          <w:bCs/>
          <w:kern w:val="36"/>
        </w:rPr>
      </w:pPr>
    </w:p>
    <w:p w14:paraId="75D6B177" w14:textId="77777777" w:rsidR="00726889" w:rsidRPr="00FD73B4" w:rsidRDefault="00726889" w:rsidP="00726889">
      <w:pPr>
        <w:rPr>
          <w:rFonts w:ascii="Arial" w:eastAsia="Times New Roman" w:hAnsi="Arial" w:cs="Arial"/>
          <w:b/>
          <w:bCs/>
          <w:kern w:val="36"/>
        </w:rPr>
      </w:pPr>
    </w:p>
    <w:p w14:paraId="1AF0F352" w14:textId="77777777" w:rsidR="00726889" w:rsidRPr="00FD73B4" w:rsidRDefault="00726889" w:rsidP="00726889">
      <w:pPr>
        <w:rPr>
          <w:rFonts w:ascii="Arial" w:eastAsia="Times New Roman" w:hAnsi="Arial" w:cs="Arial"/>
          <w:b/>
          <w:bCs/>
          <w:kern w:val="36"/>
        </w:rPr>
      </w:pPr>
    </w:p>
    <w:p w14:paraId="00ECCF44" w14:textId="77777777" w:rsidR="00726889" w:rsidRPr="00FD73B4" w:rsidRDefault="00726889" w:rsidP="00726889">
      <w:pPr>
        <w:rPr>
          <w:rFonts w:ascii="Arial" w:eastAsia="Times New Roman" w:hAnsi="Arial" w:cs="Arial"/>
          <w:b/>
          <w:bCs/>
          <w:kern w:val="36"/>
        </w:rPr>
      </w:pPr>
    </w:p>
    <w:p w14:paraId="5873EC15" w14:textId="77777777" w:rsidR="00726889" w:rsidRPr="00FD73B4" w:rsidRDefault="00726889" w:rsidP="00726889">
      <w:pPr>
        <w:rPr>
          <w:rFonts w:ascii="Arial" w:eastAsia="Times New Roman" w:hAnsi="Arial" w:cs="Arial"/>
          <w:b/>
          <w:bCs/>
          <w:kern w:val="36"/>
        </w:rPr>
      </w:pPr>
    </w:p>
    <w:p w14:paraId="6B5DB3EC" w14:textId="77777777" w:rsidR="00726889" w:rsidRPr="00FD73B4" w:rsidRDefault="00726889" w:rsidP="00726889">
      <w:pPr>
        <w:rPr>
          <w:rFonts w:ascii="Arial" w:eastAsia="Times New Roman" w:hAnsi="Arial" w:cs="Arial"/>
          <w:b/>
          <w:bCs/>
          <w:kern w:val="36"/>
        </w:rPr>
      </w:pPr>
    </w:p>
    <w:p w14:paraId="05056D61" w14:textId="7234B702" w:rsidR="00726889" w:rsidRPr="00FD73B4" w:rsidRDefault="00726889" w:rsidP="00726889">
      <w:pPr>
        <w:spacing w:line="360" w:lineRule="auto"/>
        <w:jc w:val="center"/>
        <w:rPr>
          <w:rFonts w:ascii="Arial" w:eastAsia="Times New Roman" w:hAnsi="Arial" w:cs="Arial"/>
          <w:b/>
          <w:bCs/>
          <w:kern w:val="36"/>
          <w:sz w:val="24"/>
          <w:szCs w:val="24"/>
        </w:rPr>
      </w:pPr>
      <w:r w:rsidRPr="00FD73B4">
        <w:rPr>
          <w:rFonts w:ascii="Arial" w:eastAsia="Times New Roman" w:hAnsi="Arial" w:cs="Arial"/>
          <w:b/>
          <w:bCs/>
          <w:kern w:val="36"/>
          <w:sz w:val="24"/>
          <w:szCs w:val="24"/>
        </w:rPr>
        <w:lastRenderedPageBreak/>
        <w:t>CHAPTER 1: INTRODUCTION AND BACKGROUND</w:t>
      </w:r>
    </w:p>
    <w:p w14:paraId="35D86B38" w14:textId="77777777" w:rsidR="00726889" w:rsidRPr="00FD73B4" w:rsidRDefault="00726889" w:rsidP="00726889">
      <w:pPr>
        <w:spacing w:before="100" w:beforeAutospacing="1" w:after="100" w:afterAutospacing="1" w:line="360" w:lineRule="auto"/>
        <w:outlineLvl w:val="1"/>
        <w:rPr>
          <w:rFonts w:ascii="Arial" w:eastAsia="Times New Roman" w:hAnsi="Arial" w:cs="Arial"/>
          <w:b/>
          <w:bCs/>
        </w:rPr>
      </w:pPr>
    </w:p>
    <w:p w14:paraId="3C41CCDF" w14:textId="1BC02858" w:rsidR="00726889" w:rsidRPr="00FD73B4" w:rsidRDefault="00726889" w:rsidP="00726889">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1.1 Introduction to the Topic</w:t>
      </w:r>
    </w:p>
    <w:p w14:paraId="435D6E6A" w14:textId="4C9B145F"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Stroke is a major public health concern and remains a leading cause of mortality, long-term disability, and reduced quality of life worldwide. In the United Kingdom, stroke places a substantial burden on individuals, families, healthcare systems, and wider society. Stroke is broadly defined as a sudden neurological deficit caused by interruption to the brain’s blood supply, resulting from either cerebral infarction (ischemic stroke) or intracranial bleeding (hemorrhagic stroke). Although stroke incidence increases with age, it is not an inevitable consequence of ageing, as many cases are attributable to modifiable lifestyle-related risk factors.</w:t>
      </w:r>
    </w:p>
    <w:p w14:paraId="7261A575" w14:textId="00BA43AA"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This dissertation focuses on lifestyle behaviors, including diet, physical activity, sedentary behavior, and related factors, and their influence on stroke incidence among adults in the UK. Lifestyle behaviors are shaped not only by individual choices but also by social, environmental, and economic contexts, making them central to public health prevention strategies. While advances in acute stroke care have improved survival, prevention of first-ever stroke through lifestyle modification remains a public health priority. This research contributes to existing evidence by systematically synthesizing UK-based studies to clarify how lifestyle behaviors influence stroke risk and to inform effective prevention strategies.</w:t>
      </w:r>
    </w:p>
    <w:p w14:paraId="27156840"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 Background and Current Context</w:t>
      </w:r>
    </w:p>
    <w:p w14:paraId="7B4D24B5"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1.2.1 Stroke as a global and national public health problem</w:t>
      </w:r>
    </w:p>
    <w:p w14:paraId="59861C34" w14:textId="6161F330"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Stroke remains a major global public health challenge, contributing significantly to mortality, morbidity, and long-term disability, thereby placing sustained demand on health and social care systems. The burden is underscored by evidence linking lifestyle factors to stroke risk, with recognition that prevention can have significant population-wide impact through modification of modifiable behaviors (diet, physical activity, sedentary behavior, smoking, alcohol, sleep) (Zhang et al., 2021; Ruesten et al., 2012; Tegegne et al., 2022).</w:t>
      </w:r>
    </w:p>
    <w:p w14:paraId="08F4D8D3" w14:textId="77777777"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lastRenderedPageBreak/>
        <w:t>In the UK context, stroke is a leading contributor to long-term disability among adults, intensifying the need for integrated health and social care strategies addressing prevention, acute management, and rehabilitation (Tegegne et al., 2022). Studies consistently show that healthier lifestyles are associated with lower all-cause mortality and reduced incidence of cardiovascular disease (CVD), with stroke as a major cerebrovascular outcome (Zhang et al., 2021; Tegegne et al., 2022; Yang et al., 2022). Together, this evidence positions stroke as a priority for global and national public health, with substantial implications for policy and resource allocation (Ruesten et al., 2012; Tegegne et al., 2022).</w:t>
      </w:r>
    </w:p>
    <w:p w14:paraId="342ED9A4" w14:textId="34B9AA95" w:rsidR="00726889" w:rsidRPr="00FD73B4" w:rsidRDefault="00726889" w:rsidP="00726889">
      <w:pPr>
        <w:pStyle w:val="NormalWeb"/>
        <w:numPr>
          <w:ilvl w:val="0"/>
          <w:numId w:val="28"/>
        </w:numPr>
        <w:spacing w:line="360" w:lineRule="auto"/>
        <w:rPr>
          <w:rFonts w:ascii="Arial" w:hAnsi="Arial" w:cs="Arial"/>
          <w:sz w:val="22"/>
          <w:szCs w:val="22"/>
        </w:rPr>
      </w:pPr>
      <w:r w:rsidRPr="00FD73B4">
        <w:rPr>
          <w:rStyle w:val="Strong"/>
          <w:rFonts w:ascii="Arial" w:hAnsi="Arial" w:cs="Arial"/>
          <w:sz w:val="22"/>
          <w:szCs w:val="22"/>
        </w:rPr>
        <w:t>The global perspective:</w:t>
      </w:r>
      <w:r w:rsidRPr="00FD73B4">
        <w:rPr>
          <w:rFonts w:ascii="Arial" w:hAnsi="Arial" w:cs="Arial"/>
          <w:sz w:val="22"/>
          <w:szCs w:val="22"/>
        </w:rPr>
        <w:t xml:space="preserve"> Stroke contributes markedly to mortality, disability, and the burden of non-communicable diseases; research examining clustering of lifestyle behaviors highlights strong associations with cardiometabolic and cerebrovascular outcomes, reinforcing the imperative for prevention (Tegegne et al., 2022; Jin et al., 2019).</w:t>
      </w:r>
    </w:p>
    <w:p w14:paraId="04602AE5" w14:textId="7F1083C2" w:rsidR="00726889" w:rsidRPr="00FD73B4" w:rsidRDefault="00726889" w:rsidP="00726889">
      <w:pPr>
        <w:pStyle w:val="NormalWeb"/>
        <w:numPr>
          <w:ilvl w:val="0"/>
          <w:numId w:val="28"/>
        </w:numPr>
        <w:spacing w:line="360" w:lineRule="auto"/>
        <w:rPr>
          <w:rFonts w:ascii="Arial" w:hAnsi="Arial" w:cs="Arial"/>
          <w:sz w:val="22"/>
          <w:szCs w:val="22"/>
        </w:rPr>
      </w:pPr>
      <w:r w:rsidRPr="00FD73B4">
        <w:rPr>
          <w:rStyle w:val="Strong"/>
          <w:rFonts w:ascii="Arial" w:hAnsi="Arial" w:cs="Arial"/>
          <w:sz w:val="22"/>
          <w:szCs w:val="22"/>
        </w:rPr>
        <w:t>The UK context:</w:t>
      </w:r>
      <w:r w:rsidRPr="00FD73B4">
        <w:rPr>
          <w:rFonts w:ascii="Arial" w:hAnsi="Arial" w:cs="Arial"/>
          <w:sz w:val="22"/>
          <w:szCs w:val="22"/>
        </w:rPr>
        <w:t xml:space="preserve"> Population-based UK studies emphasize variation in risk factors and clustering patterns across populations and regions, with implications for health inequalities and service demand (Tegegne et al., 2022; Hendriks et al., 2024).</w:t>
      </w:r>
    </w:p>
    <w:p w14:paraId="785A3D26" w14:textId="6ABD9EE3" w:rsidR="00726889" w:rsidRPr="00FD73B4" w:rsidRDefault="00726889" w:rsidP="00726889">
      <w:pPr>
        <w:pStyle w:val="NormalWeb"/>
        <w:numPr>
          <w:ilvl w:val="0"/>
          <w:numId w:val="28"/>
        </w:numPr>
        <w:spacing w:line="360" w:lineRule="auto"/>
        <w:rPr>
          <w:rFonts w:ascii="Arial" w:hAnsi="Arial" w:cs="Arial"/>
          <w:sz w:val="22"/>
          <w:szCs w:val="22"/>
        </w:rPr>
      </w:pPr>
      <w:r w:rsidRPr="00FD73B4">
        <w:rPr>
          <w:rStyle w:val="Strong"/>
          <w:rFonts w:ascii="Arial" w:hAnsi="Arial" w:cs="Arial"/>
          <w:sz w:val="22"/>
          <w:szCs w:val="22"/>
        </w:rPr>
        <w:t>The modifiable risk factor emphasis:</w:t>
      </w:r>
      <w:r w:rsidRPr="00FD73B4">
        <w:rPr>
          <w:rFonts w:ascii="Arial" w:hAnsi="Arial" w:cs="Arial"/>
          <w:sz w:val="22"/>
          <w:szCs w:val="22"/>
        </w:rPr>
        <w:t xml:space="preserve"> Across diverse cohorts, healthier lifestyle patterns are associated with lower mortality and reduced risk of incident cardiovascular disease, indicating substantial potential for prevention through behavioral change (Tegegne et al., 2022; Yang et al., 2022; Wu et al., 2022).</w:t>
      </w:r>
    </w:p>
    <w:p w14:paraId="5688C018" w14:textId="12E89ABB"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1.2.2 Types of strokes and their relevance to prevention</w:t>
      </w:r>
    </w:p>
    <w:p w14:paraId="573E4B0F" w14:textId="2BEACE24"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Stroke is classically conceptualized as comprising two broad subtypes: ischemic stroke (caused by arterial occlusion) and hemorrhagic stroke (caused by intracranial bleeding). While ischemic strokes dominate in many high-income settings, each subtype reflects distinct pathophysiological pathways and prevention priorities. Risk factors such as atherothrombotic disease, hypertension, and metabolic dysfunction are closely linked to ischemic stroke, whereas factors affecting vascular integrity and blood pressure regulation play prominent roles in hemorrhagic stroke (Ivey et al., 2006). Prevention strategies are therefore subtype-sensitive: targeting atherosclerotic risk (e.g., hypertension, dyslipidemia, insulin resistance) may particularly reduce ischemic stroke, while blood pressure control and vascular health are central to reducing intracerebral hemorrhage risk (Ivey et al., 2006).</w:t>
      </w:r>
    </w:p>
    <w:p w14:paraId="0BD25F56" w14:textId="2B8F9E32" w:rsidR="00726889" w:rsidRPr="00FD73B4" w:rsidRDefault="00726889" w:rsidP="00726889">
      <w:pPr>
        <w:pStyle w:val="NormalWeb"/>
        <w:numPr>
          <w:ilvl w:val="0"/>
          <w:numId w:val="29"/>
        </w:numPr>
        <w:spacing w:line="360" w:lineRule="auto"/>
        <w:rPr>
          <w:rFonts w:ascii="Arial" w:hAnsi="Arial" w:cs="Arial"/>
          <w:sz w:val="22"/>
          <w:szCs w:val="22"/>
        </w:rPr>
      </w:pPr>
      <w:r w:rsidRPr="00FD73B4">
        <w:rPr>
          <w:rStyle w:val="Strong"/>
          <w:rFonts w:ascii="Arial" w:hAnsi="Arial" w:cs="Arial"/>
          <w:sz w:val="22"/>
          <w:szCs w:val="22"/>
        </w:rPr>
        <w:lastRenderedPageBreak/>
        <w:t>Ischemic stroke and metabolic/vascular risk:</w:t>
      </w:r>
      <w:r w:rsidRPr="00FD73B4">
        <w:rPr>
          <w:rFonts w:ascii="Arial" w:hAnsi="Arial" w:cs="Arial"/>
          <w:sz w:val="22"/>
          <w:szCs w:val="22"/>
        </w:rPr>
        <w:t xml:space="preserve"> Evidence indicates strong associations between hypertension, metabolic syndrome, and ischemic cerebrovascular events, with hyperglycemia and insulin resistance acting as important risk modifiers in both prevention and post-stroke phases (Ivey et al., 2006).</w:t>
      </w:r>
    </w:p>
    <w:p w14:paraId="20A01466" w14:textId="5D69F87C" w:rsidR="00726889" w:rsidRPr="00FD73B4" w:rsidRDefault="00726889" w:rsidP="00726889">
      <w:pPr>
        <w:pStyle w:val="NormalWeb"/>
        <w:numPr>
          <w:ilvl w:val="0"/>
          <w:numId w:val="29"/>
        </w:numPr>
        <w:spacing w:line="360" w:lineRule="auto"/>
        <w:rPr>
          <w:rFonts w:ascii="Arial" w:hAnsi="Arial" w:cs="Arial"/>
          <w:sz w:val="22"/>
          <w:szCs w:val="22"/>
        </w:rPr>
      </w:pPr>
      <w:r w:rsidRPr="00FD73B4">
        <w:rPr>
          <w:rStyle w:val="Strong"/>
          <w:rFonts w:ascii="Arial" w:hAnsi="Arial" w:cs="Arial"/>
          <w:sz w:val="22"/>
          <w:szCs w:val="22"/>
        </w:rPr>
        <w:t>Hemorrhagic stroke and vascular integrity:</w:t>
      </w:r>
      <w:r w:rsidRPr="00FD73B4">
        <w:rPr>
          <w:rFonts w:ascii="Arial" w:hAnsi="Arial" w:cs="Arial"/>
          <w:sz w:val="22"/>
          <w:szCs w:val="22"/>
        </w:rPr>
        <w:t xml:space="preserve"> The literature emphasizes that blood pressure regulation and mechanisms sustaining vascular integrity are key to preventing hemorrhagic stroke, while broader lifestyle and cardiovascular risk factors contribute to overall cerebrovascular risk (Ruesten et al., 2012; Jin et al., 2019).</w:t>
      </w:r>
    </w:p>
    <w:p w14:paraId="383B62B3" w14:textId="3C19E58F"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1.2.3 Lifestyle behaviors as modifiable risk factors</w:t>
      </w:r>
    </w:p>
    <w:p w14:paraId="5946381B" w14:textId="64C54C0E"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A robust body of evidence identifies diet quality, physical activity, sedentary behavior, smoking, alcohol use, and sleep as modifiable determinants of cardiovascular and cerebrovascular health, including stroke risk. Diets rich in fruits, vegetables, whole grains, and unsaturated fats appear protective, whereas high salt intake, saturated fat, and ultra-processed foods are associated with greater risk. Regular physical activity improves blood pressure control, insulin sensitivity, and vascular function, while prolonged sedentary behavior is independently associated with higher CVD risk. Unhealthy behaviors frequently cluster within individuals, amplifying risk when multiple behaviors co-occur (Tegegne et al., 2022; Jin et al., 2019). Evidence that clustered unhealthy behaviors (e.g., physical inactivity combined with poor diet and high alcohol intake) are linked to elevated cardiovascular risk highlights the need for integrated rather than single-behavior prevention approaches (Tegegne et al., 2022).</w:t>
      </w:r>
    </w:p>
    <w:p w14:paraId="75E33DCB" w14:textId="77777777" w:rsidR="00726889" w:rsidRPr="00FD73B4" w:rsidRDefault="00726889" w:rsidP="00726889">
      <w:pPr>
        <w:pStyle w:val="NormalWeb"/>
        <w:numPr>
          <w:ilvl w:val="0"/>
          <w:numId w:val="30"/>
        </w:numPr>
        <w:spacing w:line="360" w:lineRule="auto"/>
        <w:rPr>
          <w:rFonts w:ascii="Arial" w:hAnsi="Arial" w:cs="Arial"/>
          <w:sz w:val="22"/>
          <w:szCs w:val="22"/>
        </w:rPr>
      </w:pPr>
      <w:r w:rsidRPr="00FD73B4">
        <w:rPr>
          <w:rStyle w:val="Strong"/>
          <w:rFonts w:ascii="Arial" w:hAnsi="Arial" w:cs="Arial"/>
          <w:sz w:val="22"/>
          <w:szCs w:val="22"/>
        </w:rPr>
        <w:t>Diet and metabolic risk:</w:t>
      </w:r>
      <w:r w:rsidRPr="00FD73B4">
        <w:rPr>
          <w:rFonts w:ascii="Arial" w:hAnsi="Arial" w:cs="Arial"/>
          <w:sz w:val="22"/>
          <w:szCs w:val="22"/>
        </w:rPr>
        <w:t xml:space="preserve"> Healthier dietary patterns are associated with reduced stroke risk and interact with cardiometabolic states to shape cerebrovascular risk profiles (Yang et al., 2022; Wu et al., 2022).</w:t>
      </w:r>
    </w:p>
    <w:p w14:paraId="29C69AB8" w14:textId="77777777" w:rsidR="00726889" w:rsidRPr="00FD73B4" w:rsidRDefault="00726889" w:rsidP="00726889">
      <w:pPr>
        <w:pStyle w:val="NormalWeb"/>
        <w:numPr>
          <w:ilvl w:val="0"/>
          <w:numId w:val="30"/>
        </w:numPr>
        <w:spacing w:line="360" w:lineRule="auto"/>
        <w:rPr>
          <w:rFonts w:ascii="Arial" w:hAnsi="Arial" w:cs="Arial"/>
          <w:sz w:val="22"/>
          <w:szCs w:val="22"/>
        </w:rPr>
      </w:pPr>
      <w:r w:rsidRPr="00FD73B4">
        <w:rPr>
          <w:rStyle w:val="Strong"/>
          <w:rFonts w:ascii="Arial" w:hAnsi="Arial" w:cs="Arial"/>
          <w:sz w:val="22"/>
          <w:szCs w:val="22"/>
        </w:rPr>
        <w:t>Physical activity and sleep:</w:t>
      </w:r>
      <w:r w:rsidRPr="00FD73B4">
        <w:rPr>
          <w:rFonts w:ascii="Arial" w:hAnsi="Arial" w:cs="Arial"/>
          <w:sz w:val="22"/>
          <w:szCs w:val="22"/>
        </w:rPr>
        <w:t xml:space="preserve"> Moderate-to-vigorous physical activity is consistently linked to improved cardiovascular and stroke-related outcomes, though effects may vary at very high intensity; sleep duration is also associated with chronic disease risk, including cerebrovascular outcomes (Ruesten et al., 2012; Jin et al., 2019).</w:t>
      </w:r>
    </w:p>
    <w:p w14:paraId="432A55FE" w14:textId="2ED2FE7D" w:rsidR="00726889" w:rsidRPr="00FD73B4" w:rsidRDefault="00726889" w:rsidP="00726889">
      <w:pPr>
        <w:pStyle w:val="NormalWeb"/>
        <w:numPr>
          <w:ilvl w:val="0"/>
          <w:numId w:val="30"/>
        </w:numPr>
        <w:spacing w:line="360" w:lineRule="auto"/>
        <w:rPr>
          <w:rFonts w:ascii="Arial" w:hAnsi="Arial" w:cs="Arial"/>
          <w:sz w:val="22"/>
          <w:szCs w:val="22"/>
        </w:rPr>
      </w:pPr>
      <w:r w:rsidRPr="00FD73B4">
        <w:rPr>
          <w:rStyle w:val="Strong"/>
          <w:rFonts w:ascii="Arial" w:hAnsi="Arial" w:cs="Arial"/>
          <w:sz w:val="22"/>
          <w:szCs w:val="22"/>
        </w:rPr>
        <w:t>Clustering and integrated prevention:</w:t>
      </w:r>
      <w:r w:rsidRPr="00FD73B4">
        <w:rPr>
          <w:rFonts w:ascii="Arial" w:hAnsi="Arial" w:cs="Arial"/>
          <w:sz w:val="22"/>
          <w:szCs w:val="22"/>
        </w:rPr>
        <w:t xml:space="preserve"> Latent-class and clustering analyses demonstrate that combined unhealthy behavior patterns confer greater risk than single behaviors, reinforcing the value of holistic prevention strategies (Tegegne et al., 2022; Jin et al., 2019).</w:t>
      </w:r>
    </w:p>
    <w:p w14:paraId="4A31C03F"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lastRenderedPageBreak/>
        <w:t>1.2.4 The UK context and health inequalities</w:t>
      </w:r>
    </w:p>
    <w:p w14:paraId="71A91BF5" w14:textId="5F003385"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In the UK, lifestyle-related stroke risk is unevenly distributed, socioeconomic deprivation, ethnicity, and geographic location shape exposure to unhealthy behaviors and access to preventive resources. UK-based analyses demonstrate distinct patterns of lifestyle risk behaviors and associated health outcomes, underscoring health inequalities and the need for targeted prevention (Tegegne et al., 2022; Hendriks et al., 2024). Population cohorts such as the UK Biobank highlight the interaction of demographic, socioeconomic, and genetic factors with stroke and other cardiometabolic outcomes, reinforcing the need for context-specific synthesis to inform policy (Hendriks et al., 2024). International evidence further shows that healthy lifestyle patterns interact with socioeconomic status in shaping mortality and cardiovascular outcomes, with highest risk observed among socioeconomically disadvantaged groups adopting unhealthy lifestyles (Zhang et al., 2021; Tegegne et al., 2022). Despite public health strategies aimed at reducing lifestyle-related risks, translating evidence into sustained behavior change remains challenging, revealing a persistent policy-to-practice gap (Tegegne et al., 2022).</w:t>
      </w:r>
    </w:p>
    <w:p w14:paraId="7FA2757E" w14:textId="1DBF801A" w:rsidR="00726889" w:rsidRPr="00FD73B4" w:rsidRDefault="00726889" w:rsidP="00726889">
      <w:pPr>
        <w:pStyle w:val="NormalWeb"/>
        <w:numPr>
          <w:ilvl w:val="0"/>
          <w:numId w:val="31"/>
        </w:numPr>
        <w:spacing w:line="360" w:lineRule="auto"/>
        <w:rPr>
          <w:rFonts w:ascii="Arial" w:hAnsi="Arial" w:cs="Arial"/>
          <w:sz w:val="22"/>
          <w:szCs w:val="22"/>
        </w:rPr>
      </w:pPr>
      <w:r w:rsidRPr="00FD73B4">
        <w:rPr>
          <w:rStyle w:val="Strong"/>
          <w:rFonts w:ascii="Arial" w:hAnsi="Arial" w:cs="Arial"/>
          <w:sz w:val="22"/>
          <w:szCs w:val="22"/>
        </w:rPr>
        <w:t>Inequalities:</w:t>
      </w:r>
      <w:r w:rsidRPr="00FD73B4">
        <w:rPr>
          <w:rFonts w:ascii="Arial" w:hAnsi="Arial" w:cs="Arial"/>
          <w:sz w:val="22"/>
          <w:szCs w:val="22"/>
        </w:rPr>
        <w:t xml:space="preserve"> Socioeconomic deprivation and ethnicity influence diet quality, physical activity, and sedentary behavior, contributing to divergent stroke risk profiles across UK populations (Tegegne et al., 2022; Hendriks et al., 2024).</w:t>
      </w:r>
    </w:p>
    <w:p w14:paraId="16826DC5" w14:textId="25FE8C40" w:rsidR="00726889" w:rsidRPr="00FD73B4" w:rsidRDefault="00726889" w:rsidP="00726889">
      <w:pPr>
        <w:pStyle w:val="NormalWeb"/>
        <w:numPr>
          <w:ilvl w:val="0"/>
          <w:numId w:val="31"/>
        </w:numPr>
        <w:spacing w:line="360" w:lineRule="auto"/>
        <w:rPr>
          <w:rFonts w:ascii="Arial" w:hAnsi="Arial" w:cs="Arial"/>
          <w:sz w:val="22"/>
          <w:szCs w:val="22"/>
        </w:rPr>
      </w:pPr>
      <w:r w:rsidRPr="00FD73B4">
        <w:rPr>
          <w:rStyle w:val="Strong"/>
          <w:rFonts w:ascii="Arial" w:hAnsi="Arial" w:cs="Arial"/>
          <w:sz w:val="22"/>
          <w:szCs w:val="22"/>
        </w:rPr>
        <w:t>Policy-to-practice gap:</w:t>
      </w:r>
      <w:r w:rsidRPr="00FD73B4">
        <w:rPr>
          <w:rFonts w:ascii="Arial" w:hAnsi="Arial" w:cs="Arial"/>
          <w:sz w:val="22"/>
          <w:szCs w:val="22"/>
        </w:rPr>
        <w:t xml:space="preserve"> Achieving sustained behavioral change at the population level remains difficult in the UK, despite established guidelines and preventive messaging (Tegegne et al., 2022; Zhang et al., 2021).</w:t>
      </w:r>
    </w:p>
    <w:p w14:paraId="24B9CFF2"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1.2.5 Genetics, lifestyle, and prevention</w:t>
      </w:r>
    </w:p>
    <w:p w14:paraId="076B454B" w14:textId="3E0F5082"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 xml:space="preserve">Genetic susceptibility does not deterministically predict stroke; evidence indicates that a healthy lifestyle can substantially reduce risk even among individuals with elevated genetic risk. Analyses from UK-based cohorts show that modifiable behaviors significantly modify disease risk, including in high-genetic-risk groups, supporting population-wide lifestyle interventions rather than reliance on genetic profiling alone (Hendriks et al., 2024). The wider literature also highlights beneficial effects of exercise, diet, sleep, and smoking cessation on inflammation and metabolic health, providing mechanistic support for lifestyle-focused prevention across populations regardless of genetic background (Firth et al., 2020). Collectively, these findings </w:t>
      </w:r>
      <w:r w:rsidRPr="00FD73B4">
        <w:rPr>
          <w:rFonts w:ascii="Arial" w:hAnsi="Arial" w:cs="Arial"/>
          <w:sz w:val="22"/>
          <w:szCs w:val="22"/>
        </w:rPr>
        <w:lastRenderedPageBreak/>
        <w:t>reinforce a public health approach that prioritizes modifiable behaviors in stroke prevention while acknowledging genetic heterogeneity (Hendriks et al., 2024).</w:t>
      </w:r>
    </w:p>
    <w:p w14:paraId="009F2824"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1.2.6 Need for synthesis of UK-based evidence</w:t>
      </w:r>
    </w:p>
    <w:p w14:paraId="74D3A858" w14:textId="67342C1E"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rPr>
        <w:t>While substantial international literature addresses lifestyle and stroke risk, the UK-specific evidence base is fragmented across studies with varying designs and outcomes. There is a clear need to synthesize UK-based observational and qualitative studies to provide coherent, policy-relevant conclusions about how lifestyle behaviors influence stroke risk in adults and how these patterns interact with social determinants of health within the UK context (Hendriks et al., 2024; Tegegne et al., 2022). Systematic literature reviews offer rigorous methods to identify consistent patterns, resolve conflicting findings, and reveal knowledge gaps, thereby informing prevention strategies and resource allocation in UK public health practice (Tegegne et al., 2022; Yang et al., 2022).</w:t>
      </w:r>
    </w:p>
    <w:p w14:paraId="76EE2BCE" w14:textId="77777777" w:rsidR="00726889" w:rsidRPr="00FD73B4" w:rsidRDefault="00726889" w:rsidP="00726889">
      <w:pPr>
        <w:spacing w:before="100" w:beforeAutospacing="1" w:after="100" w:afterAutospacing="1" w:line="360" w:lineRule="auto"/>
        <w:rPr>
          <w:rFonts w:ascii="Arial" w:eastAsia="Times New Roman" w:hAnsi="Arial" w:cs="Arial"/>
          <w:b/>
        </w:rPr>
      </w:pPr>
      <w:r w:rsidRPr="00FD73B4">
        <w:rPr>
          <w:rFonts w:ascii="Arial" w:eastAsia="Times New Roman" w:hAnsi="Arial" w:cs="Arial"/>
          <w:b/>
        </w:rPr>
        <w:t>1.3 Rationale for the Research / Problem Statement</w:t>
      </w:r>
    </w:p>
    <w:p w14:paraId="2A138289" w14:textId="7ECCEC71"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Stroke remains a significant and largely preventable public health problem in the UK, with lifestyle behaviors representing a critical opportunity to reduce disease burden. Although numerous studies have examined associations between individual lifestyle factors and stroke risk, evidence remains fragmented across behaviors, populations, and study designs. There is therefore a need for a comprehensive UK-centered synthesis integrating multiple modifiable behaviors to clarify how these factors collectively influence stroke incidence among adults.</w:t>
      </w:r>
    </w:p>
    <w:p w14:paraId="49838F9F" w14:textId="1A8BCC83"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This research aims to systematically identify observational and qualitative studies examining lifestyle behaviors and stroke risk in UK adults, synthesize evidence on how clusters of behaviors (diet, physical activity, sedentary time, sleep, smoking, alcohol) relate to stroke incidence and related outcomes, and examine how social determinants (socioeconomic status, ethnicity, geography) modify these relationships. The focus on observational and qualitative research foregrounds public health prevention and policy relevance rather than clinical or pharmacological interventions, aligning with UK literature emphasizing behavioral clustering and social context in cerebrovascular risk reduction (Tegegne et al., 2022; Jin et al., 2019; Hendriks et al., 2024).</w:t>
      </w:r>
    </w:p>
    <w:p w14:paraId="623A8DCE" w14:textId="77777777" w:rsidR="00814BE6" w:rsidRPr="00814BE6" w:rsidRDefault="00814BE6" w:rsidP="00814BE6">
      <w:pPr>
        <w:pStyle w:val="NormalWeb"/>
        <w:spacing w:line="360" w:lineRule="auto"/>
        <w:ind w:left="360"/>
        <w:rPr>
          <w:rStyle w:val="Strong"/>
          <w:rFonts w:ascii="Arial" w:hAnsi="Arial" w:cs="Arial"/>
          <w:b w:val="0"/>
          <w:bCs w:val="0"/>
          <w:sz w:val="22"/>
          <w:szCs w:val="22"/>
        </w:rPr>
      </w:pPr>
    </w:p>
    <w:p w14:paraId="57299609" w14:textId="7F6509EC" w:rsidR="00726889" w:rsidRPr="00FD73B4" w:rsidRDefault="00726889" w:rsidP="00726889">
      <w:pPr>
        <w:pStyle w:val="NormalWeb"/>
        <w:numPr>
          <w:ilvl w:val="0"/>
          <w:numId w:val="32"/>
        </w:numPr>
        <w:spacing w:line="360" w:lineRule="auto"/>
        <w:rPr>
          <w:rFonts w:ascii="Arial" w:hAnsi="Arial" w:cs="Arial"/>
          <w:sz w:val="22"/>
          <w:szCs w:val="22"/>
        </w:rPr>
      </w:pPr>
      <w:r w:rsidRPr="00FD73B4">
        <w:rPr>
          <w:rStyle w:val="Strong"/>
          <w:rFonts w:ascii="Arial" w:hAnsi="Arial" w:cs="Arial"/>
          <w:sz w:val="22"/>
          <w:szCs w:val="22"/>
        </w:rPr>
        <w:lastRenderedPageBreak/>
        <w:t>Methodological justification:</w:t>
      </w:r>
      <w:r w:rsidRPr="00FD73B4">
        <w:rPr>
          <w:rFonts w:ascii="Arial" w:hAnsi="Arial" w:cs="Arial"/>
          <w:sz w:val="22"/>
          <w:szCs w:val="22"/>
        </w:rPr>
        <w:t xml:space="preserve"> Systematic reviews and latent-cluster analyses are effective in examining how multiple lifestyle factors co-vary and relate to cardiovascular risk in UK and international populations, supporting an integrated synthesis of stroke-related behaviors (Tegegne et al., 2022; Verswijveren et al., 2023).</w:t>
      </w:r>
    </w:p>
    <w:p w14:paraId="716DB7D9" w14:textId="77777777" w:rsidR="00726889" w:rsidRPr="00FD73B4" w:rsidRDefault="00726889" w:rsidP="00726889">
      <w:pPr>
        <w:pStyle w:val="NormalWeb"/>
        <w:numPr>
          <w:ilvl w:val="0"/>
          <w:numId w:val="32"/>
        </w:numPr>
        <w:spacing w:line="360" w:lineRule="auto"/>
        <w:rPr>
          <w:rFonts w:ascii="Arial" w:hAnsi="Arial" w:cs="Arial"/>
          <w:sz w:val="22"/>
          <w:szCs w:val="22"/>
        </w:rPr>
      </w:pPr>
      <w:r w:rsidRPr="00FD73B4">
        <w:rPr>
          <w:rStyle w:val="Strong"/>
          <w:rFonts w:ascii="Arial" w:hAnsi="Arial" w:cs="Arial"/>
          <w:sz w:val="22"/>
          <w:szCs w:val="22"/>
        </w:rPr>
        <w:t>Policy relevance:</w:t>
      </w:r>
      <w:r w:rsidRPr="00FD73B4">
        <w:rPr>
          <w:rFonts w:ascii="Arial" w:hAnsi="Arial" w:cs="Arial"/>
          <w:sz w:val="22"/>
          <w:szCs w:val="22"/>
        </w:rPr>
        <w:t xml:space="preserve"> Focusing on UK-based evidence enables contextually relevant insights for national prevention strategies, addressing health inequalities and informing public health resource allocation (Hendriks et al., 2024; Zhang et al., 2021; Yang et al., 2022).</w:t>
      </w:r>
    </w:p>
    <w:p w14:paraId="19330535" w14:textId="292781F9" w:rsidR="00726889" w:rsidRPr="00FD73B4" w:rsidRDefault="00726889" w:rsidP="00726889">
      <w:pPr>
        <w:pStyle w:val="NormalWeb"/>
        <w:spacing w:line="360" w:lineRule="auto"/>
        <w:rPr>
          <w:rFonts w:ascii="Arial" w:hAnsi="Arial" w:cs="Arial"/>
          <w:sz w:val="22"/>
          <w:szCs w:val="22"/>
        </w:rPr>
      </w:pPr>
      <w:r w:rsidRPr="00FD73B4">
        <w:rPr>
          <w:rFonts w:ascii="Arial" w:hAnsi="Arial" w:cs="Arial"/>
          <w:sz w:val="22"/>
          <w:szCs w:val="22"/>
        </w:rPr>
        <w:t>Overall, synthesizing evidence across lifestyle behaviors and social determinants supports the need for UK-focused, population-level prevention strategies to inform effective public health action against stroke.</w:t>
      </w:r>
    </w:p>
    <w:p w14:paraId="555B8204" w14:textId="77777777" w:rsidR="00726889" w:rsidRPr="00FD73B4" w:rsidRDefault="00726889" w:rsidP="00726889">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1.4 Research Question </w:t>
      </w:r>
    </w:p>
    <w:p w14:paraId="3297C366" w14:textId="77777777"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rPr>
        <w:t>This systematic literature review addresses the following research question:</w:t>
      </w:r>
    </w:p>
    <w:p w14:paraId="032FE1C5" w14:textId="7C0BE76B"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How do lifestyle behaviors, including diet, physical activity, sedentary behavior, and related factors, influence the risk of stroke among adults in the United Kingdom?</w:t>
      </w:r>
    </w:p>
    <w:p w14:paraId="5EF50181" w14:textId="77777777" w:rsidR="00726889" w:rsidRPr="00FD73B4" w:rsidRDefault="00726889" w:rsidP="00726889">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1.5 Research Aim </w:t>
      </w:r>
    </w:p>
    <w:p w14:paraId="7847A1E1" w14:textId="20C72826"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aim of this study is to systematically review and synthesis UK-based evidence on lifestyle behaviors and stroke incidence among adults.</w:t>
      </w:r>
    </w:p>
    <w:p w14:paraId="6F1A3AC8" w14:textId="77777777" w:rsidR="00726889" w:rsidRPr="00FD73B4" w:rsidRDefault="00726889" w:rsidP="00726889">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1.6 Research Objectives </w:t>
      </w:r>
    </w:p>
    <w:p w14:paraId="5C4E0935" w14:textId="77777777"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objectives of this study are to:</w:t>
      </w:r>
    </w:p>
    <w:p w14:paraId="38C42E84" w14:textId="4C2B8C7A" w:rsidR="00726889" w:rsidRPr="00FD73B4" w:rsidRDefault="00726889" w:rsidP="00726889">
      <w:pPr>
        <w:numPr>
          <w:ilvl w:val="0"/>
          <w:numId w:val="21"/>
        </w:numPr>
        <w:spacing w:before="100" w:beforeAutospacing="1" w:after="100" w:afterAutospacing="1" w:line="360" w:lineRule="auto"/>
        <w:rPr>
          <w:rFonts w:ascii="Arial" w:eastAsia="Times New Roman" w:hAnsi="Arial" w:cs="Arial"/>
        </w:rPr>
      </w:pPr>
      <w:r w:rsidRPr="00FD73B4">
        <w:rPr>
          <w:rFonts w:ascii="Arial" w:eastAsia="Times New Roman" w:hAnsi="Arial" w:cs="Arial"/>
        </w:rPr>
        <w:t>Examine associations between lifestyle behaviors and stroke incidence in UK adults</w:t>
      </w:r>
    </w:p>
    <w:p w14:paraId="593945E2" w14:textId="77777777" w:rsidR="00726889" w:rsidRPr="00FD73B4" w:rsidRDefault="00726889" w:rsidP="00726889">
      <w:pPr>
        <w:numPr>
          <w:ilvl w:val="0"/>
          <w:numId w:val="21"/>
        </w:numPr>
        <w:spacing w:before="100" w:beforeAutospacing="1" w:after="100" w:afterAutospacing="1" w:line="360" w:lineRule="auto"/>
        <w:rPr>
          <w:rFonts w:ascii="Arial" w:eastAsia="Times New Roman" w:hAnsi="Arial" w:cs="Arial"/>
        </w:rPr>
      </w:pPr>
      <w:r w:rsidRPr="00FD73B4">
        <w:rPr>
          <w:rFonts w:ascii="Arial" w:eastAsia="Times New Roman" w:hAnsi="Arial" w:cs="Arial"/>
        </w:rPr>
        <w:t>Identify key dietary and physical activity patterns related to stroke risk</w:t>
      </w:r>
    </w:p>
    <w:p w14:paraId="053AD755" w14:textId="7FB2DD44" w:rsidR="00726889" w:rsidRPr="00FD73B4" w:rsidRDefault="00726889" w:rsidP="00726889">
      <w:pPr>
        <w:numPr>
          <w:ilvl w:val="0"/>
          <w:numId w:val="21"/>
        </w:numPr>
        <w:spacing w:before="100" w:beforeAutospacing="1" w:after="100" w:afterAutospacing="1" w:line="360" w:lineRule="auto"/>
        <w:rPr>
          <w:rFonts w:ascii="Arial" w:eastAsia="Times New Roman" w:hAnsi="Arial" w:cs="Arial"/>
        </w:rPr>
      </w:pPr>
      <w:r w:rsidRPr="00FD73B4">
        <w:rPr>
          <w:rFonts w:ascii="Arial" w:eastAsia="Times New Roman" w:hAnsi="Arial" w:cs="Arial"/>
        </w:rPr>
        <w:t>Explore the influence of sedentary behavior and lifestyle clustering</w:t>
      </w:r>
    </w:p>
    <w:p w14:paraId="6BCDB9FF" w14:textId="77777777" w:rsidR="00CF7916" w:rsidRPr="00FD73B4" w:rsidRDefault="00726889" w:rsidP="00CF7916">
      <w:pPr>
        <w:numPr>
          <w:ilvl w:val="0"/>
          <w:numId w:val="21"/>
        </w:numPr>
        <w:spacing w:before="100" w:beforeAutospacing="1" w:after="100" w:afterAutospacing="1" w:line="360" w:lineRule="auto"/>
        <w:rPr>
          <w:rFonts w:ascii="Arial" w:eastAsia="Times New Roman" w:hAnsi="Arial" w:cs="Arial"/>
        </w:rPr>
      </w:pPr>
      <w:r w:rsidRPr="00FD73B4">
        <w:rPr>
          <w:rFonts w:ascii="Arial" w:eastAsia="Times New Roman" w:hAnsi="Arial" w:cs="Arial"/>
        </w:rPr>
        <w:t>Synthesize evidence to inform public health practice and future research</w:t>
      </w:r>
    </w:p>
    <w:p w14:paraId="4F198077" w14:textId="77777777" w:rsidR="00CF7916" w:rsidRPr="00FD73B4" w:rsidRDefault="00CF7916" w:rsidP="00CF7916">
      <w:pPr>
        <w:spacing w:before="100" w:beforeAutospacing="1" w:after="100" w:afterAutospacing="1" w:line="360" w:lineRule="auto"/>
        <w:ind w:left="720"/>
        <w:rPr>
          <w:rFonts w:ascii="Arial" w:eastAsia="Times New Roman" w:hAnsi="Arial" w:cs="Arial"/>
        </w:rPr>
      </w:pPr>
    </w:p>
    <w:p w14:paraId="72331185" w14:textId="77777777" w:rsidR="00CF7916" w:rsidRPr="00FD73B4" w:rsidRDefault="00CF7916" w:rsidP="00CF7916">
      <w:pPr>
        <w:spacing w:before="100" w:beforeAutospacing="1" w:after="100" w:afterAutospacing="1" w:line="360" w:lineRule="auto"/>
        <w:rPr>
          <w:rFonts w:ascii="Arial" w:eastAsia="Times New Roman" w:hAnsi="Arial" w:cs="Arial"/>
        </w:rPr>
      </w:pPr>
    </w:p>
    <w:p w14:paraId="61D1FFF2" w14:textId="77777777" w:rsidR="00CF7916" w:rsidRPr="00FD73B4" w:rsidRDefault="00CF7916" w:rsidP="00CF7916">
      <w:pPr>
        <w:spacing w:before="100" w:beforeAutospacing="1" w:after="100" w:afterAutospacing="1" w:line="360" w:lineRule="auto"/>
        <w:rPr>
          <w:rFonts w:ascii="Arial" w:eastAsia="Times New Roman" w:hAnsi="Arial" w:cs="Arial"/>
        </w:rPr>
      </w:pPr>
    </w:p>
    <w:p w14:paraId="2CF4AA1B" w14:textId="2C33FF33" w:rsidR="00726889" w:rsidRPr="00FD73B4" w:rsidRDefault="00726889" w:rsidP="00CF7916">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t xml:space="preserve">1.7 Chapter Summary </w:t>
      </w:r>
    </w:p>
    <w:p w14:paraId="412E973D" w14:textId="34B9D1E6" w:rsidR="00726889" w:rsidRPr="00FD73B4" w:rsidRDefault="00726889" w:rsidP="00726889">
      <w:pPr>
        <w:spacing w:before="100" w:beforeAutospacing="1" w:after="100" w:afterAutospacing="1" w:line="360" w:lineRule="auto"/>
        <w:rPr>
          <w:rFonts w:ascii="Arial" w:eastAsia="Times New Roman" w:hAnsi="Arial" w:cs="Arial"/>
        </w:rPr>
      </w:pPr>
      <w:r w:rsidRPr="00FD73B4">
        <w:rPr>
          <w:rFonts w:ascii="Arial" w:eastAsia="Times New Roman" w:hAnsi="Arial" w:cs="Arial"/>
        </w:rPr>
        <w:t>This chapter introduced the research topic, provided background on stroke as a public health issue, and situated lifestyle behaviors within the current UK context. The rationale, research question, aim, and objectives of the study were outlined. Chapter 2 will present a critical review of existing literature, exploring theoretical perspectives and empirical evidence related to lifestyle behaviors and stroke risk, thereby establishing the foundation for the systematic review methodology.</w:t>
      </w:r>
    </w:p>
    <w:p w14:paraId="336CD94D" w14:textId="77777777" w:rsidR="00726889" w:rsidRPr="00FD73B4" w:rsidRDefault="00726889" w:rsidP="00726889">
      <w:pPr>
        <w:spacing w:line="360" w:lineRule="auto"/>
        <w:rPr>
          <w:rFonts w:ascii="Arial" w:hAnsi="Arial" w:cs="Arial"/>
        </w:rPr>
      </w:pPr>
    </w:p>
    <w:p w14:paraId="71D92627" w14:textId="77777777" w:rsidR="00726889" w:rsidRPr="00FD73B4" w:rsidRDefault="00726889" w:rsidP="00726889">
      <w:pPr>
        <w:spacing w:line="360" w:lineRule="auto"/>
        <w:rPr>
          <w:rFonts w:ascii="Arial" w:hAnsi="Arial" w:cs="Arial"/>
        </w:rPr>
      </w:pPr>
    </w:p>
    <w:p w14:paraId="32999570" w14:textId="77777777" w:rsidR="00726889" w:rsidRPr="00FD73B4" w:rsidRDefault="00726889" w:rsidP="00726889">
      <w:pPr>
        <w:spacing w:line="360" w:lineRule="auto"/>
        <w:rPr>
          <w:rFonts w:ascii="Arial" w:hAnsi="Arial" w:cs="Arial"/>
        </w:rPr>
      </w:pPr>
    </w:p>
    <w:p w14:paraId="4906B97C" w14:textId="77777777" w:rsidR="00726889" w:rsidRPr="00FD73B4" w:rsidRDefault="00726889" w:rsidP="00726889">
      <w:pPr>
        <w:spacing w:line="360" w:lineRule="auto"/>
        <w:rPr>
          <w:rFonts w:ascii="Arial" w:hAnsi="Arial" w:cs="Arial"/>
        </w:rPr>
      </w:pPr>
    </w:p>
    <w:p w14:paraId="2206B50C" w14:textId="77777777" w:rsidR="00726889" w:rsidRPr="00FD73B4" w:rsidRDefault="00726889" w:rsidP="00726889">
      <w:pPr>
        <w:spacing w:line="360" w:lineRule="auto"/>
        <w:rPr>
          <w:rFonts w:ascii="Arial" w:hAnsi="Arial" w:cs="Arial"/>
        </w:rPr>
      </w:pPr>
    </w:p>
    <w:p w14:paraId="765C4F85" w14:textId="77777777" w:rsidR="00726889" w:rsidRPr="00FD73B4" w:rsidRDefault="00726889" w:rsidP="00726889">
      <w:pPr>
        <w:spacing w:line="360" w:lineRule="auto"/>
        <w:rPr>
          <w:rFonts w:ascii="Arial" w:hAnsi="Arial" w:cs="Arial"/>
        </w:rPr>
      </w:pPr>
    </w:p>
    <w:p w14:paraId="4E638A11" w14:textId="77777777" w:rsidR="00726889" w:rsidRPr="00FD73B4" w:rsidRDefault="00726889" w:rsidP="00726889">
      <w:pPr>
        <w:spacing w:line="360" w:lineRule="auto"/>
        <w:rPr>
          <w:rFonts w:ascii="Arial" w:hAnsi="Arial" w:cs="Arial"/>
        </w:rPr>
      </w:pPr>
    </w:p>
    <w:p w14:paraId="5BB4859E" w14:textId="77777777" w:rsidR="00726889" w:rsidRPr="00FD73B4" w:rsidRDefault="00726889" w:rsidP="00726889">
      <w:pPr>
        <w:spacing w:line="360" w:lineRule="auto"/>
        <w:rPr>
          <w:rFonts w:ascii="Arial" w:hAnsi="Arial" w:cs="Arial"/>
        </w:rPr>
      </w:pPr>
    </w:p>
    <w:p w14:paraId="3776D744" w14:textId="77777777" w:rsidR="00726889" w:rsidRPr="00FD73B4" w:rsidRDefault="00726889" w:rsidP="00726889">
      <w:pPr>
        <w:spacing w:line="360" w:lineRule="auto"/>
        <w:rPr>
          <w:rFonts w:ascii="Arial" w:hAnsi="Arial" w:cs="Arial"/>
        </w:rPr>
      </w:pPr>
    </w:p>
    <w:p w14:paraId="652D0F83" w14:textId="77777777" w:rsidR="00726889" w:rsidRPr="00FD73B4" w:rsidRDefault="00726889" w:rsidP="00726889">
      <w:pPr>
        <w:spacing w:line="360" w:lineRule="auto"/>
        <w:rPr>
          <w:rFonts w:ascii="Arial" w:hAnsi="Arial" w:cs="Arial"/>
        </w:rPr>
      </w:pPr>
    </w:p>
    <w:p w14:paraId="0CB8FD31" w14:textId="77777777" w:rsidR="00726889" w:rsidRPr="00FD73B4" w:rsidRDefault="00726889" w:rsidP="00726889">
      <w:pPr>
        <w:spacing w:line="360" w:lineRule="auto"/>
        <w:rPr>
          <w:rFonts w:ascii="Arial" w:hAnsi="Arial" w:cs="Arial"/>
        </w:rPr>
      </w:pPr>
    </w:p>
    <w:p w14:paraId="2FD60A28" w14:textId="77777777" w:rsidR="00726889" w:rsidRPr="00FD73B4" w:rsidRDefault="00726889" w:rsidP="00726889">
      <w:pPr>
        <w:spacing w:line="360" w:lineRule="auto"/>
        <w:rPr>
          <w:rFonts w:ascii="Arial" w:hAnsi="Arial" w:cs="Arial"/>
        </w:rPr>
      </w:pPr>
    </w:p>
    <w:p w14:paraId="415073B4" w14:textId="77777777" w:rsidR="00726889" w:rsidRPr="00FD73B4" w:rsidRDefault="00726889" w:rsidP="00726889">
      <w:pPr>
        <w:spacing w:line="360" w:lineRule="auto"/>
        <w:rPr>
          <w:rFonts w:ascii="Arial" w:hAnsi="Arial" w:cs="Arial"/>
        </w:rPr>
      </w:pPr>
    </w:p>
    <w:p w14:paraId="46738BB2" w14:textId="77777777" w:rsidR="00726889" w:rsidRPr="00FD73B4" w:rsidRDefault="00726889" w:rsidP="00726889">
      <w:pPr>
        <w:spacing w:line="360" w:lineRule="auto"/>
        <w:rPr>
          <w:rFonts w:ascii="Arial" w:hAnsi="Arial" w:cs="Arial"/>
        </w:rPr>
      </w:pPr>
    </w:p>
    <w:p w14:paraId="59C2F432" w14:textId="77777777" w:rsidR="00726889" w:rsidRPr="00FD73B4" w:rsidRDefault="00726889" w:rsidP="00726889">
      <w:pPr>
        <w:spacing w:line="360" w:lineRule="auto"/>
        <w:rPr>
          <w:rFonts w:ascii="Arial" w:hAnsi="Arial" w:cs="Arial"/>
        </w:rPr>
      </w:pPr>
    </w:p>
    <w:p w14:paraId="1B05767E" w14:textId="77777777" w:rsidR="009E0432" w:rsidRPr="00FD73B4" w:rsidRDefault="009E0432" w:rsidP="009E0432">
      <w:pPr>
        <w:spacing w:line="360" w:lineRule="auto"/>
        <w:rPr>
          <w:rFonts w:ascii="Arial" w:hAnsi="Arial" w:cs="Arial"/>
        </w:rPr>
      </w:pPr>
    </w:p>
    <w:p w14:paraId="3B9F7D24" w14:textId="77777777" w:rsidR="009E0432" w:rsidRPr="00FD73B4" w:rsidRDefault="009E0432" w:rsidP="009E0432">
      <w:pPr>
        <w:spacing w:line="360" w:lineRule="auto"/>
        <w:rPr>
          <w:rFonts w:ascii="Arial" w:hAnsi="Arial" w:cs="Arial"/>
        </w:rPr>
      </w:pPr>
    </w:p>
    <w:p w14:paraId="7DD24F77" w14:textId="77777777" w:rsidR="00FD73B4" w:rsidRDefault="00FD73B4" w:rsidP="00FD73B4">
      <w:pPr>
        <w:rPr>
          <w:rFonts w:ascii="Arial" w:hAnsi="Arial" w:cs="Arial"/>
        </w:rPr>
      </w:pPr>
    </w:p>
    <w:p w14:paraId="0C7F34DD" w14:textId="12C07EEF" w:rsidR="00D303F6" w:rsidRPr="00FD73B4" w:rsidRDefault="00D303F6" w:rsidP="00FD73B4">
      <w:pPr>
        <w:jc w:val="center"/>
        <w:rPr>
          <w:rFonts w:ascii="Arial" w:eastAsia="Times New Roman" w:hAnsi="Arial" w:cs="Arial"/>
          <w:b/>
          <w:bCs/>
          <w:kern w:val="36"/>
          <w:sz w:val="24"/>
          <w:szCs w:val="24"/>
        </w:rPr>
      </w:pPr>
      <w:r w:rsidRPr="00FD73B4">
        <w:rPr>
          <w:rFonts w:ascii="Arial" w:eastAsia="Times New Roman" w:hAnsi="Arial" w:cs="Arial"/>
          <w:b/>
          <w:bCs/>
          <w:kern w:val="36"/>
          <w:sz w:val="24"/>
          <w:szCs w:val="24"/>
        </w:rPr>
        <w:t>CHAPTER 2: LITERATURE REVIEW</w:t>
      </w:r>
    </w:p>
    <w:p w14:paraId="3223A85D" w14:textId="77777777" w:rsidR="00E264BA" w:rsidRPr="00FD73B4" w:rsidRDefault="00E264BA" w:rsidP="00D303F6">
      <w:pPr>
        <w:spacing w:before="100" w:beforeAutospacing="1" w:after="100" w:afterAutospacing="1" w:line="360" w:lineRule="auto"/>
        <w:outlineLvl w:val="1"/>
        <w:rPr>
          <w:rFonts w:ascii="Arial" w:eastAsia="Times New Roman" w:hAnsi="Arial" w:cs="Arial"/>
          <w:b/>
          <w:bCs/>
        </w:rPr>
      </w:pPr>
    </w:p>
    <w:p w14:paraId="071BBAA3" w14:textId="1FE1BD30" w:rsidR="00D303F6" w:rsidRPr="00FD73B4" w:rsidRDefault="00D303F6" w:rsidP="00D303F6">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2.1 Introduction to the Literature Review Chapter</w:t>
      </w:r>
    </w:p>
    <w:p w14:paraId="4DD3A31B" w14:textId="20D632DE"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chapter critically reviews existing academic and scholarly literature related to lifestyle </w:t>
      </w:r>
      <w:r w:rsidR="00550147" w:rsidRPr="00FD73B4">
        <w:rPr>
          <w:rFonts w:ascii="Arial" w:eastAsia="Times New Roman" w:hAnsi="Arial" w:cs="Arial"/>
        </w:rPr>
        <w:t>behaviors</w:t>
      </w:r>
      <w:r w:rsidRPr="00FD73B4">
        <w:rPr>
          <w:rFonts w:ascii="Arial" w:eastAsia="Times New Roman" w:hAnsi="Arial" w:cs="Arial"/>
        </w:rPr>
        <w:t xml:space="preserve"> and stroke risk. The purpose of this review is to establish the current state of knowledge, identify key themes and debates, and highlight gaps that justify the need for the present systematic literature review. The chapter </w:t>
      </w:r>
      <w:r w:rsidR="00550147" w:rsidRPr="00FD73B4">
        <w:rPr>
          <w:rFonts w:ascii="Arial" w:eastAsia="Times New Roman" w:hAnsi="Arial" w:cs="Arial"/>
        </w:rPr>
        <w:t>synthesizes</w:t>
      </w:r>
      <w:r w:rsidRPr="00FD73B4">
        <w:rPr>
          <w:rFonts w:ascii="Arial" w:eastAsia="Times New Roman" w:hAnsi="Arial" w:cs="Arial"/>
        </w:rPr>
        <w:t xml:space="preserve"> evidence on diet, physical activity, sedentary </w:t>
      </w:r>
      <w:r w:rsidR="00550147" w:rsidRPr="00FD73B4">
        <w:rPr>
          <w:rFonts w:ascii="Arial" w:eastAsia="Times New Roman" w:hAnsi="Arial" w:cs="Arial"/>
        </w:rPr>
        <w:t>behavior</w:t>
      </w:r>
      <w:r w:rsidRPr="00FD73B4">
        <w:rPr>
          <w:rFonts w:ascii="Arial" w:eastAsia="Times New Roman" w:hAnsi="Arial" w:cs="Arial"/>
        </w:rPr>
        <w:t>, lifestyle clustering, genetic interactions, and psychosocial factors in relation to stroke incidence. By critically evaluating the strengths and limitations of existing research, this chapter provides a clear rationale for the methodological approach adopted in Chapter 3 and positions the current study within the wider body of stroke prevention research.</w:t>
      </w:r>
    </w:p>
    <w:p w14:paraId="4B251CDF" w14:textId="77777777" w:rsidR="00D303F6" w:rsidRPr="00FD73B4" w:rsidRDefault="00D303F6" w:rsidP="00D303F6">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2.2 Literature Review</w:t>
      </w:r>
    </w:p>
    <w:p w14:paraId="69D17D96" w14:textId="7777777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2.2.1 Stroke as a preventable non-communicable disease</w:t>
      </w:r>
    </w:p>
    <w:p w14:paraId="24CBD6E2"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Stroke is a leading non-communicable disease and a significant contributor to global morbidity and mortality, with the burden of stroke and its risk factors documented from 1990 to 2021 (Kang et al., 2022). Regional analyses highlight a substantial burden of neurological diseases in Asia, including stroke (Kang et al., 2022), and socioeconomic disparities shape risk and outcomes, underscoring the need for prevention across diverse populations (Avan et al., 2019).</w:t>
      </w:r>
    </w:p>
    <w:p w14:paraId="3AFF6B74"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Modifiable lifestyle factors—diet, physical activity, sedentary behavior, smoking, and metabolic syndrome—drive stroke risk; diabetes and smoking interactions elevate risk (Lou et al., 2018), and lifestyle risk profiles associate with mortality (Lee et al., 2020). Interventions targeting these factors—such as education-based programs and mobile health approaches—have demonstrated improvements in physical activity and cardiometabolic risk factors across diverse settings (Sequí</w:t>
      </w:r>
      <w:r w:rsidRPr="00FD73B4">
        <w:rPr>
          <w:rFonts w:ascii="Cambria Math" w:eastAsia="Times New Roman" w:hAnsi="Cambria Math" w:cs="Cambria Math"/>
        </w:rPr>
        <w:t>‐</w:t>
      </w:r>
      <w:r w:rsidRPr="00FD73B4">
        <w:rPr>
          <w:rFonts w:ascii="Arial" w:eastAsia="Times New Roman" w:hAnsi="Arial" w:cs="Arial"/>
        </w:rPr>
        <w:t>Domínguez et al., 2020; Gill et al., 2019).</w:t>
      </w:r>
    </w:p>
    <w:p w14:paraId="73CA0253"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Given the heterogeneity of evidence across disciplines, a structured and multidisciplinary synthesis is needed to translate findings into practice and policy (Jones et al., 2024).</w:t>
      </w:r>
    </w:p>
    <w:p w14:paraId="04C1975D" w14:textId="237D4A12" w:rsidR="00D303F6" w:rsidRPr="00FD73B4" w:rsidRDefault="00D303F6" w:rsidP="00E264BA">
      <w:pPr>
        <w:spacing w:line="360" w:lineRule="auto"/>
        <w:rPr>
          <w:rFonts w:ascii="Arial" w:eastAsia="Calibri" w:hAnsi="Arial" w:cs="Arial"/>
        </w:rPr>
      </w:pPr>
      <w:r w:rsidRPr="00FD73B4">
        <w:rPr>
          <w:rFonts w:ascii="Arial" w:eastAsia="Times New Roman" w:hAnsi="Arial" w:cs="Arial"/>
          <w:b/>
          <w:bCs/>
        </w:rPr>
        <w:lastRenderedPageBreak/>
        <w:t>2.2.2 Dietary patterns and stroke risk</w:t>
      </w:r>
    </w:p>
    <w:p w14:paraId="11D87F50" w14:textId="40883B4E"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Dietary patterns influence stroke risk; Mediterranean-type diets—rich in fruits, vegetables, whole grains, legumes, fish, and unsaturated fats—are consistently linked to lower cardiovascular disease (CVD) and stroke risk, with evidence extending to non-Mediterranean settings and the UK (Tong et al., 2016; Tognon et al., 2013). In the UK, population-level impacts suggest that a portion of CVD/stroke incidence could be avoided by adherence to a Mediterranean-pattern diet, corroborated by Danish cohorts showing related benefits for CVD (Tong et al., 2016; Tognon et al., 2013). Evidence for restrictive dietary patterns is mixed: vegetarians may exhibit lower blood pressure but, in some analyses, have a higher risk of hemorrhagic stroke; lipid biomarker data in UK cohorts indicate vegetarian-associated profiles that could lower ischemic stroke risk while potentially increasing hemorrhagic risk (Tong et al., 2019; Tong et al., 2021). Moreover, adherence to the DASH (Dietary Approaches to Stop Hypertension) diet is associated with reduced stroke risk through blood pressure and metabolic improvements Feng et al., 2018). Overall, dietary guidelines should reflect population-specific evidence syntheses, </w:t>
      </w:r>
      <w:r w:rsidR="00550147" w:rsidRPr="00FD73B4">
        <w:rPr>
          <w:rFonts w:ascii="Arial" w:eastAsia="Times New Roman" w:hAnsi="Arial" w:cs="Arial"/>
        </w:rPr>
        <w:t>recognize</w:t>
      </w:r>
      <w:r w:rsidRPr="00FD73B4">
        <w:rPr>
          <w:rFonts w:ascii="Arial" w:eastAsia="Times New Roman" w:hAnsi="Arial" w:cs="Arial"/>
        </w:rPr>
        <w:t xml:space="preserve"> the robust benefits of Mediterranean and DASH diets while acknowledging heterogeneous findings for vegetarian patterns across various contexts (Tong et al., 2016; Tognon et al., 2013; Tong et al., 2019; Feng et al., 2018).</w:t>
      </w:r>
    </w:p>
    <w:p w14:paraId="38DDF0F3" w14:textId="7777777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2.2.3 Dietary fibre and specific nutritional components</w:t>
      </w:r>
    </w:p>
    <w:p w14:paraId="35716DC0"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Robust evidence shows a dose–response relationship between dietary fibre and reduced stroke risk, with ischemic stroke showing stronger protection and cereal fibre often driving the effect (Chen et al., 2012). Across populations, higher fibre intake associates with lower stroke risk in UK women (Chen et al., 2012), healthy Swedish adults (Dong &amp; Yang, 2022), and male smokers (Kokubo et al., 2011), though magnitudes vary by fibre type (Chen et al., 2012). Mechanistic pathways include improved lipid metabolism and glycemic control, reduced systemic inflammation, and gut microbiota modulation with prebiotic effects and immune regulation supporting metabolic homeostasis (Kim et al., 2013; Myhrstad et al., 2020). These links are reinforced by umbrella reviews of diet and stroke outcomes, underscoring fibre as a modifiable preventive target and stressing public-health translation (Jin et al., 2024).</w:t>
      </w:r>
    </w:p>
    <w:p w14:paraId="5B8C1F90" w14:textId="77777777" w:rsidR="00D303F6" w:rsidRPr="00FD73B4" w:rsidRDefault="00D303F6" w:rsidP="00D303F6">
      <w:pPr>
        <w:spacing w:after="0" w:line="360" w:lineRule="auto"/>
        <w:rPr>
          <w:rFonts w:ascii="Arial" w:eastAsia="Times New Roman" w:hAnsi="Arial" w:cs="Arial"/>
        </w:rPr>
      </w:pPr>
    </w:p>
    <w:p w14:paraId="07ABE605" w14:textId="77777777" w:rsidR="00814BE6" w:rsidRDefault="00814BE6" w:rsidP="00D303F6">
      <w:pPr>
        <w:spacing w:before="100" w:beforeAutospacing="1" w:after="100" w:afterAutospacing="1" w:line="360" w:lineRule="auto"/>
        <w:outlineLvl w:val="2"/>
        <w:rPr>
          <w:rFonts w:ascii="Arial" w:eastAsia="Times New Roman" w:hAnsi="Arial" w:cs="Arial"/>
          <w:b/>
          <w:bCs/>
        </w:rPr>
      </w:pPr>
    </w:p>
    <w:p w14:paraId="29A3B5B9" w14:textId="7B5F076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2.2.4 Physical activity and stroke prevention</w:t>
      </w:r>
    </w:p>
    <w:p w14:paraId="087F4EF4" w14:textId="2ECA453D"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Regular moderate-to-vigorous physical activity (MVPA) reduces stroke risk by positively influencing cardiovascular risk factors, including endothelial function and metabolic health (Chui-hui, 2018), (Celis</w:t>
      </w:r>
      <w:r w:rsidRPr="00FD73B4">
        <w:rPr>
          <w:rFonts w:ascii="Cambria Math" w:eastAsia="Times New Roman" w:hAnsi="Cambria Math" w:cs="Cambria Math"/>
        </w:rPr>
        <w:t>‐</w:t>
      </w:r>
      <w:r w:rsidRPr="00FD73B4">
        <w:rPr>
          <w:rFonts w:ascii="Arial" w:eastAsia="Times New Roman" w:hAnsi="Arial" w:cs="Arial"/>
        </w:rPr>
        <w:t>Morales et al., 2012; Luke et al., 2011). Endothelial function improves with increased physical activity levels, as evidenced by studies on postmenopausal women that showed significant improvements in vascular endothelial function due to higher physical activity levels (Chui-hui, 2018). Furthermore, MVPA has been associated with favorable biomarker profiles, including insulin sensitivity, triglyceride levels, and overall metabolic health; studies indicate that device-based measures of MVPA are more strongly correlated with these biomarkers compared to self-reported measures (Celis</w:t>
      </w:r>
      <w:r w:rsidRPr="00FD73B4">
        <w:rPr>
          <w:rFonts w:ascii="Cambria Math" w:eastAsia="Times New Roman" w:hAnsi="Cambria Math" w:cs="Cambria Math"/>
        </w:rPr>
        <w:t>‐</w:t>
      </w:r>
      <w:r w:rsidRPr="00FD73B4">
        <w:rPr>
          <w:rFonts w:ascii="Arial" w:eastAsia="Times New Roman" w:hAnsi="Arial" w:cs="Arial"/>
        </w:rPr>
        <w:t xml:space="preserve">Morales et al., 2012; Luke et al., 2011). Current guidelines recommend at least 150 minutes of MVPA per week, a target endorsed by the WHO's 2020 guidelines and supported by the Canadian 24-hour movement guidelines, which advocate for an integrated approach to physical activity and sedentary behavior (Bull et al., 2020; Clarke et al., 2021). Beyond the total volume of activity, patterns of activity and sedentary behavior are increasingly emphasized; extensive sedentary time has been linked to a higher risk of cardiocerebrovascular events, including hypertension (Yu et al., 2018). Definitions of sedentary bouts and breaks have been proposed to better measure sedentary behavior and its health implications (Tremblay et al., 2017). However, the existing evidence base is constrained by a reliance on self-reported data; while accelerometer data can reduce bias, their availability is limited, and issues related to non-participation and measurement discrepancies continue to be discussed in the literature (Weymar et al., </w:t>
      </w:r>
      <w:r w:rsidR="00550147" w:rsidRPr="00FD73B4">
        <w:rPr>
          <w:rFonts w:ascii="Arial" w:eastAsia="Times New Roman" w:hAnsi="Arial" w:cs="Arial"/>
        </w:rPr>
        <w:t>2015; Zbogar</w:t>
      </w:r>
      <w:r w:rsidRPr="00FD73B4">
        <w:rPr>
          <w:rFonts w:ascii="Arial" w:eastAsia="Times New Roman" w:hAnsi="Arial" w:cs="Arial"/>
        </w:rPr>
        <w:t xml:space="preserve"> et al., 2016).</w:t>
      </w:r>
    </w:p>
    <w:p w14:paraId="291A45BB" w14:textId="2EC4D2B8"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 xml:space="preserve">2.2.5 Sedentary </w:t>
      </w:r>
      <w:r w:rsidR="00550147" w:rsidRPr="00FD73B4">
        <w:rPr>
          <w:rFonts w:ascii="Arial" w:eastAsia="Times New Roman" w:hAnsi="Arial" w:cs="Arial"/>
          <w:b/>
          <w:bCs/>
        </w:rPr>
        <w:t>behavior</w:t>
      </w:r>
      <w:r w:rsidRPr="00FD73B4">
        <w:rPr>
          <w:rFonts w:ascii="Arial" w:eastAsia="Times New Roman" w:hAnsi="Arial" w:cs="Arial"/>
          <w:b/>
          <w:bCs/>
        </w:rPr>
        <w:t xml:space="preserve"> as an independent risk factor</w:t>
      </w:r>
    </w:p>
    <w:p w14:paraId="6FF1F20B" w14:textId="4238EB00"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Sedentary </w:t>
      </w:r>
      <w:r w:rsidR="00550147" w:rsidRPr="00FD73B4">
        <w:rPr>
          <w:rFonts w:ascii="Arial" w:eastAsia="Times New Roman" w:hAnsi="Arial" w:cs="Arial"/>
        </w:rPr>
        <w:t>behavior</w:t>
      </w:r>
      <w:r w:rsidRPr="00FD73B4">
        <w:rPr>
          <w:rFonts w:ascii="Arial" w:eastAsia="Times New Roman" w:hAnsi="Arial" w:cs="Arial"/>
        </w:rPr>
        <w:t xml:space="preserve"> (SB) is an independent risk factor for cardiovascular disease (CVD) and stroke, distinct from physical inactivity (Chomistek et al., 2013; Koster et al., 2012; Wondergem et al., 2019). SB predicts incident CVD after adjustment for moderate to vigorous physical activity (MVPA) (Chomistek et al., 2013). Research indicates that increased SB time is linked to mortality independent of MVPA in older adults Koster et al., 2012). In stroke-focused cohorts, prolonged SB is associated with higher stroke risk, with evidence showing that the risk associated with excessive leisure SB (&gt;9 h/d) may be attenuated by higher physical activity levels. Additionally, other stroke cohorts have noted adverse outcomes among those who prolong their sedentary time, emphasizing the risks of a sedentary lifestyle (Wondergem et al., 2019; Joundi et al., 2021). Mechanistic explanations for these associations include the </w:t>
      </w:r>
      <w:r w:rsidRPr="00FD73B4">
        <w:rPr>
          <w:rFonts w:ascii="Arial" w:eastAsia="Times New Roman" w:hAnsi="Arial" w:cs="Arial"/>
        </w:rPr>
        <w:lastRenderedPageBreak/>
        <w:t>suppression of skeletal muscle lipoprotein lipase and reduced glucose uptake, which connect SB to adverse lipid and metabolic profiles beyond total activity (Chomistek et al., 2013; Koster et al., 2012).</w:t>
      </w:r>
    </w:p>
    <w:p w14:paraId="2FDF8B68" w14:textId="526830F2"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Methodological gaps limit synthesis: heterogeneous definitions of SB, reliance on self-reporting, and limited substitution analyses hinder understanding (Fitzgerald et al., 2015). </w:t>
      </w:r>
      <w:r w:rsidR="00550147" w:rsidRPr="00FD73B4">
        <w:rPr>
          <w:rFonts w:ascii="Arial" w:eastAsia="Times New Roman" w:hAnsi="Arial" w:cs="Arial"/>
        </w:rPr>
        <w:t>Is temporal</w:t>
      </w:r>
      <w:r w:rsidRPr="00FD73B4">
        <w:rPr>
          <w:rFonts w:ascii="Arial" w:eastAsia="Times New Roman" w:hAnsi="Arial" w:cs="Arial"/>
        </w:rPr>
        <w:t xml:space="preserve"> substitution </w:t>
      </w:r>
      <w:r w:rsidR="00814BE6" w:rsidRPr="00FD73B4">
        <w:rPr>
          <w:rFonts w:ascii="Arial" w:eastAsia="Times New Roman" w:hAnsi="Arial" w:cs="Arial"/>
        </w:rPr>
        <w:t>suggesting</w:t>
      </w:r>
      <w:r w:rsidRPr="00FD73B4">
        <w:rPr>
          <w:rFonts w:ascii="Arial" w:eastAsia="Times New Roman" w:hAnsi="Arial" w:cs="Arial"/>
        </w:rPr>
        <w:t xml:space="preserve"> health gains might occur when SB is replaced with light physical activity or moderate-to-vigorous activity, supported by studies across various cohorts and specific research on populations with metabolic dysfunction-related liver disease (Hajduk &amp; Chaudhry, 2016; Grgić et al., 2018; Wu et al., 2024). Additional evidence from populations in China also indicates that excessive SB poses considerable health risks (Yu et al., 2018).</w:t>
      </w:r>
    </w:p>
    <w:p w14:paraId="7DCD3022" w14:textId="41382A97" w:rsidR="00D303F6" w:rsidRPr="00FD73B4" w:rsidRDefault="00D303F6" w:rsidP="00E264BA">
      <w:pPr>
        <w:spacing w:after="0" w:line="360" w:lineRule="auto"/>
        <w:rPr>
          <w:rFonts w:ascii="Arial" w:eastAsia="Times New Roman" w:hAnsi="Arial" w:cs="Arial"/>
        </w:rPr>
      </w:pPr>
      <w:r w:rsidRPr="00FD73B4">
        <w:rPr>
          <w:rFonts w:ascii="Arial" w:eastAsia="Times New Roman" w:hAnsi="Arial" w:cs="Arial"/>
          <w:b/>
          <w:bCs/>
        </w:rPr>
        <w:t>2.2.6 Lifestyle clustering and cumulative risk</w:t>
      </w:r>
    </w:p>
    <w:p w14:paraId="43BC93DE"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Unhealthy lifestyle behaviors cluster within individuals and populations, creating cumulative cardiovascular risk. This clustering of diet quality, physical activity, sedentary time, and related factors has been documented across diverse settings and linked to higher cardio-metabolic risk and poorer health-related quality of life (Patino</w:t>
      </w:r>
      <w:r w:rsidRPr="00FD73B4">
        <w:rPr>
          <w:rFonts w:ascii="Cambria Math" w:eastAsia="Times New Roman" w:hAnsi="Cambria Math" w:cs="Cambria Math"/>
        </w:rPr>
        <w:t>‐</w:t>
      </w:r>
      <w:r w:rsidRPr="00FD73B4">
        <w:rPr>
          <w:rFonts w:ascii="Arial" w:eastAsia="Times New Roman" w:hAnsi="Arial" w:cs="Arial"/>
        </w:rPr>
        <w:t>Alonso et al., 2015; Li et al., 2008; Conry et al., 2011), with evidence also from Burkina Faso illustrating co-occurrence of cardiovascular lifestyle risks (Cissé et al., 2022; Tegegne et al., 2022) (latent class findings).</w:t>
      </w:r>
    </w:p>
    <w:p w14:paraId="72CA6294" w14:textId="2C8CE179" w:rsidR="00176465"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Interventions targeting a single behavior may underestimate risk by failing to address co-occurring patterns; integrated lifestyle measures can predict cardiovascular events comparably to simpler, single-factor scores, underscoring the value of addressing cumulative risk in prevention strategies (Tsai et al., </w:t>
      </w:r>
      <w:r w:rsidR="00F6572B" w:rsidRPr="00FD73B4">
        <w:rPr>
          <w:rFonts w:ascii="Arial" w:eastAsia="Times New Roman" w:hAnsi="Arial" w:cs="Arial"/>
        </w:rPr>
        <w:t>2021; Ahn</w:t>
      </w:r>
      <w:r w:rsidRPr="00FD73B4">
        <w:rPr>
          <w:rFonts w:ascii="Arial" w:eastAsia="Times New Roman" w:hAnsi="Arial" w:cs="Arial"/>
        </w:rPr>
        <w:t xml:space="preserve"> et al., 2025). The use of latent class analyses further highlights distinct co-occurrence patterns that can inform tailored prevention in caregivers and general populations (Tegegne et al., 2022), while cross-national clustering </w:t>
      </w:r>
    </w:p>
    <w:p w14:paraId="34818DE1" w14:textId="3EC01923" w:rsidR="00D303F6" w:rsidRPr="00FD73B4" w:rsidRDefault="00D303F6" w:rsidP="00C50846">
      <w:pPr>
        <w:rPr>
          <w:rFonts w:ascii="Arial" w:eastAsia="Times New Roman" w:hAnsi="Arial" w:cs="Arial"/>
        </w:rPr>
      </w:pPr>
      <w:r w:rsidRPr="00FD73B4">
        <w:rPr>
          <w:rFonts w:ascii="Arial" w:eastAsia="Times New Roman" w:hAnsi="Arial" w:cs="Arial"/>
        </w:rPr>
        <w:t>patterns reinforce the need for multi-behavior approaches (Birch et al., 2018; Conry et al., 2011).</w:t>
      </w:r>
    </w:p>
    <w:p w14:paraId="692CCF98" w14:textId="7777777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COM-B framework (with TDF and BCT) offers a theoretically grounded basis for designing multi-behavior interventions that account for social and environmental context, aligning management of clustered risk with practical guidance (Law et al., 2021).</w:t>
      </w:r>
    </w:p>
    <w:p w14:paraId="34DABECE" w14:textId="77777777" w:rsidR="00814BE6" w:rsidRDefault="00814BE6" w:rsidP="00D303F6">
      <w:pPr>
        <w:spacing w:before="100" w:beforeAutospacing="1" w:after="100" w:afterAutospacing="1" w:line="360" w:lineRule="auto"/>
        <w:outlineLvl w:val="2"/>
        <w:rPr>
          <w:rFonts w:ascii="Arial" w:eastAsia="Times New Roman" w:hAnsi="Arial" w:cs="Arial"/>
          <w:b/>
          <w:bCs/>
        </w:rPr>
      </w:pPr>
    </w:p>
    <w:p w14:paraId="606895C0" w14:textId="022A891D"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2.2.7 Genetic susceptibility and lifestyle interaction</w:t>
      </w:r>
    </w:p>
    <w:p w14:paraId="2745CE14" w14:textId="7EEEFCE7"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Polygenic risk scores (PRS) can stratify stroke risk, but genetic risk explains only a modest portion of incidence and offers limited incremental predictive value beyond conventional factors (Ibrahim</w:t>
      </w:r>
      <w:r w:rsidRPr="00FD73B4">
        <w:rPr>
          <w:rFonts w:ascii="Cambria Math" w:eastAsia="Times New Roman" w:hAnsi="Cambria Math" w:cs="Cambria Math"/>
        </w:rPr>
        <w:t>‐</w:t>
      </w:r>
      <w:r w:rsidRPr="00FD73B4">
        <w:rPr>
          <w:rFonts w:ascii="Arial" w:eastAsia="Times New Roman" w:hAnsi="Arial" w:cs="Arial"/>
        </w:rPr>
        <w:t>Verbaas et al., 2014). Nevertheless, adherence to a healthy lifestyle can significantly mitigate genetic risk, underscoring the importance of prevention strategies that focus on lifestyle changes rather than deterministic genetic interpretations (Rutten</w:t>
      </w:r>
      <w:r w:rsidRPr="00FD73B4">
        <w:rPr>
          <w:rFonts w:ascii="Cambria Math" w:eastAsia="Times New Roman" w:hAnsi="Cambria Math" w:cs="Cambria Math"/>
        </w:rPr>
        <w:t>‐</w:t>
      </w:r>
      <w:r w:rsidRPr="00FD73B4">
        <w:rPr>
          <w:rFonts w:ascii="Arial" w:eastAsia="Times New Roman" w:hAnsi="Arial" w:cs="Arial"/>
        </w:rPr>
        <w:t xml:space="preserve">Jacobs et al., 2018; Livingstone et al., 2021). However, evidence for robust gene-lifestyle interactions in large biobank </w:t>
      </w:r>
      <w:r w:rsidR="00F6572B" w:rsidRPr="00FD73B4">
        <w:rPr>
          <w:rFonts w:ascii="Arial" w:eastAsia="Times New Roman" w:hAnsi="Arial" w:cs="Arial"/>
        </w:rPr>
        <w:t>chores</w:t>
      </w:r>
      <w:r w:rsidRPr="00FD73B4">
        <w:rPr>
          <w:rFonts w:ascii="Arial" w:eastAsia="Times New Roman" w:hAnsi="Arial" w:cs="Arial"/>
        </w:rPr>
        <w:t xml:space="preserve"> is heterogeneous, with several studies indicating null or weak interactions, leading to implications for generalizability and health equity (Livingstone et al., 2021; Yun et al., 2021). Some specific interactions do exist, such as the ALDH2 rs671 variant with alcohol consumption influencing stroke risk in particular populations, which highlights potential biological mechanisms, although the findings may not generalize across different populations (Shi et al., 2022; Park, 2024). Collectively, these findings advocate for broad lifestyle modification as a means of stroke prevention while acknowledging that genetics can play a role in risk stratification in a nuanced and non-deterministic way (Rutten</w:t>
      </w:r>
      <w:r w:rsidRPr="00FD73B4">
        <w:rPr>
          <w:rFonts w:ascii="Cambria Math" w:eastAsia="Times New Roman" w:hAnsi="Cambria Math" w:cs="Cambria Math"/>
        </w:rPr>
        <w:t>‐</w:t>
      </w:r>
      <w:r w:rsidRPr="00FD73B4">
        <w:rPr>
          <w:rFonts w:ascii="Arial" w:eastAsia="Times New Roman" w:hAnsi="Arial" w:cs="Arial"/>
        </w:rPr>
        <w:t>Jacobs et al., 2018; Chiuve et al., 2008; Larsson et al., 2014).</w:t>
      </w:r>
    </w:p>
    <w:p w14:paraId="703AB964" w14:textId="683FFEF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 xml:space="preserve">2.2.8 Psychosocial and environmental influences on lifestyle </w:t>
      </w:r>
      <w:r w:rsidR="00F6572B" w:rsidRPr="00FD73B4">
        <w:rPr>
          <w:rFonts w:ascii="Arial" w:eastAsia="Times New Roman" w:hAnsi="Arial" w:cs="Arial"/>
          <w:b/>
          <w:bCs/>
        </w:rPr>
        <w:t>behaviors</w:t>
      </w:r>
    </w:p>
    <w:p w14:paraId="17E72FF6" w14:textId="6C127C2E"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Lifestyle </w:t>
      </w:r>
      <w:r w:rsidR="00F6572B" w:rsidRPr="00FD73B4">
        <w:rPr>
          <w:rFonts w:ascii="Arial" w:eastAsia="Times New Roman" w:hAnsi="Arial" w:cs="Arial"/>
        </w:rPr>
        <w:t>behaviors</w:t>
      </w:r>
      <w:r w:rsidRPr="00FD73B4">
        <w:rPr>
          <w:rFonts w:ascii="Arial" w:eastAsia="Times New Roman" w:hAnsi="Arial" w:cs="Arial"/>
        </w:rPr>
        <w:t xml:space="preserve"> arise from an interplay of psychosocial and environmental factors, rather than from personal choice alone. Qualitative research identifies barriers such as low motivation, limited social support, and inconsistent health messaging, highlighting the importance of psychosocial context in health </w:t>
      </w:r>
      <w:r w:rsidR="00F6572B" w:rsidRPr="00FD73B4">
        <w:rPr>
          <w:rFonts w:ascii="Arial" w:eastAsia="Times New Roman" w:hAnsi="Arial" w:cs="Arial"/>
        </w:rPr>
        <w:t>behavior</w:t>
      </w:r>
      <w:r w:rsidRPr="00FD73B4">
        <w:rPr>
          <w:rFonts w:ascii="Arial" w:eastAsia="Times New Roman" w:hAnsi="Arial" w:cs="Arial"/>
        </w:rPr>
        <w:t xml:space="preserve"> (Alageel et al., 2018). Related research indicates that beliefs, goals, and values regarding activity and diet are socially embedded and influenced by communication and social support (Segar et al., 2017). The </w:t>
      </w:r>
      <w:r w:rsidR="00F6572B" w:rsidRPr="00FD73B4">
        <w:rPr>
          <w:rFonts w:ascii="Arial" w:eastAsia="Times New Roman" w:hAnsi="Arial" w:cs="Arial"/>
        </w:rPr>
        <w:t>Behavior</w:t>
      </w:r>
      <w:r w:rsidRPr="00FD73B4">
        <w:rPr>
          <w:rFonts w:ascii="Arial" w:eastAsia="Times New Roman" w:hAnsi="Arial" w:cs="Arial"/>
        </w:rPr>
        <w:t xml:space="preserve"> Change Wheel’s COM-B framework (capability, opportunity, motivation) provides a unifying lens for these influences in cardiovascular risk reduction and intervention design (Osborn et al., 2016; Walsh et al., 2018). Environmental determinants, such as access to healthy foods, green spaces, and safe areas for activity, consistently shape lifestyle choices; systematic reviews </w:t>
      </w:r>
      <w:r w:rsidR="00F6572B" w:rsidRPr="00FD73B4">
        <w:rPr>
          <w:rFonts w:ascii="Arial" w:eastAsia="Times New Roman" w:hAnsi="Arial" w:cs="Arial"/>
        </w:rPr>
        <w:t>link-built</w:t>
      </w:r>
      <w:r w:rsidRPr="00FD73B4">
        <w:rPr>
          <w:rFonts w:ascii="Arial" w:eastAsia="Times New Roman" w:hAnsi="Arial" w:cs="Arial"/>
        </w:rPr>
        <w:t xml:space="preserve"> environment attributes with cardiometabolic outcomes, highlighting context-dependent effects (Malambo et al., 2016; Chandrabose et al., 2018). Evidence regarding environmental exposures, including air pollution and heat, and their association with cerebrovascular risk is mixed, emphasizing the need for context-sensitive interpretation (Letellier et al., 2022). Consequently, multisectoral, theory-driven </w:t>
      </w:r>
      <w:r w:rsidRPr="00FD73B4">
        <w:rPr>
          <w:rFonts w:ascii="Arial" w:eastAsia="Times New Roman" w:hAnsi="Arial" w:cs="Arial"/>
        </w:rPr>
        <w:lastRenderedPageBreak/>
        <w:t>approaches and tailored eHealth tools based on COM-B/BCT principles offer practical strategies for cardiovascular risk reduction (Osborn et al., 2016; Walsh et al., 2018; Lakerveld et al., 2013).</w:t>
      </w:r>
    </w:p>
    <w:p w14:paraId="1B27A2F2" w14:textId="7777777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2.2.9 Limitations of existing research</w:t>
      </w:r>
    </w:p>
    <w:p w14:paraId="5AA2E8B1" w14:textId="77777777" w:rsidR="00D303F6" w:rsidRPr="00FD73B4" w:rsidRDefault="00D303F6" w:rsidP="00D303F6">
      <w:pPr>
        <w:numPr>
          <w:ilvl w:val="0"/>
          <w:numId w:val="20"/>
        </w:numPr>
        <w:spacing w:before="100" w:beforeAutospacing="1" w:after="100" w:afterAutospacing="1" w:line="360" w:lineRule="auto"/>
        <w:rPr>
          <w:rFonts w:ascii="Arial" w:eastAsia="Times New Roman" w:hAnsi="Arial" w:cs="Arial"/>
        </w:rPr>
      </w:pPr>
      <w:r w:rsidRPr="00FD73B4">
        <w:rPr>
          <w:rFonts w:ascii="Arial" w:eastAsia="Times New Roman" w:hAnsi="Arial" w:cs="Arial"/>
        </w:rPr>
        <w:t>Observational designs predominate and constrain causal inference due to residual confounding and potential reverse causation; methods such as Mendelian randomization and counterfactual approaches, while employed to mitigate bias, do not guarantee exchangeability in observational data (Haycock et al., 2016; Suzuki et al., 2013; Jiang &amp; Alfredsson, 2020).</w:t>
      </w:r>
    </w:p>
    <w:p w14:paraId="36C5B2C8" w14:textId="77777777" w:rsidR="00D303F6" w:rsidRPr="00FD73B4" w:rsidRDefault="00D303F6" w:rsidP="00D303F6">
      <w:pPr>
        <w:numPr>
          <w:ilvl w:val="0"/>
          <w:numId w:val="20"/>
        </w:numPr>
        <w:spacing w:before="100" w:beforeAutospacing="1" w:after="100" w:afterAutospacing="1" w:line="360" w:lineRule="auto"/>
        <w:rPr>
          <w:rFonts w:ascii="Arial" w:eastAsia="Times New Roman" w:hAnsi="Arial" w:cs="Arial"/>
        </w:rPr>
      </w:pPr>
      <w:r w:rsidRPr="00FD73B4">
        <w:rPr>
          <w:rFonts w:ascii="Arial" w:eastAsia="Times New Roman" w:hAnsi="Arial" w:cs="Arial"/>
        </w:rPr>
        <w:t>Reliance on self-reported lifestyle measures introduces measurement error; objective assessments frequently yield attenuated or differing associations, underscoring the impact of measurement error on effect estimates (Sarris et al., 2020, Celis</w:t>
      </w:r>
      <w:r w:rsidRPr="00FD73B4">
        <w:rPr>
          <w:rFonts w:ascii="Cambria Math" w:eastAsia="Times New Roman" w:hAnsi="Cambria Math" w:cs="Cambria Math"/>
        </w:rPr>
        <w:t>‐</w:t>
      </w:r>
      <w:r w:rsidRPr="00FD73B4">
        <w:rPr>
          <w:rFonts w:ascii="Arial" w:eastAsia="Times New Roman" w:hAnsi="Arial" w:cs="Arial"/>
        </w:rPr>
        <w:t>Morales et al., 2012).</w:t>
      </w:r>
    </w:p>
    <w:p w14:paraId="59686C62" w14:textId="77777777" w:rsidR="00D303F6" w:rsidRPr="00FD73B4" w:rsidRDefault="00D303F6" w:rsidP="00D303F6">
      <w:pPr>
        <w:numPr>
          <w:ilvl w:val="0"/>
          <w:numId w:val="20"/>
        </w:numPr>
        <w:spacing w:before="100" w:beforeAutospacing="1" w:after="100" w:afterAutospacing="1" w:line="360" w:lineRule="auto"/>
        <w:rPr>
          <w:rFonts w:ascii="Arial" w:eastAsia="Times New Roman" w:hAnsi="Arial" w:cs="Arial"/>
        </w:rPr>
      </w:pPr>
      <w:r w:rsidRPr="00FD73B4">
        <w:rPr>
          <w:rFonts w:ascii="Arial" w:eastAsia="Times New Roman" w:hAnsi="Arial" w:cs="Arial"/>
        </w:rPr>
        <w:t>Much evidence derives from healthier, less deprived populations (e.g., UK Biobank), limiting generalizability to high-risk groups (Sarris et al., 2020).</w:t>
      </w:r>
    </w:p>
    <w:p w14:paraId="1612E19E" w14:textId="77777777" w:rsidR="00D303F6" w:rsidRPr="00FD73B4" w:rsidRDefault="00D303F6" w:rsidP="00D303F6">
      <w:pPr>
        <w:numPr>
          <w:ilvl w:val="0"/>
          <w:numId w:val="20"/>
        </w:numPr>
        <w:spacing w:before="100" w:beforeAutospacing="1" w:after="100" w:afterAutospacing="1" w:line="360" w:lineRule="auto"/>
        <w:rPr>
          <w:rFonts w:ascii="Arial" w:eastAsia="Times New Roman" w:hAnsi="Arial" w:cs="Arial"/>
        </w:rPr>
      </w:pPr>
      <w:r w:rsidRPr="00FD73B4">
        <w:rPr>
          <w:rFonts w:ascii="Arial" w:eastAsia="Times New Roman" w:hAnsi="Arial" w:cs="Arial"/>
        </w:rPr>
        <w:t>International studies (e.g., EPIC/InterAct) dominate the literature, with UK-focused syntheses comparatively scarce, highlighting the need for a focused UK-based evidence review to inform policy (Langenberg et al., 2011).</w:t>
      </w:r>
    </w:p>
    <w:p w14:paraId="6D662118" w14:textId="12D1CAC7" w:rsidR="00D303F6" w:rsidRPr="00FD73B4" w:rsidRDefault="00D303F6" w:rsidP="00D303F6">
      <w:pPr>
        <w:spacing w:after="0" w:line="360" w:lineRule="auto"/>
        <w:rPr>
          <w:rFonts w:ascii="Arial" w:eastAsia="Times New Roman" w:hAnsi="Arial" w:cs="Arial"/>
        </w:rPr>
      </w:pPr>
      <w:r w:rsidRPr="00FD73B4">
        <w:rPr>
          <w:rFonts w:ascii="Arial" w:eastAsia="Times New Roman" w:hAnsi="Arial" w:cs="Arial"/>
        </w:rPr>
        <w:t xml:space="preserve">Furthermore, international studies dominate </w:t>
      </w:r>
      <w:r w:rsidR="00F6572B" w:rsidRPr="00FD73B4">
        <w:rPr>
          <w:rFonts w:ascii="Arial" w:eastAsia="Times New Roman" w:hAnsi="Arial" w:cs="Arial"/>
        </w:rPr>
        <w:t>literature</w:t>
      </w:r>
      <w:r w:rsidRPr="00FD73B4">
        <w:rPr>
          <w:rFonts w:ascii="Arial" w:eastAsia="Times New Roman" w:hAnsi="Arial" w:cs="Arial"/>
        </w:rPr>
        <w:t>, with fewer UK-specific syntheses available. This limits the relevance of findings to national policy and practice and reinforces the need for a focused review of UK-based evidence.</w:t>
      </w:r>
    </w:p>
    <w:p w14:paraId="4A05CD4E" w14:textId="77777777" w:rsidR="00D303F6" w:rsidRPr="00FD73B4" w:rsidRDefault="00D303F6" w:rsidP="00D303F6">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2.2.10 Rationale for the present systematic literature review</w:t>
      </w:r>
    </w:p>
    <w:p w14:paraId="5BA21169" w14:textId="6B657EB0"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Given the fragmented and heterogeneous nature of existing research, there is a clear need for systematic synthesis of UK-based evidence examining lifestyle </w:t>
      </w:r>
      <w:r w:rsidR="00F6572B" w:rsidRPr="00FD73B4">
        <w:rPr>
          <w:rFonts w:ascii="Arial" w:eastAsia="Times New Roman" w:hAnsi="Arial" w:cs="Arial"/>
        </w:rPr>
        <w:t>behaviors</w:t>
      </w:r>
      <w:r w:rsidRPr="00FD73B4">
        <w:rPr>
          <w:rFonts w:ascii="Arial" w:eastAsia="Times New Roman" w:hAnsi="Arial" w:cs="Arial"/>
        </w:rPr>
        <w:t xml:space="preserve"> and stroke risk. A systematic literature review allows for rigorous identification, appraisal, and synthesis of existing studies, facilitating clearer interpretation of patterns, inconsistencies, and gaps.</w:t>
      </w:r>
    </w:p>
    <w:p w14:paraId="1D38FFB0" w14:textId="77777777" w:rsidR="00814BE6" w:rsidRDefault="00D303F6" w:rsidP="00814BE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By focusing exclusively on UK-based studies, the present review addresses limitations in </w:t>
      </w:r>
      <w:r w:rsidR="00E61E92" w:rsidRPr="00FD73B4">
        <w:rPr>
          <w:rFonts w:ascii="Arial" w:eastAsia="Times New Roman" w:hAnsi="Arial" w:cs="Arial"/>
        </w:rPr>
        <w:t>generalizability</w:t>
      </w:r>
      <w:r w:rsidRPr="00FD73B4">
        <w:rPr>
          <w:rFonts w:ascii="Arial" w:eastAsia="Times New Roman" w:hAnsi="Arial" w:cs="Arial"/>
        </w:rPr>
        <w:t xml:space="preserve"> and enhances relevance to national public health policy. The thematic synthesis approach adopted in this dissertation enables integration of diverse evidence, including quantitative and qualitative research, providing a comprehensive understanding of lifestyle-related stroke prevention.</w:t>
      </w:r>
    </w:p>
    <w:p w14:paraId="7DEEA7A4" w14:textId="355872CD" w:rsidR="00D303F6" w:rsidRPr="00814BE6" w:rsidRDefault="00D303F6" w:rsidP="00814BE6">
      <w:pPr>
        <w:spacing w:before="100" w:beforeAutospacing="1" w:after="100" w:afterAutospacing="1" w:line="360" w:lineRule="auto"/>
        <w:rPr>
          <w:rFonts w:ascii="Arial" w:eastAsia="Times New Roman" w:hAnsi="Arial" w:cs="Arial"/>
        </w:rPr>
      </w:pPr>
      <w:r w:rsidRPr="00FD73B4">
        <w:rPr>
          <w:rFonts w:ascii="Arial" w:eastAsia="Times New Roman" w:hAnsi="Arial" w:cs="Arial"/>
          <w:b/>
          <w:bCs/>
        </w:rPr>
        <w:lastRenderedPageBreak/>
        <w:t>2.3 Chapter Summary</w:t>
      </w:r>
    </w:p>
    <w:p w14:paraId="47A24347" w14:textId="390C3321" w:rsidR="00D303F6" w:rsidRPr="00FD73B4" w:rsidRDefault="00D303F6" w:rsidP="00D303F6">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chapter critically reviewed existing literature on lifestyle </w:t>
      </w:r>
      <w:r w:rsidR="00F6572B" w:rsidRPr="00FD73B4">
        <w:rPr>
          <w:rFonts w:ascii="Arial" w:eastAsia="Times New Roman" w:hAnsi="Arial" w:cs="Arial"/>
        </w:rPr>
        <w:t>behaviors</w:t>
      </w:r>
      <w:r w:rsidRPr="00FD73B4">
        <w:rPr>
          <w:rFonts w:ascii="Arial" w:eastAsia="Times New Roman" w:hAnsi="Arial" w:cs="Arial"/>
        </w:rPr>
        <w:t xml:space="preserve"> and stroke risk, highlighting key themes, methodological strengths, and limitations within the evidence base. The review demonstrated that diet, physical activity, sedentary </w:t>
      </w:r>
      <w:r w:rsidR="00F6572B" w:rsidRPr="00FD73B4">
        <w:rPr>
          <w:rFonts w:ascii="Arial" w:eastAsia="Times New Roman" w:hAnsi="Arial" w:cs="Arial"/>
        </w:rPr>
        <w:t>behavior</w:t>
      </w:r>
      <w:r w:rsidRPr="00FD73B4">
        <w:rPr>
          <w:rFonts w:ascii="Arial" w:eastAsia="Times New Roman" w:hAnsi="Arial" w:cs="Arial"/>
        </w:rPr>
        <w:t>, lifestyle clustering, genetic susceptibility, and psychosocial factors are central to stroke prevention, while also identifying important gaps and inconsistencies in existing research. These findings establish a clear rationale for the systematic literature review methodology adopted in Chapter 3, which outlines the design, search strategy, and analytical approach used in the present study.</w:t>
      </w:r>
    </w:p>
    <w:p w14:paraId="36FBC8A5" w14:textId="77777777" w:rsidR="00D303F6" w:rsidRPr="00FD73B4" w:rsidRDefault="00D303F6" w:rsidP="00D303F6">
      <w:pPr>
        <w:spacing w:line="360" w:lineRule="auto"/>
        <w:rPr>
          <w:rFonts w:ascii="Arial" w:eastAsia="Calibri" w:hAnsi="Arial" w:cs="Arial"/>
        </w:rPr>
      </w:pPr>
    </w:p>
    <w:p w14:paraId="1FD79873" w14:textId="77777777" w:rsidR="00D303F6" w:rsidRPr="00FD73B4" w:rsidRDefault="00D303F6" w:rsidP="00D303F6">
      <w:pPr>
        <w:pStyle w:val="Heading1"/>
        <w:spacing w:line="360" w:lineRule="auto"/>
        <w:rPr>
          <w:rStyle w:val="Strong"/>
          <w:rFonts w:ascii="Arial" w:hAnsi="Arial" w:cs="Arial"/>
          <w:bCs w:val="0"/>
          <w:sz w:val="22"/>
          <w:szCs w:val="22"/>
        </w:rPr>
      </w:pPr>
    </w:p>
    <w:p w14:paraId="7D38F464" w14:textId="77777777" w:rsidR="00D303F6" w:rsidRPr="00FD73B4" w:rsidRDefault="00D303F6" w:rsidP="00F948DC">
      <w:pPr>
        <w:pStyle w:val="Heading1"/>
        <w:spacing w:line="360" w:lineRule="auto"/>
        <w:jc w:val="center"/>
        <w:rPr>
          <w:rStyle w:val="Strong"/>
          <w:rFonts w:ascii="Arial" w:hAnsi="Arial" w:cs="Arial"/>
          <w:bCs w:val="0"/>
          <w:sz w:val="22"/>
          <w:szCs w:val="22"/>
        </w:rPr>
      </w:pPr>
    </w:p>
    <w:p w14:paraId="02C3936F" w14:textId="77777777" w:rsidR="00D303F6" w:rsidRPr="00FD73B4" w:rsidRDefault="00D303F6" w:rsidP="00F948DC">
      <w:pPr>
        <w:pStyle w:val="Heading1"/>
        <w:spacing w:line="360" w:lineRule="auto"/>
        <w:jc w:val="center"/>
        <w:rPr>
          <w:rStyle w:val="Strong"/>
          <w:rFonts w:ascii="Arial" w:hAnsi="Arial" w:cs="Arial"/>
          <w:bCs w:val="0"/>
          <w:sz w:val="22"/>
          <w:szCs w:val="22"/>
        </w:rPr>
      </w:pPr>
    </w:p>
    <w:p w14:paraId="0C196F8E" w14:textId="77777777" w:rsidR="00D303F6" w:rsidRPr="00FD73B4" w:rsidRDefault="00D303F6" w:rsidP="00F948DC">
      <w:pPr>
        <w:pStyle w:val="Heading1"/>
        <w:spacing w:line="360" w:lineRule="auto"/>
        <w:jc w:val="center"/>
        <w:rPr>
          <w:rStyle w:val="Strong"/>
          <w:rFonts w:ascii="Arial" w:hAnsi="Arial" w:cs="Arial"/>
          <w:bCs w:val="0"/>
          <w:sz w:val="22"/>
          <w:szCs w:val="22"/>
        </w:rPr>
      </w:pPr>
    </w:p>
    <w:p w14:paraId="1A35863F" w14:textId="77777777" w:rsidR="00D303F6" w:rsidRPr="00FD73B4" w:rsidRDefault="00D303F6" w:rsidP="00F948DC">
      <w:pPr>
        <w:pStyle w:val="Heading1"/>
        <w:spacing w:line="360" w:lineRule="auto"/>
        <w:jc w:val="center"/>
        <w:rPr>
          <w:rStyle w:val="Strong"/>
          <w:rFonts w:ascii="Arial" w:hAnsi="Arial" w:cs="Arial"/>
          <w:bCs w:val="0"/>
          <w:sz w:val="22"/>
          <w:szCs w:val="22"/>
        </w:rPr>
      </w:pPr>
    </w:p>
    <w:p w14:paraId="59E6F514" w14:textId="77777777" w:rsidR="00C50846" w:rsidRPr="00FD73B4" w:rsidRDefault="00C50846" w:rsidP="00F6572B">
      <w:pPr>
        <w:rPr>
          <w:rStyle w:val="Strong"/>
          <w:rFonts w:ascii="Arial" w:hAnsi="Arial" w:cs="Arial"/>
          <w:bCs w:val="0"/>
        </w:rPr>
      </w:pPr>
    </w:p>
    <w:p w14:paraId="2F540311" w14:textId="77777777" w:rsidR="00C50846" w:rsidRPr="00FD73B4" w:rsidRDefault="00C50846" w:rsidP="00F6572B">
      <w:pPr>
        <w:rPr>
          <w:rStyle w:val="Strong"/>
          <w:rFonts w:ascii="Arial" w:hAnsi="Arial" w:cs="Arial"/>
          <w:bCs w:val="0"/>
        </w:rPr>
      </w:pPr>
    </w:p>
    <w:p w14:paraId="2319A998" w14:textId="77777777" w:rsidR="00C50846" w:rsidRPr="00FD73B4" w:rsidRDefault="00C50846" w:rsidP="00F6572B">
      <w:pPr>
        <w:rPr>
          <w:rStyle w:val="Strong"/>
          <w:rFonts w:ascii="Arial" w:hAnsi="Arial" w:cs="Arial"/>
          <w:bCs w:val="0"/>
        </w:rPr>
      </w:pPr>
    </w:p>
    <w:p w14:paraId="61FE6BE9" w14:textId="77777777" w:rsidR="00FD73B4" w:rsidRDefault="00FD73B4" w:rsidP="00C50846">
      <w:pPr>
        <w:jc w:val="center"/>
        <w:rPr>
          <w:rStyle w:val="Strong"/>
          <w:rFonts w:ascii="Arial" w:hAnsi="Arial" w:cs="Arial"/>
          <w:bCs w:val="0"/>
        </w:rPr>
      </w:pPr>
    </w:p>
    <w:p w14:paraId="2D136091" w14:textId="77777777" w:rsidR="00FD73B4" w:rsidRDefault="00FD73B4" w:rsidP="00C50846">
      <w:pPr>
        <w:jc w:val="center"/>
        <w:rPr>
          <w:rStyle w:val="Strong"/>
          <w:rFonts w:ascii="Arial" w:hAnsi="Arial" w:cs="Arial"/>
          <w:bCs w:val="0"/>
        </w:rPr>
      </w:pPr>
    </w:p>
    <w:p w14:paraId="6704688F" w14:textId="77777777" w:rsidR="00FD73B4" w:rsidRDefault="00FD73B4" w:rsidP="00C50846">
      <w:pPr>
        <w:jc w:val="center"/>
        <w:rPr>
          <w:rStyle w:val="Strong"/>
          <w:rFonts w:ascii="Arial" w:hAnsi="Arial" w:cs="Arial"/>
          <w:bCs w:val="0"/>
        </w:rPr>
      </w:pPr>
    </w:p>
    <w:p w14:paraId="4C269EDC" w14:textId="77777777" w:rsidR="00FD73B4" w:rsidRDefault="00FD73B4" w:rsidP="00C50846">
      <w:pPr>
        <w:jc w:val="center"/>
        <w:rPr>
          <w:rStyle w:val="Strong"/>
          <w:rFonts w:ascii="Arial" w:hAnsi="Arial" w:cs="Arial"/>
          <w:bCs w:val="0"/>
        </w:rPr>
      </w:pPr>
    </w:p>
    <w:p w14:paraId="776DFE44" w14:textId="77777777" w:rsidR="00FD73B4" w:rsidRDefault="00FD73B4" w:rsidP="00C50846">
      <w:pPr>
        <w:jc w:val="center"/>
        <w:rPr>
          <w:rStyle w:val="Strong"/>
          <w:rFonts w:ascii="Arial" w:hAnsi="Arial" w:cs="Arial"/>
          <w:bCs w:val="0"/>
        </w:rPr>
      </w:pPr>
    </w:p>
    <w:p w14:paraId="5F764160" w14:textId="77777777" w:rsidR="00FD73B4" w:rsidRDefault="00FD73B4" w:rsidP="00C50846">
      <w:pPr>
        <w:jc w:val="center"/>
        <w:rPr>
          <w:rStyle w:val="Strong"/>
          <w:rFonts w:ascii="Arial" w:hAnsi="Arial" w:cs="Arial"/>
          <w:bCs w:val="0"/>
        </w:rPr>
      </w:pPr>
    </w:p>
    <w:p w14:paraId="43828858" w14:textId="77777777" w:rsidR="00FD73B4" w:rsidRDefault="00FD73B4" w:rsidP="00C50846">
      <w:pPr>
        <w:jc w:val="center"/>
        <w:rPr>
          <w:rStyle w:val="Strong"/>
          <w:rFonts w:ascii="Arial" w:hAnsi="Arial" w:cs="Arial"/>
          <w:bCs w:val="0"/>
        </w:rPr>
      </w:pPr>
    </w:p>
    <w:p w14:paraId="2B57274B" w14:textId="77777777" w:rsidR="00FD73B4" w:rsidRDefault="00FD73B4" w:rsidP="00C50846">
      <w:pPr>
        <w:jc w:val="center"/>
        <w:rPr>
          <w:rStyle w:val="Strong"/>
          <w:rFonts w:ascii="Arial" w:hAnsi="Arial" w:cs="Arial"/>
          <w:bCs w:val="0"/>
        </w:rPr>
      </w:pPr>
    </w:p>
    <w:p w14:paraId="7A208074" w14:textId="77777777" w:rsidR="00FD73B4" w:rsidRDefault="00FD73B4" w:rsidP="00C50846">
      <w:pPr>
        <w:jc w:val="center"/>
        <w:rPr>
          <w:rStyle w:val="Strong"/>
          <w:rFonts w:ascii="Arial" w:hAnsi="Arial" w:cs="Arial"/>
          <w:bCs w:val="0"/>
        </w:rPr>
      </w:pPr>
    </w:p>
    <w:p w14:paraId="5A551479" w14:textId="77777777" w:rsidR="00FD73B4" w:rsidRDefault="00FD73B4" w:rsidP="00C50846">
      <w:pPr>
        <w:jc w:val="center"/>
        <w:rPr>
          <w:rStyle w:val="Strong"/>
          <w:rFonts w:ascii="Arial" w:hAnsi="Arial" w:cs="Arial"/>
          <w:bCs w:val="0"/>
        </w:rPr>
      </w:pPr>
    </w:p>
    <w:p w14:paraId="38225C91" w14:textId="77777777" w:rsidR="00FD73B4" w:rsidRDefault="00FD73B4" w:rsidP="00C50846">
      <w:pPr>
        <w:jc w:val="center"/>
        <w:rPr>
          <w:rStyle w:val="Strong"/>
          <w:rFonts w:ascii="Arial" w:hAnsi="Arial" w:cs="Arial"/>
          <w:bCs w:val="0"/>
        </w:rPr>
      </w:pPr>
    </w:p>
    <w:p w14:paraId="5AE9CEE8" w14:textId="0CFF45B8" w:rsidR="00EE3021" w:rsidRPr="00FD73B4" w:rsidRDefault="00EE3021" w:rsidP="00C50846">
      <w:pPr>
        <w:jc w:val="center"/>
        <w:rPr>
          <w:rFonts w:ascii="Arial" w:hAnsi="Arial" w:cs="Arial"/>
          <w:color w:val="000000" w:themeColor="text1"/>
          <w:sz w:val="24"/>
          <w:szCs w:val="24"/>
        </w:rPr>
      </w:pPr>
      <w:r w:rsidRPr="00FD73B4">
        <w:rPr>
          <w:rStyle w:val="Strong"/>
          <w:rFonts w:ascii="Arial" w:hAnsi="Arial" w:cs="Arial"/>
          <w:bCs w:val="0"/>
          <w:sz w:val="24"/>
          <w:szCs w:val="24"/>
        </w:rPr>
        <w:lastRenderedPageBreak/>
        <w:t>CHAPTER 3: METHODOLOGY</w:t>
      </w:r>
    </w:p>
    <w:p w14:paraId="57C8CB05" w14:textId="77777777" w:rsidR="00C50846" w:rsidRPr="00FD73B4" w:rsidRDefault="00C50846" w:rsidP="00F948DC">
      <w:pPr>
        <w:pStyle w:val="Heading2"/>
        <w:spacing w:line="360" w:lineRule="auto"/>
        <w:rPr>
          <w:rStyle w:val="Strong"/>
          <w:rFonts w:ascii="Arial" w:hAnsi="Arial" w:cs="Arial"/>
          <w:b/>
          <w:bCs/>
          <w:color w:val="000000" w:themeColor="text1"/>
          <w:sz w:val="22"/>
          <w:szCs w:val="22"/>
        </w:rPr>
      </w:pPr>
    </w:p>
    <w:p w14:paraId="56B38D38" w14:textId="2A8BFF2A" w:rsidR="00EE3021" w:rsidRPr="00FD73B4" w:rsidRDefault="00EE3021" w:rsidP="00F948DC">
      <w:pPr>
        <w:pStyle w:val="Heading2"/>
        <w:spacing w:line="360" w:lineRule="auto"/>
        <w:rPr>
          <w:rFonts w:ascii="Arial" w:hAnsi="Arial" w:cs="Arial"/>
          <w:color w:val="000000" w:themeColor="text1"/>
          <w:sz w:val="22"/>
          <w:szCs w:val="22"/>
        </w:rPr>
      </w:pPr>
      <w:r w:rsidRPr="00FD73B4">
        <w:rPr>
          <w:rStyle w:val="Strong"/>
          <w:rFonts w:ascii="Arial" w:hAnsi="Arial" w:cs="Arial"/>
          <w:b/>
          <w:bCs/>
          <w:color w:val="000000" w:themeColor="text1"/>
          <w:sz w:val="22"/>
          <w:szCs w:val="22"/>
        </w:rPr>
        <w:t>3.1 Introduction</w:t>
      </w:r>
    </w:p>
    <w:p w14:paraId="413D8F9C" w14:textId="3BA418CF"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This chapter outlines the methodological approach employed in this dissertation to systematically examine the impact of lifestyle </w:t>
      </w:r>
      <w:r w:rsidR="00E147CE" w:rsidRPr="00FD73B4">
        <w:rPr>
          <w:rFonts w:ascii="Arial" w:hAnsi="Arial" w:cs="Arial"/>
          <w:sz w:val="22"/>
          <w:szCs w:val="22"/>
        </w:rPr>
        <w:t>behaviors</w:t>
      </w:r>
      <w:r w:rsidRPr="00FD73B4">
        <w:rPr>
          <w:rFonts w:ascii="Arial" w:hAnsi="Arial" w:cs="Arial"/>
          <w:sz w:val="22"/>
          <w:szCs w:val="22"/>
        </w:rPr>
        <w:t xml:space="preserve">, dietary patterns, and physical activity on stroke incidence among adults in the United Kingdom. Stroke remains a leading cause of mortality, morbidity, and long-term disability, and the influence of modifiable </w:t>
      </w:r>
      <w:r w:rsidR="00E147CE" w:rsidRPr="00FD73B4">
        <w:rPr>
          <w:rFonts w:ascii="Arial" w:hAnsi="Arial" w:cs="Arial"/>
          <w:sz w:val="22"/>
          <w:szCs w:val="22"/>
        </w:rPr>
        <w:t>behaviors</w:t>
      </w:r>
      <w:r w:rsidRPr="00FD73B4">
        <w:rPr>
          <w:rFonts w:ascii="Arial" w:hAnsi="Arial" w:cs="Arial"/>
          <w:sz w:val="22"/>
          <w:szCs w:val="22"/>
        </w:rPr>
        <w:t xml:space="preserve"> has become a critical component of prevention-focused public health strategies. To achieve a comprehensive and unbiased understanding of existing evidence, a </w:t>
      </w:r>
      <w:r w:rsidRPr="00FD73B4">
        <w:rPr>
          <w:rStyle w:val="Strong"/>
          <w:rFonts w:ascii="Arial" w:hAnsi="Arial" w:cs="Arial"/>
          <w:b w:val="0"/>
          <w:sz w:val="22"/>
          <w:szCs w:val="22"/>
        </w:rPr>
        <w:t>Systematic Literature Review (SLR)</w:t>
      </w:r>
      <w:r w:rsidRPr="00FD73B4">
        <w:rPr>
          <w:rFonts w:ascii="Arial" w:hAnsi="Arial" w:cs="Arial"/>
          <w:sz w:val="22"/>
          <w:szCs w:val="22"/>
        </w:rPr>
        <w:t xml:space="preserve"> was conducted, following established academic and methodological standards.</w:t>
      </w:r>
    </w:p>
    <w:p w14:paraId="71BB2D95" w14:textId="326BE18B"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The chapter describes the theoretical foundations of the review, including the rationale for selecting an SLR design, the use of structured frameworks to identify relevant literature, the development of a robust search strategy, and the criteria applied in screening and selecting studies. It also outlines the data extraction process, quality appraisal techniques, ethical considerations, and the overall structure guiding the synthesis. The purpose of this chapter is to ensure transparency, replicability, and methodological </w:t>
      </w:r>
      <w:r w:rsidR="00F6572B" w:rsidRPr="00FD73B4">
        <w:rPr>
          <w:rFonts w:ascii="Arial" w:hAnsi="Arial" w:cs="Arial"/>
          <w:sz w:val="22"/>
          <w:szCs w:val="22"/>
        </w:rPr>
        <w:t>rigor</w:t>
      </w:r>
      <w:r w:rsidRPr="00FD73B4">
        <w:rPr>
          <w:rFonts w:ascii="Arial" w:hAnsi="Arial" w:cs="Arial"/>
          <w:sz w:val="22"/>
          <w:szCs w:val="22"/>
        </w:rPr>
        <w:t xml:space="preserve"> in evaluating existing evidence concerning lifestyle influences on stroke risk in the UK adult population.</w:t>
      </w:r>
    </w:p>
    <w:p w14:paraId="34D0AC22"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3.2 Systematic Literature Review Approach</w:t>
      </w:r>
    </w:p>
    <w:p w14:paraId="446869B2" w14:textId="6F0FDF2F"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A Systematic Literature Review is a structured and replicable method for identifying, evaluating, and </w:t>
      </w:r>
      <w:r w:rsidR="00F6572B" w:rsidRPr="00FD73B4">
        <w:rPr>
          <w:rFonts w:ascii="Arial" w:hAnsi="Arial" w:cs="Arial"/>
          <w:sz w:val="22"/>
          <w:szCs w:val="22"/>
        </w:rPr>
        <w:t>synthesizing</w:t>
      </w:r>
      <w:r w:rsidRPr="00FD73B4">
        <w:rPr>
          <w:rFonts w:ascii="Arial" w:hAnsi="Arial" w:cs="Arial"/>
          <w:sz w:val="22"/>
          <w:szCs w:val="22"/>
        </w:rPr>
        <w:t xml:space="preserve"> existing research on a clearly defined topic (Boland et al., 2017). Unlike narrative reviews, SLRs </w:t>
      </w:r>
      <w:r w:rsidR="00F6572B" w:rsidRPr="00FD73B4">
        <w:rPr>
          <w:rFonts w:ascii="Arial" w:hAnsi="Arial" w:cs="Arial"/>
          <w:sz w:val="22"/>
          <w:szCs w:val="22"/>
        </w:rPr>
        <w:t>minimize</w:t>
      </w:r>
      <w:r w:rsidRPr="00FD73B4">
        <w:rPr>
          <w:rFonts w:ascii="Arial" w:hAnsi="Arial" w:cs="Arial"/>
          <w:sz w:val="22"/>
          <w:szCs w:val="22"/>
        </w:rPr>
        <w:t xml:space="preserve"> selection bias by employing transparent and pre-specified procedures. This approach was selected as the most appropriate method to consolidate empirical evidence on lifestyle, diet, and physical activity as determinants of stroke incidence in UK adults.</w:t>
      </w:r>
    </w:p>
    <w:p w14:paraId="74ABA73B" w14:textId="449FB423"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The SLR followed internationally </w:t>
      </w:r>
      <w:r w:rsidR="00F6572B" w:rsidRPr="00FD73B4">
        <w:rPr>
          <w:rFonts w:ascii="Arial" w:hAnsi="Arial" w:cs="Arial"/>
          <w:sz w:val="22"/>
          <w:szCs w:val="22"/>
        </w:rPr>
        <w:t>recognized</w:t>
      </w:r>
      <w:r w:rsidRPr="00FD73B4">
        <w:rPr>
          <w:rFonts w:ascii="Arial" w:hAnsi="Arial" w:cs="Arial"/>
          <w:sz w:val="22"/>
          <w:szCs w:val="22"/>
        </w:rPr>
        <w:t xml:space="preserve"> guidelines, including the </w:t>
      </w:r>
      <w:r w:rsidRPr="00FD73B4">
        <w:rPr>
          <w:rStyle w:val="Strong"/>
          <w:rFonts w:ascii="Arial" w:hAnsi="Arial" w:cs="Arial"/>
          <w:b w:val="0"/>
          <w:sz w:val="22"/>
          <w:szCs w:val="22"/>
        </w:rPr>
        <w:t>Preferred Reporting Items for Systematic Reviews and Meta-Analyses (PRISMA)</w:t>
      </w:r>
      <w:r w:rsidRPr="00FD73B4">
        <w:rPr>
          <w:rFonts w:ascii="Arial" w:hAnsi="Arial" w:cs="Arial"/>
          <w:sz w:val="22"/>
          <w:szCs w:val="22"/>
        </w:rPr>
        <w:t xml:space="preserve"> standards. The review proceeded through the following key stages:</w:t>
      </w:r>
    </w:p>
    <w:p w14:paraId="12953F3E" w14:textId="77777777" w:rsidR="00C50846" w:rsidRPr="00FD73B4" w:rsidRDefault="00C50846" w:rsidP="00C50846">
      <w:pPr>
        <w:pStyle w:val="NormalWeb"/>
        <w:spacing w:line="360" w:lineRule="auto"/>
        <w:ind w:left="720"/>
        <w:rPr>
          <w:rStyle w:val="Strong"/>
          <w:rFonts w:ascii="Arial" w:hAnsi="Arial" w:cs="Arial"/>
          <w:bCs w:val="0"/>
          <w:sz w:val="22"/>
          <w:szCs w:val="22"/>
        </w:rPr>
      </w:pPr>
    </w:p>
    <w:p w14:paraId="783B6CE7" w14:textId="4D2153B6"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lastRenderedPageBreak/>
        <w:t>Formulation of a focused research question</w:t>
      </w:r>
    </w:p>
    <w:p w14:paraId="1ACDDE78"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Development of a structured search strategy</w:t>
      </w:r>
    </w:p>
    <w:p w14:paraId="66DC6181"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Identification of relevant electronic databases</w:t>
      </w:r>
    </w:p>
    <w:p w14:paraId="2F958FBE"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Application of inclusion and exclusion criteria</w:t>
      </w:r>
    </w:p>
    <w:p w14:paraId="17B84BDC"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Systematic screening of search results</w:t>
      </w:r>
    </w:p>
    <w:p w14:paraId="1442F69D"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Quality appraisal of eligible studies using validated tools</w:t>
      </w:r>
    </w:p>
    <w:p w14:paraId="67FBA7A5" w14:textId="77777777" w:rsidR="00EE3021" w:rsidRPr="00FD73B4" w:rsidRDefault="00EE3021" w:rsidP="00F948DC">
      <w:pPr>
        <w:pStyle w:val="NormalWeb"/>
        <w:numPr>
          <w:ilvl w:val="0"/>
          <w:numId w:val="4"/>
        </w:numPr>
        <w:spacing w:line="360" w:lineRule="auto"/>
        <w:rPr>
          <w:rFonts w:ascii="Arial" w:hAnsi="Arial" w:cs="Arial"/>
          <w:b/>
          <w:sz w:val="22"/>
          <w:szCs w:val="22"/>
        </w:rPr>
      </w:pPr>
      <w:r w:rsidRPr="00FD73B4">
        <w:rPr>
          <w:rStyle w:val="Strong"/>
          <w:rFonts w:ascii="Arial" w:hAnsi="Arial" w:cs="Arial"/>
          <w:b w:val="0"/>
          <w:sz w:val="22"/>
          <w:szCs w:val="22"/>
        </w:rPr>
        <w:t>Thematic synthesis of findings</w:t>
      </w:r>
    </w:p>
    <w:p w14:paraId="3C5B5123"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This systematic approach ensured comprehensive coverage of relevant evidence while maintaining methodological consistency and a high degree of academic credibility.</w:t>
      </w:r>
    </w:p>
    <w:p w14:paraId="164490A5"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3.3 Research Question and Framework</w:t>
      </w:r>
    </w:p>
    <w:p w14:paraId="5F6DD71E"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A well-formulated research question is essential to the validity and clarity of an SLR. For this dissertation, the research question was:</w:t>
      </w:r>
    </w:p>
    <w:p w14:paraId="13E27730" w14:textId="2C074981" w:rsidR="00EE3021" w:rsidRPr="00FD73B4" w:rsidRDefault="00EE3021" w:rsidP="00F948DC">
      <w:pPr>
        <w:pStyle w:val="NormalWeb"/>
        <w:spacing w:line="360" w:lineRule="auto"/>
        <w:rPr>
          <w:rFonts w:ascii="Arial" w:hAnsi="Arial" w:cs="Arial"/>
          <w:b/>
          <w:sz w:val="22"/>
          <w:szCs w:val="22"/>
        </w:rPr>
      </w:pPr>
      <w:r w:rsidRPr="00FD73B4">
        <w:rPr>
          <w:rStyle w:val="Strong"/>
          <w:rFonts w:ascii="Arial" w:hAnsi="Arial" w:cs="Arial"/>
          <w:b w:val="0"/>
          <w:sz w:val="22"/>
          <w:szCs w:val="22"/>
        </w:rPr>
        <w:t xml:space="preserve">“What is the impact of lifestyle </w:t>
      </w:r>
      <w:r w:rsidR="00E147CE" w:rsidRPr="00FD73B4">
        <w:rPr>
          <w:rStyle w:val="Strong"/>
          <w:rFonts w:ascii="Arial" w:hAnsi="Arial" w:cs="Arial"/>
          <w:b w:val="0"/>
          <w:sz w:val="22"/>
          <w:szCs w:val="22"/>
        </w:rPr>
        <w:t>behaviors</w:t>
      </w:r>
      <w:r w:rsidRPr="00FD73B4">
        <w:rPr>
          <w:rStyle w:val="Strong"/>
          <w:rFonts w:ascii="Arial" w:hAnsi="Arial" w:cs="Arial"/>
          <w:b w:val="0"/>
          <w:sz w:val="22"/>
          <w:szCs w:val="22"/>
        </w:rPr>
        <w:t>, dietary patterns, and physical activity on stroke incidence among adults in the United Kingdom?”</w:t>
      </w:r>
    </w:p>
    <w:p w14:paraId="72032561"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The </w:t>
      </w:r>
      <w:r w:rsidRPr="00FD73B4">
        <w:rPr>
          <w:rStyle w:val="Strong"/>
          <w:rFonts w:ascii="Arial" w:hAnsi="Arial" w:cs="Arial"/>
          <w:b w:val="0"/>
          <w:sz w:val="22"/>
          <w:szCs w:val="22"/>
        </w:rPr>
        <w:t>Population–Exposure–Outcome (PEO)</w:t>
      </w:r>
      <w:r w:rsidRPr="00FD73B4">
        <w:rPr>
          <w:rFonts w:ascii="Arial" w:hAnsi="Arial" w:cs="Arial"/>
          <w:b/>
          <w:sz w:val="22"/>
          <w:szCs w:val="22"/>
        </w:rPr>
        <w:t xml:space="preserve"> </w:t>
      </w:r>
      <w:r w:rsidRPr="00FD73B4">
        <w:rPr>
          <w:rFonts w:ascii="Arial" w:hAnsi="Arial" w:cs="Arial"/>
          <w:sz w:val="22"/>
          <w:szCs w:val="22"/>
        </w:rPr>
        <w:t>framework was used to structure the review, as it is suitable for public health and epidemiological topics that explore associations rather than interventions. The PEO components were defined as follows:</w:t>
      </w:r>
    </w:p>
    <w:p w14:paraId="7DBDFC3C" w14:textId="77777777" w:rsidR="00EE3021" w:rsidRPr="00FD73B4" w:rsidRDefault="00EE3021" w:rsidP="00F948DC">
      <w:pPr>
        <w:pStyle w:val="NormalWeb"/>
        <w:numPr>
          <w:ilvl w:val="0"/>
          <w:numId w:val="5"/>
        </w:numPr>
        <w:spacing w:line="360" w:lineRule="auto"/>
        <w:rPr>
          <w:rFonts w:ascii="Arial" w:hAnsi="Arial" w:cs="Arial"/>
          <w:sz w:val="22"/>
          <w:szCs w:val="22"/>
        </w:rPr>
      </w:pPr>
      <w:r w:rsidRPr="00FD73B4">
        <w:rPr>
          <w:rStyle w:val="Strong"/>
          <w:rFonts w:ascii="Arial" w:hAnsi="Arial" w:cs="Arial"/>
          <w:sz w:val="22"/>
          <w:szCs w:val="22"/>
        </w:rPr>
        <w:t>Population (P):</w:t>
      </w:r>
      <w:r w:rsidRPr="00FD73B4">
        <w:rPr>
          <w:rFonts w:ascii="Arial" w:hAnsi="Arial" w:cs="Arial"/>
          <w:sz w:val="22"/>
          <w:szCs w:val="22"/>
        </w:rPr>
        <w:t xml:space="preserve"> Adults aged 40 years and over living in the United Kingdom</w:t>
      </w:r>
    </w:p>
    <w:p w14:paraId="7C828FB1" w14:textId="2461280D" w:rsidR="00EE3021" w:rsidRPr="00FD73B4" w:rsidRDefault="00EE3021" w:rsidP="00F948DC">
      <w:pPr>
        <w:pStyle w:val="NormalWeb"/>
        <w:numPr>
          <w:ilvl w:val="0"/>
          <w:numId w:val="5"/>
        </w:numPr>
        <w:spacing w:line="360" w:lineRule="auto"/>
        <w:rPr>
          <w:rFonts w:ascii="Arial" w:hAnsi="Arial" w:cs="Arial"/>
          <w:sz w:val="22"/>
          <w:szCs w:val="22"/>
        </w:rPr>
      </w:pPr>
      <w:r w:rsidRPr="00FD73B4">
        <w:rPr>
          <w:rStyle w:val="Strong"/>
          <w:rFonts w:ascii="Arial" w:hAnsi="Arial" w:cs="Arial"/>
          <w:sz w:val="22"/>
          <w:szCs w:val="22"/>
        </w:rPr>
        <w:t>Exposure (E):</w:t>
      </w:r>
      <w:r w:rsidRPr="00FD73B4">
        <w:rPr>
          <w:rFonts w:ascii="Arial" w:hAnsi="Arial" w:cs="Arial"/>
          <w:sz w:val="22"/>
          <w:szCs w:val="22"/>
        </w:rPr>
        <w:t xml:space="preserve"> Lifestyle </w:t>
      </w:r>
      <w:r w:rsidR="00E147CE" w:rsidRPr="00FD73B4">
        <w:rPr>
          <w:rFonts w:ascii="Arial" w:hAnsi="Arial" w:cs="Arial"/>
          <w:sz w:val="22"/>
          <w:szCs w:val="22"/>
        </w:rPr>
        <w:t>behaviors</w:t>
      </w:r>
      <w:r w:rsidRPr="00FD73B4">
        <w:rPr>
          <w:rFonts w:ascii="Arial" w:hAnsi="Arial" w:cs="Arial"/>
          <w:sz w:val="22"/>
          <w:szCs w:val="22"/>
        </w:rPr>
        <w:t xml:space="preserve">, dietary patterns, sedentary </w:t>
      </w:r>
      <w:r w:rsidR="00E147CE" w:rsidRPr="00FD73B4">
        <w:rPr>
          <w:rFonts w:ascii="Arial" w:hAnsi="Arial" w:cs="Arial"/>
          <w:sz w:val="22"/>
          <w:szCs w:val="22"/>
        </w:rPr>
        <w:t>behavior</w:t>
      </w:r>
      <w:r w:rsidRPr="00FD73B4">
        <w:rPr>
          <w:rFonts w:ascii="Arial" w:hAnsi="Arial" w:cs="Arial"/>
          <w:sz w:val="22"/>
          <w:szCs w:val="22"/>
        </w:rPr>
        <w:t>, physical activity levels, and related modifiable factors</w:t>
      </w:r>
    </w:p>
    <w:p w14:paraId="37CF69EB" w14:textId="65644A2B" w:rsidR="00EE3021" w:rsidRPr="00FD73B4" w:rsidRDefault="00EE3021" w:rsidP="00F948DC">
      <w:pPr>
        <w:pStyle w:val="NormalWeb"/>
        <w:numPr>
          <w:ilvl w:val="0"/>
          <w:numId w:val="5"/>
        </w:numPr>
        <w:spacing w:line="360" w:lineRule="auto"/>
        <w:rPr>
          <w:rFonts w:ascii="Arial" w:hAnsi="Arial" w:cs="Arial"/>
          <w:sz w:val="22"/>
          <w:szCs w:val="22"/>
        </w:rPr>
      </w:pPr>
      <w:r w:rsidRPr="00FD73B4">
        <w:rPr>
          <w:rStyle w:val="Strong"/>
          <w:rFonts w:ascii="Arial" w:hAnsi="Arial" w:cs="Arial"/>
          <w:sz w:val="22"/>
          <w:szCs w:val="22"/>
        </w:rPr>
        <w:t>Outcome (O):</w:t>
      </w:r>
      <w:r w:rsidRPr="00FD73B4">
        <w:rPr>
          <w:rFonts w:ascii="Arial" w:hAnsi="Arial" w:cs="Arial"/>
          <w:sz w:val="22"/>
          <w:szCs w:val="22"/>
        </w:rPr>
        <w:t xml:space="preserve"> Stroke incidence, including ischemic stroke, </w:t>
      </w:r>
      <w:r w:rsidR="00E147CE" w:rsidRPr="00FD73B4">
        <w:rPr>
          <w:rFonts w:ascii="Arial" w:hAnsi="Arial" w:cs="Arial"/>
          <w:sz w:val="22"/>
          <w:szCs w:val="22"/>
        </w:rPr>
        <w:t>hemorrhagic</w:t>
      </w:r>
      <w:r w:rsidRPr="00FD73B4">
        <w:rPr>
          <w:rFonts w:ascii="Arial" w:hAnsi="Arial" w:cs="Arial"/>
          <w:sz w:val="22"/>
          <w:szCs w:val="22"/>
        </w:rPr>
        <w:t xml:space="preserve"> stroke, and total stroke</w:t>
      </w:r>
    </w:p>
    <w:p w14:paraId="2B1F3683"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Using this framework helped guide the search process, develop search terms, and refine eligibility criteria in a structured and replicable manner.</w:t>
      </w:r>
    </w:p>
    <w:p w14:paraId="7DE2897F" w14:textId="77777777" w:rsidR="00C50846" w:rsidRPr="00FD73B4" w:rsidRDefault="00C50846" w:rsidP="00F948DC">
      <w:pPr>
        <w:pStyle w:val="Heading2"/>
        <w:spacing w:line="360" w:lineRule="auto"/>
        <w:rPr>
          <w:rStyle w:val="Strong"/>
          <w:rFonts w:ascii="Arial" w:hAnsi="Arial" w:cs="Arial"/>
          <w:b/>
          <w:bCs/>
          <w:sz w:val="22"/>
          <w:szCs w:val="22"/>
        </w:rPr>
      </w:pPr>
    </w:p>
    <w:p w14:paraId="02293FB8" w14:textId="77777777" w:rsidR="00C50846" w:rsidRPr="00FD73B4" w:rsidRDefault="00C50846" w:rsidP="00F948DC">
      <w:pPr>
        <w:pStyle w:val="Heading2"/>
        <w:spacing w:line="360" w:lineRule="auto"/>
        <w:rPr>
          <w:rStyle w:val="Strong"/>
          <w:rFonts w:ascii="Arial" w:hAnsi="Arial" w:cs="Arial"/>
          <w:b/>
          <w:bCs/>
          <w:sz w:val="22"/>
          <w:szCs w:val="22"/>
        </w:rPr>
      </w:pPr>
    </w:p>
    <w:p w14:paraId="18719292" w14:textId="77777777" w:rsidR="00C50846" w:rsidRPr="00FD73B4" w:rsidRDefault="00C50846" w:rsidP="00F948DC">
      <w:pPr>
        <w:pStyle w:val="Heading2"/>
        <w:spacing w:line="360" w:lineRule="auto"/>
        <w:rPr>
          <w:rStyle w:val="Strong"/>
          <w:rFonts w:ascii="Arial" w:hAnsi="Arial" w:cs="Arial"/>
          <w:b/>
          <w:bCs/>
          <w:sz w:val="22"/>
          <w:szCs w:val="22"/>
        </w:rPr>
      </w:pPr>
    </w:p>
    <w:p w14:paraId="677B06C5" w14:textId="037E1ED5"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lastRenderedPageBreak/>
        <w:t>3.4 Search Strategy</w:t>
      </w:r>
    </w:p>
    <w:p w14:paraId="75BFA2D5" w14:textId="317745E1"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Developing a robust search strategy was essential to ensure that all relevant studies were identified. The search strategy was designed using iterative testing of keywords, Boolean operators, truncations, and synonyms to </w:t>
      </w:r>
      <w:r w:rsidR="00F6572B" w:rsidRPr="00FD73B4">
        <w:rPr>
          <w:rFonts w:ascii="Arial" w:hAnsi="Arial" w:cs="Arial"/>
          <w:sz w:val="22"/>
          <w:szCs w:val="22"/>
        </w:rPr>
        <w:t>maximize</w:t>
      </w:r>
      <w:r w:rsidRPr="00FD73B4">
        <w:rPr>
          <w:rFonts w:ascii="Arial" w:hAnsi="Arial" w:cs="Arial"/>
          <w:sz w:val="22"/>
          <w:szCs w:val="22"/>
        </w:rPr>
        <w:t xml:space="preserve"> sensitivity and precision. Searches were conducted between </w:t>
      </w:r>
      <w:r w:rsidR="004E5067" w:rsidRPr="00FD73B4">
        <w:rPr>
          <w:rStyle w:val="Strong"/>
          <w:rFonts w:ascii="Arial" w:hAnsi="Arial" w:cs="Arial"/>
          <w:b w:val="0"/>
          <w:sz w:val="22"/>
          <w:szCs w:val="22"/>
        </w:rPr>
        <w:t xml:space="preserve">November and December </w:t>
      </w:r>
      <w:r w:rsidRPr="00FD73B4">
        <w:rPr>
          <w:rStyle w:val="Strong"/>
          <w:rFonts w:ascii="Arial" w:hAnsi="Arial" w:cs="Arial"/>
          <w:b w:val="0"/>
          <w:sz w:val="22"/>
          <w:szCs w:val="22"/>
        </w:rPr>
        <w:t>2025</w:t>
      </w:r>
      <w:r w:rsidRPr="00FD73B4">
        <w:rPr>
          <w:rFonts w:ascii="Arial" w:hAnsi="Arial" w:cs="Arial"/>
          <w:sz w:val="22"/>
          <w:szCs w:val="22"/>
        </w:rPr>
        <w:t>.</w:t>
      </w:r>
    </w:p>
    <w:p w14:paraId="53D6BB77"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3.4.1 Boolean Operators and Search Strings</w:t>
      </w:r>
    </w:p>
    <w:p w14:paraId="6FE2A842"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 search strategy included combinations of keywords and controlled vocabulary terms. Example Boolean strings include:</w:t>
      </w:r>
    </w:p>
    <w:p w14:paraId="655DD89F" w14:textId="404B1BA5" w:rsidR="00EE3021" w:rsidRPr="00FD73B4" w:rsidRDefault="00EE3021" w:rsidP="00F948DC">
      <w:pPr>
        <w:pStyle w:val="NormalWeb"/>
        <w:numPr>
          <w:ilvl w:val="0"/>
          <w:numId w:val="6"/>
        </w:numPr>
        <w:spacing w:line="360" w:lineRule="auto"/>
        <w:rPr>
          <w:rFonts w:ascii="Arial" w:hAnsi="Arial" w:cs="Arial"/>
          <w:sz w:val="22"/>
          <w:szCs w:val="22"/>
        </w:rPr>
      </w:pPr>
      <w:r w:rsidRPr="00FD73B4">
        <w:rPr>
          <w:rFonts w:ascii="Arial" w:hAnsi="Arial" w:cs="Arial"/>
          <w:sz w:val="22"/>
          <w:szCs w:val="22"/>
        </w:rPr>
        <w:t>(“stroke” OR “cerebrovascular accident” OR “ischemic stroke” OR “</w:t>
      </w:r>
      <w:r w:rsidR="00E147CE" w:rsidRPr="00FD73B4">
        <w:rPr>
          <w:rFonts w:ascii="Arial" w:hAnsi="Arial" w:cs="Arial"/>
          <w:sz w:val="22"/>
          <w:szCs w:val="22"/>
        </w:rPr>
        <w:t>hemorrhagic</w:t>
      </w:r>
      <w:r w:rsidRPr="00FD73B4">
        <w:rPr>
          <w:rFonts w:ascii="Arial" w:hAnsi="Arial" w:cs="Arial"/>
          <w:sz w:val="22"/>
          <w:szCs w:val="22"/>
        </w:rPr>
        <w:t xml:space="preserve"> stroke”)</w:t>
      </w:r>
    </w:p>
    <w:p w14:paraId="5C4C3449" w14:textId="1FE9148D" w:rsidR="00EE3021" w:rsidRPr="00FD73B4" w:rsidRDefault="00EE3021" w:rsidP="00F948DC">
      <w:pPr>
        <w:pStyle w:val="NormalWeb"/>
        <w:numPr>
          <w:ilvl w:val="0"/>
          <w:numId w:val="6"/>
        </w:numPr>
        <w:spacing w:line="360" w:lineRule="auto"/>
        <w:rPr>
          <w:rFonts w:ascii="Arial" w:hAnsi="Arial" w:cs="Arial"/>
          <w:sz w:val="22"/>
          <w:szCs w:val="22"/>
        </w:rPr>
      </w:pPr>
      <w:r w:rsidRPr="00FD73B4">
        <w:rPr>
          <w:rFonts w:ascii="Arial" w:hAnsi="Arial" w:cs="Arial"/>
          <w:sz w:val="22"/>
          <w:szCs w:val="22"/>
        </w:rPr>
        <w:t xml:space="preserve">AND (“lifestyle” OR “diet” OR “dietary patterns” OR “physical activity” OR “sedentary </w:t>
      </w:r>
      <w:r w:rsidR="00E147CE" w:rsidRPr="00FD73B4">
        <w:rPr>
          <w:rFonts w:ascii="Arial" w:hAnsi="Arial" w:cs="Arial"/>
          <w:sz w:val="22"/>
          <w:szCs w:val="22"/>
        </w:rPr>
        <w:t>behavior</w:t>
      </w:r>
      <w:r w:rsidRPr="00FD73B4">
        <w:rPr>
          <w:rFonts w:ascii="Arial" w:hAnsi="Arial" w:cs="Arial"/>
          <w:sz w:val="22"/>
          <w:szCs w:val="22"/>
        </w:rPr>
        <w:t>”)</w:t>
      </w:r>
    </w:p>
    <w:p w14:paraId="727EBD44" w14:textId="77777777" w:rsidR="00EE3021" w:rsidRPr="00FD73B4" w:rsidRDefault="00EE3021" w:rsidP="00F948DC">
      <w:pPr>
        <w:pStyle w:val="NormalWeb"/>
        <w:numPr>
          <w:ilvl w:val="0"/>
          <w:numId w:val="6"/>
        </w:numPr>
        <w:spacing w:line="360" w:lineRule="auto"/>
        <w:rPr>
          <w:rFonts w:ascii="Arial" w:hAnsi="Arial" w:cs="Arial"/>
          <w:sz w:val="22"/>
          <w:szCs w:val="22"/>
        </w:rPr>
      </w:pPr>
      <w:r w:rsidRPr="00FD73B4">
        <w:rPr>
          <w:rFonts w:ascii="Arial" w:hAnsi="Arial" w:cs="Arial"/>
          <w:sz w:val="22"/>
          <w:szCs w:val="22"/>
        </w:rPr>
        <w:t>AND (“United Kingdom” OR “UK” OR “England” OR “Scotland” OR “Wales”)</w:t>
      </w:r>
    </w:p>
    <w:p w14:paraId="032FD75D" w14:textId="77777777" w:rsidR="00EE3021" w:rsidRPr="00FD73B4" w:rsidRDefault="00EE3021" w:rsidP="00F948DC">
      <w:pPr>
        <w:pStyle w:val="NormalWeb"/>
        <w:numPr>
          <w:ilvl w:val="0"/>
          <w:numId w:val="6"/>
        </w:numPr>
        <w:spacing w:line="360" w:lineRule="auto"/>
        <w:rPr>
          <w:rFonts w:ascii="Arial" w:hAnsi="Arial" w:cs="Arial"/>
          <w:sz w:val="22"/>
          <w:szCs w:val="22"/>
        </w:rPr>
      </w:pPr>
      <w:r w:rsidRPr="00FD73B4">
        <w:rPr>
          <w:rFonts w:ascii="Arial" w:hAnsi="Arial" w:cs="Arial"/>
          <w:sz w:val="22"/>
          <w:szCs w:val="22"/>
        </w:rPr>
        <w:t>AND (“adults” OR “middle-aged” OR “older adults” OR “aged 40+”)</w:t>
      </w:r>
    </w:p>
    <w:p w14:paraId="5D65AF6C"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3.4.2 Truncations and Phrase Searching</w:t>
      </w:r>
    </w:p>
    <w:p w14:paraId="2107BB9F" w14:textId="0F1C686F"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Truncation symbols (</w:t>
      </w:r>
      <w:r w:rsidRPr="00FD73B4">
        <w:rPr>
          <w:rStyle w:val="Emphasis"/>
          <w:rFonts w:ascii="Arial" w:hAnsi="Arial" w:cs="Arial"/>
          <w:sz w:val="22"/>
          <w:szCs w:val="22"/>
        </w:rPr>
        <w:t>) were used to capture variations of keywords such as “diet</w:t>
      </w:r>
      <w:r w:rsidRPr="00FD73B4">
        <w:rPr>
          <w:rFonts w:ascii="Arial" w:hAnsi="Arial" w:cs="Arial"/>
          <w:sz w:val="22"/>
          <w:szCs w:val="22"/>
        </w:rPr>
        <w:t>”, “</w:t>
      </w:r>
      <w:r w:rsidR="00E147CE" w:rsidRPr="00FD73B4">
        <w:rPr>
          <w:rFonts w:ascii="Arial" w:hAnsi="Arial" w:cs="Arial"/>
          <w:sz w:val="22"/>
          <w:szCs w:val="22"/>
        </w:rPr>
        <w:t>active</w:t>
      </w:r>
      <w:r w:rsidRPr="00FD73B4">
        <w:rPr>
          <w:rFonts w:ascii="Arial" w:hAnsi="Arial" w:cs="Arial"/>
          <w:sz w:val="22"/>
          <w:szCs w:val="22"/>
        </w:rPr>
        <w:t>*”, and “</w:t>
      </w:r>
      <w:r w:rsidR="00E147CE" w:rsidRPr="00FD73B4">
        <w:rPr>
          <w:rFonts w:ascii="Arial" w:hAnsi="Arial" w:cs="Arial"/>
          <w:sz w:val="22"/>
          <w:szCs w:val="22"/>
        </w:rPr>
        <w:t>lifestyle</w:t>
      </w:r>
      <w:r w:rsidRPr="00FD73B4">
        <w:rPr>
          <w:rFonts w:ascii="Arial" w:hAnsi="Arial" w:cs="Arial"/>
          <w:sz w:val="22"/>
          <w:szCs w:val="22"/>
        </w:rPr>
        <w:t>*”. Quotation marks were used for exact phrases including “physical activity” and “stroke incidence”.</w:t>
      </w:r>
    </w:p>
    <w:p w14:paraId="40B59722"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3.4.3 Filters and Limits</w:t>
      </w:r>
    </w:p>
    <w:p w14:paraId="1173BB10"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Filters were applied to restrict results to:</w:t>
      </w:r>
    </w:p>
    <w:p w14:paraId="1FDC01C6" w14:textId="77777777" w:rsidR="00EE3021" w:rsidRPr="00FD73B4" w:rsidRDefault="00EE3021" w:rsidP="00F948DC">
      <w:pPr>
        <w:pStyle w:val="NormalWeb"/>
        <w:numPr>
          <w:ilvl w:val="0"/>
          <w:numId w:val="7"/>
        </w:numPr>
        <w:spacing w:line="360" w:lineRule="auto"/>
        <w:rPr>
          <w:rFonts w:ascii="Arial" w:hAnsi="Arial" w:cs="Arial"/>
          <w:sz w:val="22"/>
          <w:szCs w:val="22"/>
        </w:rPr>
      </w:pPr>
      <w:r w:rsidRPr="00FD73B4">
        <w:rPr>
          <w:rFonts w:ascii="Arial" w:hAnsi="Arial" w:cs="Arial"/>
          <w:sz w:val="22"/>
          <w:szCs w:val="22"/>
        </w:rPr>
        <w:t>English-language publications</w:t>
      </w:r>
    </w:p>
    <w:p w14:paraId="563CBBCE" w14:textId="77777777" w:rsidR="00EE3021" w:rsidRPr="00FD73B4" w:rsidRDefault="00EE3021" w:rsidP="00F948DC">
      <w:pPr>
        <w:pStyle w:val="NormalWeb"/>
        <w:numPr>
          <w:ilvl w:val="0"/>
          <w:numId w:val="7"/>
        </w:numPr>
        <w:spacing w:line="360" w:lineRule="auto"/>
        <w:rPr>
          <w:rFonts w:ascii="Arial" w:hAnsi="Arial" w:cs="Arial"/>
          <w:sz w:val="22"/>
          <w:szCs w:val="22"/>
        </w:rPr>
      </w:pPr>
      <w:r w:rsidRPr="00FD73B4">
        <w:rPr>
          <w:rFonts w:ascii="Arial" w:hAnsi="Arial" w:cs="Arial"/>
          <w:sz w:val="22"/>
          <w:szCs w:val="22"/>
        </w:rPr>
        <w:t>Human studies</w:t>
      </w:r>
    </w:p>
    <w:p w14:paraId="72FDB47C" w14:textId="77777777" w:rsidR="00EE3021" w:rsidRPr="00FD73B4" w:rsidRDefault="00EE3021" w:rsidP="00F948DC">
      <w:pPr>
        <w:pStyle w:val="NormalWeb"/>
        <w:numPr>
          <w:ilvl w:val="0"/>
          <w:numId w:val="7"/>
        </w:numPr>
        <w:spacing w:line="360" w:lineRule="auto"/>
        <w:rPr>
          <w:rFonts w:ascii="Arial" w:hAnsi="Arial" w:cs="Arial"/>
          <w:sz w:val="22"/>
          <w:szCs w:val="22"/>
        </w:rPr>
      </w:pPr>
      <w:r w:rsidRPr="00FD73B4">
        <w:rPr>
          <w:rFonts w:ascii="Arial" w:hAnsi="Arial" w:cs="Arial"/>
          <w:sz w:val="22"/>
          <w:szCs w:val="22"/>
        </w:rPr>
        <w:t>Peer-reviewed articles</w:t>
      </w:r>
    </w:p>
    <w:p w14:paraId="0A01F369" w14:textId="77777777" w:rsidR="00EE3021" w:rsidRPr="00FD73B4" w:rsidRDefault="00EE3021" w:rsidP="00F948DC">
      <w:pPr>
        <w:pStyle w:val="NormalWeb"/>
        <w:numPr>
          <w:ilvl w:val="0"/>
          <w:numId w:val="7"/>
        </w:numPr>
        <w:spacing w:line="360" w:lineRule="auto"/>
        <w:rPr>
          <w:rFonts w:ascii="Arial" w:hAnsi="Arial" w:cs="Arial"/>
          <w:sz w:val="22"/>
          <w:szCs w:val="22"/>
        </w:rPr>
      </w:pPr>
      <w:r w:rsidRPr="00FD73B4">
        <w:rPr>
          <w:rFonts w:ascii="Arial" w:hAnsi="Arial" w:cs="Arial"/>
          <w:sz w:val="22"/>
          <w:szCs w:val="22"/>
        </w:rPr>
        <w:t>UK-based populations</w:t>
      </w:r>
    </w:p>
    <w:p w14:paraId="07E3A817" w14:textId="77777777" w:rsidR="00EE3021" w:rsidRPr="00FD73B4" w:rsidRDefault="00EE3021" w:rsidP="00F948DC">
      <w:pPr>
        <w:pStyle w:val="NormalWeb"/>
        <w:numPr>
          <w:ilvl w:val="0"/>
          <w:numId w:val="7"/>
        </w:numPr>
        <w:spacing w:line="360" w:lineRule="auto"/>
        <w:rPr>
          <w:rFonts w:ascii="Arial" w:hAnsi="Arial" w:cs="Arial"/>
          <w:sz w:val="22"/>
          <w:szCs w:val="22"/>
        </w:rPr>
      </w:pPr>
      <w:r w:rsidRPr="00FD73B4">
        <w:rPr>
          <w:rFonts w:ascii="Arial" w:hAnsi="Arial" w:cs="Arial"/>
          <w:sz w:val="22"/>
          <w:szCs w:val="22"/>
        </w:rPr>
        <w:t>Research published from 2010 to 2025</w:t>
      </w:r>
    </w:p>
    <w:p w14:paraId="43B41C86"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 timeframe was selected to capture contemporary research and account for recent changes in lifestyle patterns, dietary guidelines, and stroke epidemiology.</w:t>
      </w:r>
    </w:p>
    <w:p w14:paraId="6FB713EC"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lastRenderedPageBreak/>
        <w:t>3.5 Keywords</w:t>
      </w:r>
    </w:p>
    <w:p w14:paraId="5D843D5E"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Keywords are essential in guiding database searches and ensuring relevant literature is retrieved. The keywords used in this study included:</w:t>
      </w:r>
    </w:p>
    <w:p w14:paraId="35332A12" w14:textId="3EFCC255" w:rsidR="00EE3021" w:rsidRPr="00FD73B4" w:rsidRDefault="00EE3021" w:rsidP="00F948DC">
      <w:pPr>
        <w:pStyle w:val="NormalWeb"/>
        <w:numPr>
          <w:ilvl w:val="0"/>
          <w:numId w:val="8"/>
        </w:numPr>
        <w:spacing w:line="360" w:lineRule="auto"/>
        <w:rPr>
          <w:rFonts w:ascii="Arial" w:hAnsi="Arial" w:cs="Arial"/>
          <w:sz w:val="22"/>
          <w:szCs w:val="22"/>
        </w:rPr>
      </w:pPr>
      <w:r w:rsidRPr="00FD73B4">
        <w:rPr>
          <w:rFonts w:ascii="Arial" w:hAnsi="Arial" w:cs="Arial"/>
          <w:sz w:val="22"/>
          <w:szCs w:val="22"/>
        </w:rPr>
        <w:t xml:space="preserve">Stroke, ischemic stroke, </w:t>
      </w:r>
      <w:r w:rsidR="00E147CE" w:rsidRPr="00FD73B4">
        <w:rPr>
          <w:rFonts w:ascii="Arial" w:hAnsi="Arial" w:cs="Arial"/>
          <w:sz w:val="22"/>
          <w:szCs w:val="22"/>
        </w:rPr>
        <w:t>hemorrhagic</w:t>
      </w:r>
      <w:r w:rsidRPr="00FD73B4">
        <w:rPr>
          <w:rFonts w:ascii="Arial" w:hAnsi="Arial" w:cs="Arial"/>
          <w:sz w:val="22"/>
          <w:szCs w:val="22"/>
        </w:rPr>
        <w:t xml:space="preserve"> stroke</w:t>
      </w:r>
    </w:p>
    <w:p w14:paraId="06E1D619" w14:textId="0D88B2F8" w:rsidR="00EE3021" w:rsidRPr="00FD73B4" w:rsidRDefault="00EE3021" w:rsidP="00F948DC">
      <w:pPr>
        <w:pStyle w:val="NormalWeb"/>
        <w:numPr>
          <w:ilvl w:val="0"/>
          <w:numId w:val="8"/>
        </w:numPr>
        <w:spacing w:line="360" w:lineRule="auto"/>
        <w:rPr>
          <w:rFonts w:ascii="Arial" w:hAnsi="Arial" w:cs="Arial"/>
          <w:sz w:val="22"/>
          <w:szCs w:val="22"/>
        </w:rPr>
      </w:pPr>
      <w:r w:rsidRPr="00FD73B4">
        <w:rPr>
          <w:rFonts w:ascii="Arial" w:hAnsi="Arial" w:cs="Arial"/>
          <w:sz w:val="22"/>
          <w:szCs w:val="22"/>
        </w:rPr>
        <w:t xml:space="preserve">Lifestyle </w:t>
      </w:r>
      <w:r w:rsidR="00E147CE" w:rsidRPr="00FD73B4">
        <w:rPr>
          <w:rFonts w:ascii="Arial" w:hAnsi="Arial" w:cs="Arial"/>
          <w:sz w:val="22"/>
          <w:szCs w:val="22"/>
        </w:rPr>
        <w:t>behavior</w:t>
      </w:r>
      <w:r w:rsidRPr="00FD73B4">
        <w:rPr>
          <w:rFonts w:ascii="Arial" w:hAnsi="Arial" w:cs="Arial"/>
          <w:sz w:val="22"/>
          <w:szCs w:val="22"/>
        </w:rPr>
        <w:t>, modifiable risk factors</w:t>
      </w:r>
    </w:p>
    <w:p w14:paraId="20DF4397" w14:textId="77777777" w:rsidR="00EE3021" w:rsidRPr="00FD73B4" w:rsidRDefault="00EE3021" w:rsidP="00F948DC">
      <w:pPr>
        <w:pStyle w:val="NormalWeb"/>
        <w:numPr>
          <w:ilvl w:val="0"/>
          <w:numId w:val="8"/>
        </w:numPr>
        <w:spacing w:line="360" w:lineRule="auto"/>
        <w:rPr>
          <w:rFonts w:ascii="Arial" w:hAnsi="Arial" w:cs="Arial"/>
          <w:sz w:val="22"/>
          <w:szCs w:val="22"/>
        </w:rPr>
      </w:pPr>
      <w:r w:rsidRPr="00FD73B4">
        <w:rPr>
          <w:rFonts w:ascii="Arial" w:hAnsi="Arial" w:cs="Arial"/>
          <w:sz w:val="22"/>
          <w:szCs w:val="22"/>
        </w:rPr>
        <w:t>Physical activity, sedentary time, exercise</w:t>
      </w:r>
    </w:p>
    <w:p w14:paraId="3030CEC6" w14:textId="3B1128A1" w:rsidR="00EE3021" w:rsidRPr="00FD73B4" w:rsidRDefault="00EE3021" w:rsidP="00F948DC">
      <w:pPr>
        <w:pStyle w:val="NormalWeb"/>
        <w:numPr>
          <w:ilvl w:val="0"/>
          <w:numId w:val="8"/>
        </w:numPr>
        <w:spacing w:line="360" w:lineRule="auto"/>
        <w:rPr>
          <w:rFonts w:ascii="Arial" w:hAnsi="Arial" w:cs="Arial"/>
          <w:sz w:val="22"/>
          <w:szCs w:val="22"/>
        </w:rPr>
      </w:pPr>
      <w:r w:rsidRPr="00FD73B4">
        <w:rPr>
          <w:rFonts w:ascii="Arial" w:hAnsi="Arial" w:cs="Arial"/>
          <w:sz w:val="22"/>
          <w:szCs w:val="22"/>
        </w:rPr>
        <w:t xml:space="preserve">Diet, dietary patterns, Mediterranean diet, plant-based diet, dietary </w:t>
      </w:r>
      <w:r w:rsidR="00E147CE" w:rsidRPr="00FD73B4">
        <w:rPr>
          <w:rFonts w:ascii="Arial" w:hAnsi="Arial" w:cs="Arial"/>
          <w:sz w:val="22"/>
          <w:szCs w:val="22"/>
        </w:rPr>
        <w:t>fiber</w:t>
      </w:r>
    </w:p>
    <w:p w14:paraId="5B795061" w14:textId="77777777" w:rsidR="00EE3021" w:rsidRPr="00FD73B4" w:rsidRDefault="00EE3021" w:rsidP="00F948DC">
      <w:pPr>
        <w:pStyle w:val="NormalWeb"/>
        <w:numPr>
          <w:ilvl w:val="0"/>
          <w:numId w:val="8"/>
        </w:numPr>
        <w:spacing w:line="360" w:lineRule="auto"/>
        <w:rPr>
          <w:rFonts w:ascii="Arial" w:hAnsi="Arial" w:cs="Arial"/>
          <w:sz w:val="22"/>
          <w:szCs w:val="22"/>
        </w:rPr>
      </w:pPr>
      <w:r w:rsidRPr="00FD73B4">
        <w:rPr>
          <w:rFonts w:ascii="Arial" w:hAnsi="Arial" w:cs="Arial"/>
          <w:sz w:val="22"/>
          <w:szCs w:val="22"/>
        </w:rPr>
        <w:t>Adults, older adults, United Kingdom, UK population</w:t>
      </w:r>
    </w:p>
    <w:p w14:paraId="580D79E5" w14:textId="5956AEA8"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These keywords were adapted for each database to </w:t>
      </w:r>
      <w:r w:rsidR="00E147CE" w:rsidRPr="00FD73B4">
        <w:rPr>
          <w:rFonts w:ascii="Arial" w:hAnsi="Arial" w:cs="Arial"/>
          <w:sz w:val="22"/>
          <w:szCs w:val="22"/>
        </w:rPr>
        <w:t>optimize</w:t>
      </w:r>
      <w:r w:rsidRPr="00FD73B4">
        <w:rPr>
          <w:rFonts w:ascii="Arial" w:hAnsi="Arial" w:cs="Arial"/>
          <w:sz w:val="22"/>
          <w:szCs w:val="22"/>
        </w:rPr>
        <w:t xml:space="preserve"> sensitivity and specificity.</w:t>
      </w:r>
    </w:p>
    <w:p w14:paraId="180A2C2C"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3.6 Databases Searched</w:t>
      </w:r>
    </w:p>
    <w:p w14:paraId="594D4FA0"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To ensure comprehensive coverage, the following academic databases were searched:</w:t>
      </w:r>
    </w:p>
    <w:p w14:paraId="05F49D72"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3.6.1 PubMed</w:t>
      </w:r>
    </w:p>
    <w:p w14:paraId="1448DC9C"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PubMed was selected for its extensive biomedical coverage, particularly for cardiovascular and epidemiological research. It includes clinical trials, cohort studies, and nutrition-focused publications.</w:t>
      </w:r>
    </w:p>
    <w:p w14:paraId="4A43F702"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3.6.2 ProQuest</w:t>
      </w:r>
    </w:p>
    <w:p w14:paraId="2C67D341" w14:textId="16D0B5DD"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ProQuest was chosen for its multidisciplinary scope, including journals in public health, nutrition, lifestyle science, </w:t>
      </w:r>
      <w:r w:rsidR="00E147CE" w:rsidRPr="00FD73B4">
        <w:rPr>
          <w:rFonts w:ascii="Arial" w:hAnsi="Arial" w:cs="Arial"/>
          <w:sz w:val="22"/>
          <w:szCs w:val="22"/>
        </w:rPr>
        <w:t>behavioral</w:t>
      </w:r>
      <w:r w:rsidRPr="00FD73B4">
        <w:rPr>
          <w:rFonts w:ascii="Arial" w:hAnsi="Arial" w:cs="Arial"/>
          <w:sz w:val="22"/>
          <w:szCs w:val="22"/>
        </w:rPr>
        <w:t xml:space="preserve"> research, and social science.</w:t>
      </w:r>
    </w:p>
    <w:p w14:paraId="2620420D"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3.6.3 Supplementary Searching Methods</w:t>
      </w:r>
    </w:p>
    <w:p w14:paraId="3E92B39B" w14:textId="77777777" w:rsidR="00EE3021" w:rsidRPr="00FD73B4" w:rsidRDefault="00EE3021" w:rsidP="00F948DC">
      <w:pPr>
        <w:pStyle w:val="NormalWeb"/>
        <w:numPr>
          <w:ilvl w:val="0"/>
          <w:numId w:val="9"/>
        </w:numPr>
        <w:spacing w:line="360" w:lineRule="auto"/>
        <w:rPr>
          <w:rFonts w:ascii="Arial" w:hAnsi="Arial" w:cs="Arial"/>
          <w:sz w:val="22"/>
          <w:szCs w:val="22"/>
        </w:rPr>
      </w:pPr>
      <w:r w:rsidRPr="00FD73B4">
        <w:rPr>
          <w:rStyle w:val="Strong"/>
          <w:rFonts w:ascii="Arial" w:hAnsi="Arial" w:cs="Arial"/>
          <w:sz w:val="22"/>
          <w:szCs w:val="22"/>
        </w:rPr>
        <w:t>Backward citation searching:</w:t>
      </w:r>
      <w:r w:rsidRPr="00FD73B4">
        <w:rPr>
          <w:rFonts w:ascii="Arial" w:hAnsi="Arial" w:cs="Arial"/>
          <w:sz w:val="22"/>
          <w:szCs w:val="22"/>
        </w:rPr>
        <w:t xml:space="preserve"> Reference lists of included studies were screened to identify additional eligible articles.</w:t>
      </w:r>
    </w:p>
    <w:p w14:paraId="1D0114B5" w14:textId="77777777" w:rsidR="00EE3021" w:rsidRPr="00FD73B4" w:rsidRDefault="00EE3021" w:rsidP="00F948DC">
      <w:pPr>
        <w:pStyle w:val="NormalWeb"/>
        <w:numPr>
          <w:ilvl w:val="0"/>
          <w:numId w:val="9"/>
        </w:numPr>
        <w:spacing w:line="360" w:lineRule="auto"/>
        <w:rPr>
          <w:rFonts w:ascii="Arial" w:hAnsi="Arial" w:cs="Arial"/>
          <w:sz w:val="22"/>
          <w:szCs w:val="22"/>
        </w:rPr>
      </w:pPr>
      <w:r w:rsidRPr="00FD73B4">
        <w:rPr>
          <w:rStyle w:val="Strong"/>
          <w:rFonts w:ascii="Arial" w:hAnsi="Arial" w:cs="Arial"/>
          <w:sz w:val="22"/>
          <w:szCs w:val="22"/>
        </w:rPr>
        <w:t>Forward citation tracking:</w:t>
      </w:r>
      <w:r w:rsidRPr="00FD73B4">
        <w:rPr>
          <w:rFonts w:ascii="Arial" w:hAnsi="Arial" w:cs="Arial"/>
          <w:sz w:val="22"/>
          <w:szCs w:val="22"/>
        </w:rPr>
        <w:t xml:space="preserve"> Using database citation tools to identify newer studies citing key articles.</w:t>
      </w:r>
    </w:p>
    <w:p w14:paraId="6070591C" w14:textId="2555C46D" w:rsidR="00EE3021" w:rsidRPr="00FD73B4" w:rsidRDefault="00EE3021" w:rsidP="00F948DC">
      <w:pPr>
        <w:pStyle w:val="NormalWeb"/>
        <w:numPr>
          <w:ilvl w:val="0"/>
          <w:numId w:val="9"/>
        </w:numPr>
        <w:spacing w:line="360" w:lineRule="auto"/>
        <w:rPr>
          <w:rFonts w:ascii="Arial" w:hAnsi="Arial" w:cs="Arial"/>
          <w:sz w:val="22"/>
          <w:szCs w:val="22"/>
        </w:rPr>
      </w:pPr>
      <w:r w:rsidRPr="00FD73B4">
        <w:rPr>
          <w:rStyle w:val="Strong"/>
          <w:rFonts w:ascii="Arial" w:hAnsi="Arial" w:cs="Arial"/>
          <w:sz w:val="22"/>
          <w:szCs w:val="22"/>
        </w:rPr>
        <w:t>Manual journal searching:</w:t>
      </w:r>
      <w:r w:rsidRPr="00FD73B4">
        <w:rPr>
          <w:rFonts w:ascii="Arial" w:hAnsi="Arial" w:cs="Arial"/>
          <w:sz w:val="22"/>
          <w:szCs w:val="22"/>
        </w:rPr>
        <w:t xml:space="preserve"> Particularly in journals such as </w:t>
      </w:r>
      <w:r w:rsidRPr="00FD73B4">
        <w:rPr>
          <w:rStyle w:val="Emphasis"/>
          <w:rFonts w:ascii="Arial" w:hAnsi="Arial" w:cs="Arial"/>
          <w:sz w:val="22"/>
          <w:szCs w:val="22"/>
        </w:rPr>
        <w:t>Stroke</w:t>
      </w:r>
      <w:r w:rsidRPr="00FD73B4">
        <w:rPr>
          <w:rFonts w:ascii="Arial" w:hAnsi="Arial" w:cs="Arial"/>
          <w:sz w:val="22"/>
          <w:szCs w:val="22"/>
        </w:rPr>
        <w:t xml:space="preserve">, </w:t>
      </w:r>
      <w:r w:rsidRPr="00FD73B4">
        <w:rPr>
          <w:rStyle w:val="Emphasis"/>
          <w:rFonts w:ascii="Arial" w:hAnsi="Arial" w:cs="Arial"/>
          <w:sz w:val="22"/>
          <w:szCs w:val="22"/>
        </w:rPr>
        <w:t>BMJ</w:t>
      </w:r>
      <w:r w:rsidRPr="00FD73B4">
        <w:rPr>
          <w:rFonts w:ascii="Arial" w:hAnsi="Arial" w:cs="Arial"/>
          <w:sz w:val="22"/>
          <w:szCs w:val="22"/>
        </w:rPr>
        <w:t xml:space="preserve">, and the </w:t>
      </w:r>
      <w:r w:rsidRPr="00FD73B4">
        <w:rPr>
          <w:rStyle w:val="Emphasis"/>
          <w:rFonts w:ascii="Arial" w:hAnsi="Arial" w:cs="Arial"/>
          <w:i w:val="0"/>
          <w:iCs w:val="0"/>
          <w:sz w:val="22"/>
          <w:szCs w:val="22"/>
        </w:rPr>
        <w:t xml:space="preserve">European Journal of Clinical </w:t>
      </w:r>
      <w:r w:rsidR="00C50846" w:rsidRPr="00FD73B4">
        <w:rPr>
          <w:rStyle w:val="Emphasis"/>
          <w:rFonts w:ascii="Arial" w:hAnsi="Arial" w:cs="Arial"/>
          <w:i w:val="0"/>
          <w:iCs w:val="0"/>
          <w:sz w:val="22"/>
          <w:szCs w:val="22"/>
        </w:rPr>
        <w:t>Nutrition</w:t>
      </w:r>
      <w:r w:rsidR="00C50846" w:rsidRPr="00FD73B4">
        <w:rPr>
          <w:rFonts w:ascii="Arial" w:hAnsi="Arial" w:cs="Arial"/>
          <w:sz w:val="22"/>
          <w:szCs w:val="22"/>
        </w:rPr>
        <w:t>. These</w:t>
      </w:r>
      <w:r w:rsidRPr="00FD73B4">
        <w:rPr>
          <w:rFonts w:ascii="Arial" w:hAnsi="Arial" w:cs="Arial"/>
          <w:sz w:val="22"/>
          <w:szCs w:val="22"/>
        </w:rPr>
        <w:t xml:space="preserve"> additional methods increased the likelihood of retrieving all relevant high-quality studies.</w:t>
      </w:r>
    </w:p>
    <w:p w14:paraId="511781E7"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lastRenderedPageBreak/>
        <w:t>3.7 Inclusion and Exclusion Criteria</w:t>
      </w:r>
    </w:p>
    <w:p w14:paraId="0DDF68FE"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Clear inclusion and exclusion criteria were established before conducting the search. These criteria ensured relevance to the research question and improved consistency across the screening process.</w:t>
      </w:r>
    </w:p>
    <w:p w14:paraId="4ECB853B"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3.7.1 Inclusion Criteria</w:t>
      </w:r>
    </w:p>
    <w:p w14:paraId="70C301AC"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Studies were eligible for inclusion if they met the following criteria:</w:t>
      </w:r>
    </w:p>
    <w:p w14:paraId="04240A24" w14:textId="77777777" w:rsidR="00EE3021" w:rsidRPr="00FD73B4" w:rsidRDefault="00EE3021" w:rsidP="00F948DC">
      <w:pPr>
        <w:pStyle w:val="NormalWeb"/>
        <w:numPr>
          <w:ilvl w:val="0"/>
          <w:numId w:val="10"/>
        </w:numPr>
        <w:spacing w:line="360" w:lineRule="auto"/>
        <w:rPr>
          <w:rFonts w:ascii="Arial" w:hAnsi="Arial" w:cs="Arial"/>
          <w:sz w:val="22"/>
          <w:szCs w:val="22"/>
        </w:rPr>
      </w:pPr>
      <w:r w:rsidRPr="00FD73B4">
        <w:rPr>
          <w:rStyle w:val="Strong"/>
          <w:rFonts w:ascii="Arial" w:hAnsi="Arial" w:cs="Arial"/>
          <w:sz w:val="22"/>
          <w:szCs w:val="22"/>
        </w:rPr>
        <w:t>Population:</w:t>
      </w:r>
    </w:p>
    <w:p w14:paraId="75A5B4DB"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 xml:space="preserve">Adults aged </w:t>
      </w:r>
      <w:r w:rsidRPr="00FD73B4">
        <w:rPr>
          <w:rStyle w:val="Strong"/>
          <w:rFonts w:ascii="Arial" w:hAnsi="Arial" w:cs="Arial"/>
          <w:sz w:val="22"/>
          <w:szCs w:val="22"/>
        </w:rPr>
        <w:t>40 years or older</w:t>
      </w:r>
    </w:p>
    <w:p w14:paraId="71183515"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 xml:space="preserve">Residing in the </w:t>
      </w:r>
      <w:r w:rsidRPr="00FD73B4">
        <w:rPr>
          <w:rStyle w:val="Strong"/>
          <w:rFonts w:ascii="Arial" w:hAnsi="Arial" w:cs="Arial"/>
          <w:sz w:val="22"/>
          <w:szCs w:val="22"/>
        </w:rPr>
        <w:t>United Kingdom</w:t>
      </w:r>
    </w:p>
    <w:p w14:paraId="48B96CD3" w14:textId="77777777" w:rsidR="00EE3021" w:rsidRPr="00FD73B4" w:rsidRDefault="00EE3021" w:rsidP="00F948DC">
      <w:pPr>
        <w:pStyle w:val="NormalWeb"/>
        <w:numPr>
          <w:ilvl w:val="0"/>
          <w:numId w:val="10"/>
        </w:numPr>
        <w:spacing w:line="360" w:lineRule="auto"/>
        <w:rPr>
          <w:rFonts w:ascii="Arial" w:hAnsi="Arial" w:cs="Arial"/>
          <w:sz w:val="22"/>
          <w:szCs w:val="22"/>
        </w:rPr>
      </w:pPr>
      <w:r w:rsidRPr="00FD73B4">
        <w:rPr>
          <w:rStyle w:val="Strong"/>
          <w:rFonts w:ascii="Arial" w:hAnsi="Arial" w:cs="Arial"/>
          <w:sz w:val="22"/>
          <w:szCs w:val="22"/>
        </w:rPr>
        <w:t>Exposure:</w:t>
      </w:r>
    </w:p>
    <w:p w14:paraId="0C90C0C8" w14:textId="5106A383"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 xml:space="preserve">Research examining at least one lifestyle determinant, including dietary intake, physical activity, sedentary </w:t>
      </w:r>
      <w:r w:rsidR="00E147CE" w:rsidRPr="00FD73B4">
        <w:rPr>
          <w:rFonts w:ascii="Arial" w:hAnsi="Arial" w:cs="Arial"/>
          <w:sz w:val="22"/>
          <w:szCs w:val="22"/>
        </w:rPr>
        <w:t>behavior</w:t>
      </w:r>
      <w:r w:rsidRPr="00FD73B4">
        <w:rPr>
          <w:rFonts w:ascii="Arial" w:hAnsi="Arial" w:cs="Arial"/>
          <w:sz w:val="22"/>
          <w:szCs w:val="22"/>
        </w:rPr>
        <w:t>, smoking, alcohol consumption, outdoor exposure, or genetic–lifestyle interactions.</w:t>
      </w:r>
    </w:p>
    <w:p w14:paraId="2840823D" w14:textId="77777777" w:rsidR="00EE3021" w:rsidRPr="00FD73B4" w:rsidRDefault="00EE3021" w:rsidP="00F948DC">
      <w:pPr>
        <w:pStyle w:val="NormalWeb"/>
        <w:numPr>
          <w:ilvl w:val="0"/>
          <w:numId w:val="10"/>
        </w:numPr>
        <w:spacing w:line="360" w:lineRule="auto"/>
        <w:rPr>
          <w:rFonts w:ascii="Arial" w:hAnsi="Arial" w:cs="Arial"/>
          <w:sz w:val="22"/>
          <w:szCs w:val="22"/>
        </w:rPr>
      </w:pPr>
      <w:r w:rsidRPr="00FD73B4">
        <w:rPr>
          <w:rStyle w:val="Strong"/>
          <w:rFonts w:ascii="Arial" w:hAnsi="Arial" w:cs="Arial"/>
          <w:sz w:val="22"/>
          <w:szCs w:val="22"/>
        </w:rPr>
        <w:t>Outcome:</w:t>
      </w:r>
    </w:p>
    <w:p w14:paraId="4DD11FDF"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Reported stroke incidence or stroke-related cardiovascular outcomes.</w:t>
      </w:r>
    </w:p>
    <w:p w14:paraId="6AC09350" w14:textId="77777777" w:rsidR="00EE3021" w:rsidRPr="00FD73B4" w:rsidRDefault="00EE3021" w:rsidP="00F948DC">
      <w:pPr>
        <w:pStyle w:val="NormalWeb"/>
        <w:numPr>
          <w:ilvl w:val="0"/>
          <w:numId w:val="10"/>
        </w:numPr>
        <w:spacing w:line="360" w:lineRule="auto"/>
        <w:rPr>
          <w:rFonts w:ascii="Arial" w:hAnsi="Arial" w:cs="Arial"/>
          <w:sz w:val="22"/>
          <w:szCs w:val="22"/>
        </w:rPr>
      </w:pPr>
      <w:r w:rsidRPr="00FD73B4">
        <w:rPr>
          <w:rStyle w:val="Strong"/>
          <w:rFonts w:ascii="Arial" w:hAnsi="Arial" w:cs="Arial"/>
          <w:sz w:val="22"/>
          <w:szCs w:val="22"/>
        </w:rPr>
        <w:t>Study Design:</w:t>
      </w:r>
    </w:p>
    <w:p w14:paraId="78E05414"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Primary empirical research (cohort, cross-sectional, or case-control designs)</w:t>
      </w:r>
    </w:p>
    <w:p w14:paraId="5106724F" w14:textId="77777777" w:rsidR="00EE3021" w:rsidRPr="00FD73B4" w:rsidRDefault="00EE3021" w:rsidP="00F948DC">
      <w:pPr>
        <w:pStyle w:val="NormalWeb"/>
        <w:numPr>
          <w:ilvl w:val="0"/>
          <w:numId w:val="10"/>
        </w:numPr>
        <w:spacing w:line="360" w:lineRule="auto"/>
        <w:rPr>
          <w:rFonts w:ascii="Arial" w:hAnsi="Arial" w:cs="Arial"/>
          <w:sz w:val="22"/>
          <w:szCs w:val="22"/>
        </w:rPr>
      </w:pPr>
      <w:r w:rsidRPr="00FD73B4">
        <w:rPr>
          <w:rStyle w:val="Strong"/>
          <w:rFonts w:ascii="Arial" w:hAnsi="Arial" w:cs="Arial"/>
          <w:sz w:val="22"/>
          <w:szCs w:val="22"/>
        </w:rPr>
        <w:t>Publication Characteristics:</w:t>
      </w:r>
    </w:p>
    <w:p w14:paraId="7F5C2207"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Peer-reviewed</w:t>
      </w:r>
    </w:p>
    <w:p w14:paraId="0C9264E0"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English language</w:t>
      </w:r>
    </w:p>
    <w:p w14:paraId="6734A271" w14:textId="77777777" w:rsidR="00EE3021" w:rsidRPr="00FD73B4" w:rsidRDefault="00EE3021" w:rsidP="00F948DC">
      <w:pPr>
        <w:pStyle w:val="NormalWeb"/>
        <w:numPr>
          <w:ilvl w:val="1"/>
          <w:numId w:val="10"/>
        </w:numPr>
        <w:spacing w:line="360" w:lineRule="auto"/>
        <w:rPr>
          <w:rFonts w:ascii="Arial" w:hAnsi="Arial" w:cs="Arial"/>
          <w:sz w:val="22"/>
          <w:szCs w:val="22"/>
        </w:rPr>
      </w:pPr>
      <w:r w:rsidRPr="00FD73B4">
        <w:rPr>
          <w:rFonts w:ascii="Arial" w:hAnsi="Arial" w:cs="Arial"/>
          <w:sz w:val="22"/>
          <w:szCs w:val="22"/>
        </w:rPr>
        <w:t xml:space="preserve">Published from </w:t>
      </w:r>
      <w:r w:rsidRPr="00FD73B4">
        <w:rPr>
          <w:rStyle w:val="Strong"/>
          <w:rFonts w:ascii="Arial" w:hAnsi="Arial" w:cs="Arial"/>
          <w:sz w:val="22"/>
          <w:szCs w:val="22"/>
        </w:rPr>
        <w:t>2010 to 2025</w:t>
      </w:r>
    </w:p>
    <w:p w14:paraId="6948A450" w14:textId="77777777" w:rsidR="00EE3021" w:rsidRPr="00FD73B4" w:rsidRDefault="00EE3021" w:rsidP="00F948DC">
      <w:pPr>
        <w:pStyle w:val="Heading3"/>
        <w:spacing w:line="360" w:lineRule="auto"/>
        <w:rPr>
          <w:rFonts w:ascii="Arial" w:hAnsi="Arial" w:cs="Arial"/>
          <w:sz w:val="22"/>
          <w:szCs w:val="22"/>
        </w:rPr>
      </w:pPr>
      <w:r w:rsidRPr="00FD73B4">
        <w:rPr>
          <w:rStyle w:val="Strong"/>
          <w:rFonts w:ascii="Arial" w:hAnsi="Arial" w:cs="Arial"/>
          <w:b/>
          <w:bCs/>
          <w:sz w:val="22"/>
          <w:szCs w:val="22"/>
        </w:rPr>
        <w:t>3.7.2 Exclusion Criteria</w:t>
      </w:r>
    </w:p>
    <w:p w14:paraId="22D4740B"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Studies were excluded if they:</w:t>
      </w:r>
    </w:p>
    <w:p w14:paraId="4B74A1D0"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t>Focused solely on stroke rehabilitation, clinical treatment, or acute stroke management</w:t>
      </w:r>
    </w:p>
    <w:p w14:paraId="54707DE8"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t>Examined populations outside the United Kingdom</w:t>
      </w:r>
    </w:p>
    <w:p w14:paraId="7A9B02D9"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t>Included participants under 40 years of age</w:t>
      </w:r>
    </w:p>
    <w:p w14:paraId="27C9294F"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t>Did not report stroke outcomes</w:t>
      </w:r>
    </w:p>
    <w:p w14:paraId="6B427385"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t>Were systematic reviews, meta-analyses, commentaries, conference abstracts, or non-peer-reviewed articles</w:t>
      </w:r>
    </w:p>
    <w:p w14:paraId="6F569B84" w14:textId="77777777" w:rsidR="00EE3021" w:rsidRPr="00FD73B4" w:rsidRDefault="00EE3021" w:rsidP="00F948DC">
      <w:pPr>
        <w:pStyle w:val="NormalWeb"/>
        <w:numPr>
          <w:ilvl w:val="0"/>
          <w:numId w:val="11"/>
        </w:numPr>
        <w:spacing w:line="360" w:lineRule="auto"/>
        <w:rPr>
          <w:rFonts w:ascii="Arial" w:hAnsi="Arial" w:cs="Arial"/>
          <w:sz w:val="22"/>
          <w:szCs w:val="22"/>
        </w:rPr>
      </w:pPr>
      <w:r w:rsidRPr="00FD73B4">
        <w:rPr>
          <w:rFonts w:ascii="Arial" w:hAnsi="Arial" w:cs="Arial"/>
          <w:sz w:val="22"/>
          <w:szCs w:val="22"/>
        </w:rPr>
        <w:lastRenderedPageBreak/>
        <w:t>Lacked methodological transparency or insufficient outcome reporting</w:t>
      </w:r>
    </w:p>
    <w:p w14:paraId="68990DDD"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These criteria ensured that only high-quality, relevant evidence informed the final synthesis.</w:t>
      </w:r>
    </w:p>
    <w:p w14:paraId="52B5BB50"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3.8 Screening and Selection Process</w:t>
      </w:r>
    </w:p>
    <w:p w14:paraId="20DFD8B6"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 screening process followed the PRISMA 2020 guidelines to ensure methodological transparency. The process involved four stages:</w:t>
      </w:r>
    </w:p>
    <w:p w14:paraId="46898021"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59264" behindDoc="0" locked="0" layoutInCell="1" allowOverlap="1" wp14:anchorId="16B930D8" wp14:editId="5993797A">
                <wp:simplePos x="0" y="0"/>
                <wp:positionH relativeFrom="margin">
                  <wp:align>left</wp:align>
                </wp:positionH>
                <wp:positionV relativeFrom="paragraph">
                  <wp:posOffset>-635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CB45260" w14:textId="77777777" w:rsidR="00CA2F45" w:rsidRPr="001502CF" w:rsidRDefault="00CA2F45" w:rsidP="00CA2F4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B930D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0;margin-top:-.05pt;width:342.15pt;height:20.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" fillcolor="#ffc000 [3207]" strokecolor="#7f5f00 [1607]" strokeweight="1pt">
                <v:textbox>
                  <w:txbxContent>
                    <w:p w14:paraId="0CB45260" w14:textId="77777777" w:rsidR="00CA2F45" w:rsidRPr="001502CF" w:rsidRDefault="00CA2F45" w:rsidP="00CA2F4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w10:wrap anchorx="margin"/>
              </v:shape>
            </w:pict>
          </mc:Fallback>
        </mc:AlternateContent>
      </w:r>
    </w:p>
    <w:p w14:paraId="24054CCE"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63360" behindDoc="0" locked="0" layoutInCell="1" allowOverlap="1" wp14:anchorId="09A82134" wp14:editId="120E803D">
                <wp:simplePos x="0" y="0"/>
                <wp:positionH relativeFrom="column">
                  <wp:posOffset>3124200</wp:posOffset>
                </wp:positionH>
                <wp:positionV relativeFrom="paragraph">
                  <wp:posOffset>368300</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50CE7F"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540EBBB9" w14:textId="474C33D6" w:rsidR="00CA2F45"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w:t>
                            </w:r>
                            <w:r w:rsidR="0027513E">
                              <w:rPr>
                                <w:rFonts w:ascii="Arial" w:hAnsi="Arial" w:cs="Arial"/>
                                <w:color w:val="000000" w:themeColor="text1"/>
                                <w:sz w:val="18"/>
                                <w:szCs w:val="20"/>
                              </w:rPr>
                              <w:t xml:space="preserve">licate records </w:t>
                            </w:r>
                            <w:r w:rsidR="00F6572B">
                              <w:rPr>
                                <w:rFonts w:ascii="Arial" w:hAnsi="Arial" w:cs="Arial"/>
                                <w:color w:val="000000" w:themeColor="text1"/>
                                <w:sz w:val="18"/>
                                <w:szCs w:val="20"/>
                              </w:rPr>
                              <w:t>removed (</w:t>
                            </w:r>
                            <w:r w:rsidR="0027513E">
                              <w:rPr>
                                <w:rFonts w:ascii="Arial" w:hAnsi="Arial" w:cs="Arial"/>
                                <w:color w:val="000000" w:themeColor="text1"/>
                                <w:sz w:val="18"/>
                                <w:szCs w:val="20"/>
                              </w:rPr>
                              <w:t>n = 22</w:t>
                            </w:r>
                            <w:r>
                              <w:rPr>
                                <w:rFonts w:ascii="Arial" w:hAnsi="Arial" w:cs="Arial"/>
                                <w:color w:val="000000" w:themeColor="text1"/>
                                <w:sz w:val="18"/>
                                <w:szCs w:val="20"/>
                              </w:rPr>
                              <w:t>)</w:t>
                            </w:r>
                          </w:p>
                          <w:p w14:paraId="54447D06" w14:textId="77777777" w:rsidR="00CA2F45"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627D40B2" w14:textId="0FC8AC00" w:rsidR="00CA2F45" w:rsidRPr="00560609"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F6572B">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82134" id="Rectangle 2" o:spid="_x0000_s1027" style="position:absolute;margin-left:246pt;margin-top:29pt;width:148.6pt;height:97.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" filled="f" strokecolor="black [3213]" strokeweight="1pt">
                <v:textbox>
                  <w:txbxContent>
                    <w:p w14:paraId="4150CE7F"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540EBBB9" w14:textId="474C33D6" w:rsidR="00CA2F45"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w:t>
                      </w:r>
                      <w:r w:rsidR="0027513E">
                        <w:rPr>
                          <w:rFonts w:ascii="Arial" w:hAnsi="Arial" w:cs="Arial"/>
                          <w:color w:val="000000" w:themeColor="text1"/>
                          <w:sz w:val="18"/>
                          <w:szCs w:val="20"/>
                        </w:rPr>
                        <w:t xml:space="preserve">licate records </w:t>
                      </w:r>
                      <w:r w:rsidR="00F6572B">
                        <w:rPr>
                          <w:rFonts w:ascii="Arial" w:hAnsi="Arial" w:cs="Arial"/>
                          <w:color w:val="000000" w:themeColor="text1"/>
                          <w:sz w:val="18"/>
                          <w:szCs w:val="20"/>
                        </w:rPr>
                        <w:t>removed (</w:t>
                      </w:r>
                      <w:r w:rsidR="0027513E">
                        <w:rPr>
                          <w:rFonts w:ascii="Arial" w:hAnsi="Arial" w:cs="Arial"/>
                          <w:color w:val="000000" w:themeColor="text1"/>
                          <w:sz w:val="18"/>
                          <w:szCs w:val="20"/>
                        </w:rPr>
                        <w:t>n = 22</w:t>
                      </w:r>
                      <w:r>
                        <w:rPr>
                          <w:rFonts w:ascii="Arial" w:hAnsi="Arial" w:cs="Arial"/>
                          <w:color w:val="000000" w:themeColor="text1"/>
                          <w:sz w:val="18"/>
                          <w:szCs w:val="20"/>
                        </w:rPr>
                        <w:t>)</w:t>
                      </w:r>
                    </w:p>
                    <w:p w14:paraId="54447D06" w14:textId="77777777" w:rsidR="00CA2F45"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627D40B2" w14:textId="0FC8AC00" w:rsidR="00CA2F45" w:rsidRPr="00560609"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F6572B">
                        <w:rPr>
                          <w:rFonts w:ascii="Arial" w:hAnsi="Arial" w:cs="Arial"/>
                          <w:color w:val="000000" w:themeColor="text1"/>
                          <w:sz w:val="18"/>
                          <w:szCs w:val="20"/>
                        </w:rPr>
                        <w:t>0)</w:t>
                      </w:r>
                    </w:p>
                  </w:txbxContent>
                </v:textbox>
              </v:rect>
            </w:pict>
          </mc:Fallback>
        </mc:AlternateContent>
      </w:r>
      <w:r w:rsidRPr="00FD73B4">
        <w:rPr>
          <w:rFonts w:ascii="Arial" w:hAnsi="Arial" w:cs="Arial"/>
          <w:noProof/>
        </w:rPr>
        <mc:AlternateContent>
          <mc:Choice Requires="wps">
            <w:drawing>
              <wp:anchor distT="0" distB="0" distL="114300" distR="114300" simplePos="0" relativeHeight="251660288" behindDoc="0" locked="0" layoutInCell="1" allowOverlap="1" wp14:anchorId="515A6E6A" wp14:editId="154AB293">
                <wp:simplePos x="0" y="0"/>
                <wp:positionH relativeFrom="column">
                  <wp:posOffset>539750</wp:posOffset>
                </wp:positionH>
                <wp:positionV relativeFrom="paragraph">
                  <wp:posOffset>386715</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08283F"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sidR="008B34A0">
                              <w:rPr>
                                <w:rFonts w:ascii="Arial" w:hAnsi="Arial" w:cs="Arial"/>
                                <w:color w:val="000000" w:themeColor="text1"/>
                                <w:sz w:val="18"/>
                                <w:szCs w:val="20"/>
                              </w:rPr>
                              <w:t xml:space="preserve"> identified from</w:t>
                            </w:r>
                            <w:r>
                              <w:rPr>
                                <w:rFonts w:ascii="Arial" w:hAnsi="Arial" w:cs="Arial"/>
                                <w:color w:val="000000" w:themeColor="text1"/>
                                <w:sz w:val="18"/>
                                <w:szCs w:val="20"/>
                              </w:rPr>
                              <w:t>:</w:t>
                            </w:r>
                          </w:p>
                          <w:p w14:paraId="27FCF0D9" w14:textId="77777777" w:rsidR="00CA2F45" w:rsidRDefault="008B34A0"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5966</w:t>
                            </w:r>
                            <w:r w:rsidR="00CA2F45">
                              <w:rPr>
                                <w:rFonts w:ascii="Arial" w:hAnsi="Arial" w:cs="Arial"/>
                                <w:color w:val="000000" w:themeColor="text1"/>
                                <w:sz w:val="18"/>
                                <w:szCs w:val="20"/>
                              </w:rPr>
                              <w:t>)</w:t>
                            </w:r>
                          </w:p>
                          <w:p w14:paraId="2DB08741" w14:textId="6E8F72C6" w:rsidR="00CA2F45" w:rsidRPr="00560609"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F6572B">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A6E6A" id="Rectangle 1" o:spid="_x0000_s1028" style="position:absolute;margin-left:42.5pt;margin-top:30.45pt;width:148.6pt;height:9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" filled="f" strokecolor="black [3213]" strokeweight="1pt">
                <v:textbox>
                  <w:txbxContent>
                    <w:p w14:paraId="6408283F"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sidR="008B34A0">
                        <w:rPr>
                          <w:rFonts w:ascii="Arial" w:hAnsi="Arial" w:cs="Arial"/>
                          <w:color w:val="000000" w:themeColor="text1"/>
                          <w:sz w:val="18"/>
                          <w:szCs w:val="20"/>
                        </w:rPr>
                        <w:t xml:space="preserve"> identified from</w:t>
                      </w:r>
                      <w:r>
                        <w:rPr>
                          <w:rFonts w:ascii="Arial" w:hAnsi="Arial" w:cs="Arial"/>
                          <w:color w:val="000000" w:themeColor="text1"/>
                          <w:sz w:val="18"/>
                          <w:szCs w:val="20"/>
                        </w:rPr>
                        <w:t>:</w:t>
                      </w:r>
                    </w:p>
                    <w:p w14:paraId="27FCF0D9" w14:textId="77777777" w:rsidR="00CA2F45" w:rsidRDefault="008B34A0"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5966</w:t>
                      </w:r>
                      <w:r w:rsidR="00CA2F45">
                        <w:rPr>
                          <w:rFonts w:ascii="Arial" w:hAnsi="Arial" w:cs="Arial"/>
                          <w:color w:val="000000" w:themeColor="text1"/>
                          <w:sz w:val="18"/>
                          <w:szCs w:val="20"/>
                        </w:rPr>
                        <w:t>)</w:t>
                      </w:r>
                    </w:p>
                    <w:p w14:paraId="2DB08741" w14:textId="6E8F72C6" w:rsidR="00CA2F45" w:rsidRPr="00560609" w:rsidRDefault="00CA2F45" w:rsidP="00CA2F4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Registers (n = </w:t>
                      </w:r>
                      <w:r w:rsidR="00F6572B">
                        <w:rPr>
                          <w:rFonts w:ascii="Arial" w:hAnsi="Arial" w:cs="Arial"/>
                          <w:color w:val="000000" w:themeColor="text1"/>
                          <w:sz w:val="18"/>
                          <w:szCs w:val="20"/>
                        </w:rPr>
                        <w:t>0)</w:t>
                      </w:r>
                    </w:p>
                  </w:txbxContent>
                </v:textbox>
              </v:rect>
            </w:pict>
          </mc:Fallback>
        </mc:AlternateContent>
      </w:r>
    </w:p>
    <w:p w14:paraId="7A603401"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62336" behindDoc="0" locked="0" layoutInCell="1" allowOverlap="1" wp14:anchorId="6DB1719D" wp14:editId="4B60876D">
                <wp:simplePos x="0" y="0"/>
                <wp:positionH relativeFrom="margin">
                  <wp:align>left</wp:align>
                </wp:positionH>
                <wp:positionV relativeFrom="paragraph">
                  <wp:posOffset>413068</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7E29ABF" w14:textId="77777777" w:rsidR="00CA2F45" w:rsidRPr="001502CF" w:rsidRDefault="00CA2F45" w:rsidP="00CA2F4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1719D" id="Flowchart: Alternate Process 31" o:spid="_x0000_s1029" type="#_x0000_t176" style="position:absolute;margin-left:0;margin-top:32.55pt;width:100.55pt;height:20.7pt;rotation:-90;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" fillcolor="#8eaadb [1944]" strokecolor="black [3213]" strokeweight="1pt">
                <v:textbox>
                  <w:txbxContent>
                    <w:p w14:paraId="37E29ABF" w14:textId="77777777" w:rsidR="00CA2F45" w:rsidRPr="001502CF" w:rsidRDefault="00CA2F45" w:rsidP="00CA2F4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w10:wrap anchorx="margin"/>
              </v:shape>
            </w:pict>
          </mc:Fallback>
        </mc:AlternateContent>
      </w:r>
      <w:r w:rsidRPr="00FD73B4">
        <w:rPr>
          <w:rFonts w:ascii="Arial" w:hAnsi="Arial" w:cs="Arial"/>
          <w:color w:val="000000" w:themeColor="text1"/>
          <w:sz w:val="22"/>
          <w:szCs w:val="22"/>
        </w:rPr>
        <w:tab/>
      </w:r>
    </w:p>
    <w:p w14:paraId="57B7FAE8"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61312" behindDoc="0" locked="0" layoutInCell="1" allowOverlap="1" wp14:anchorId="51382FF2" wp14:editId="73943E76">
                <wp:simplePos x="0" y="0"/>
                <wp:positionH relativeFrom="column">
                  <wp:posOffset>2451100</wp:posOffset>
                </wp:positionH>
                <wp:positionV relativeFrom="paragraph">
                  <wp:posOffset>210185</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C5F066" id="_x0000_t32" coordsize="21600,21600" o:spt="32" o:oned="t" path="m,l21600,21600e" filled="f">
                <v:path arrowok="t" fillok="f" o:connecttype="none"/>
                <o:lock v:ext="edit" shapetype="t"/>
              </v:shapetype>
              <v:shape id="Straight Arrow Connector 14" o:spid="_x0000_s1026" type="#_x0000_t32" style="position:absolute;margin-left:193pt;margin-top:16.55pt;width:44.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" strokecolor="black [3213]" strokeweight=".5pt">
                <v:stroke endarrow="block" joinstyle="miter"/>
              </v:shape>
            </w:pict>
          </mc:Fallback>
        </mc:AlternateContent>
      </w:r>
    </w:p>
    <w:p w14:paraId="48216987" w14:textId="77777777" w:rsidR="00CA2F45" w:rsidRPr="00FD73B4" w:rsidRDefault="00CA2F45" w:rsidP="00CA2F45">
      <w:pPr>
        <w:pStyle w:val="NormalWeb"/>
        <w:spacing w:line="360" w:lineRule="auto"/>
        <w:rPr>
          <w:rFonts w:ascii="Arial" w:hAnsi="Arial" w:cs="Arial"/>
          <w:color w:val="000000" w:themeColor="text1"/>
          <w:sz w:val="22"/>
          <w:szCs w:val="22"/>
        </w:rPr>
      </w:pPr>
    </w:p>
    <w:p w14:paraId="44DA3250"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7696" behindDoc="0" locked="0" layoutInCell="1" allowOverlap="1" wp14:anchorId="192D361F" wp14:editId="76820379">
                <wp:simplePos x="0" y="0"/>
                <wp:positionH relativeFrom="column">
                  <wp:posOffset>1454150</wp:posOffset>
                </wp:positionH>
                <wp:positionV relativeFrom="paragraph">
                  <wp:posOffset>5715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0E6B13" id="Straight Arrow Connector 36" o:spid="_x0000_s1026" type="#_x0000_t32" style="position:absolute;margin-left:114.5pt;margin-top:.4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" strokecolor="black [3213]" strokeweight=".5pt">
                <v:stroke endarrow="block" joinstyle="miter"/>
              </v:shape>
            </w:pict>
          </mc:Fallback>
        </mc:AlternateContent>
      </w:r>
      <w:r w:rsidRPr="00FD73B4">
        <w:rPr>
          <w:rFonts w:ascii="Arial" w:hAnsi="Arial" w:cs="Arial"/>
          <w:noProof/>
        </w:rPr>
        <mc:AlternateContent>
          <mc:Choice Requires="wps">
            <w:drawing>
              <wp:anchor distT="0" distB="0" distL="114300" distR="114300" simplePos="0" relativeHeight="251665408" behindDoc="0" locked="0" layoutInCell="1" allowOverlap="1" wp14:anchorId="74CC2C58" wp14:editId="57CE21AE">
                <wp:simplePos x="0" y="0"/>
                <wp:positionH relativeFrom="column">
                  <wp:posOffset>3162300</wp:posOffset>
                </wp:positionH>
                <wp:positionV relativeFrom="paragraph">
                  <wp:posOffset>234315</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2CB397"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7F27A80" w14:textId="31C9A33D"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5050)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C2C58" id="Rectangle 4" o:spid="_x0000_s1030" style="position:absolute;margin-left:249pt;margin-top:18.4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" filled="f" strokecolor="black [3213]" strokeweight="1pt">
                <v:textbox>
                  <w:txbxContent>
                    <w:p w14:paraId="322CB397"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7F27A80" w14:textId="31C9A33D"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5050)</w:t>
                      </w:r>
                    </w:p>
                  </w:txbxContent>
                </v:textbox>
              </v:rect>
            </w:pict>
          </mc:Fallback>
        </mc:AlternateContent>
      </w:r>
      <w:r w:rsidRPr="00FD73B4">
        <w:rPr>
          <w:rFonts w:ascii="Arial" w:hAnsi="Arial" w:cs="Arial"/>
          <w:noProof/>
        </w:rPr>
        <mc:AlternateContent>
          <mc:Choice Requires="wps">
            <w:drawing>
              <wp:anchor distT="0" distB="0" distL="114300" distR="114300" simplePos="0" relativeHeight="251664384" behindDoc="0" locked="0" layoutInCell="1" allowOverlap="1" wp14:anchorId="19EEF7D7" wp14:editId="7FA6AE98">
                <wp:simplePos x="0" y="0"/>
                <wp:positionH relativeFrom="column">
                  <wp:posOffset>584200</wp:posOffset>
                </wp:positionH>
                <wp:positionV relativeFrom="paragraph">
                  <wp:posOffset>310515</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631646"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245A805B" w14:textId="77777777"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=5944</w:t>
                            </w:r>
                            <w:r w:rsidR="00CA2F45">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EF7D7" id="Rectangle 3" o:spid="_x0000_s1031" style="position:absolute;margin-left:46pt;margin-top:24.4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" filled="f" strokecolor="black [3213]" strokeweight="1pt">
                <v:textbox>
                  <w:txbxContent>
                    <w:p w14:paraId="70631646"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245A805B" w14:textId="77777777"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=5944</w:t>
                      </w:r>
                      <w:r w:rsidR="00CA2F45">
                        <w:rPr>
                          <w:rFonts w:ascii="Arial" w:hAnsi="Arial" w:cs="Arial"/>
                          <w:color w:val="000000" w:themeColor="text1"/>
                          <w:sz w:val="18"/>
                          <w:szCs w:val="20"/>
                        </w:rPr>
                        <w:t>)</w:t>
                      </w:r>
                    </w:p>
                  </w:txbxContent>
                </v:textbox>
              </v:rect>
            </w:pict>
          </mc:Fallback>
        </mc:AlternateContent>
      </w:r>
    </w:p>
    <w:p w14:paraId="01C911D7"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66432" behindDoc="0" locked="0" layoutInCell="1" allowOverlap="1" wp14:anchorId="388505F7" wp14:editId="62429B3C">
                <wp:simplePos x="0" y="0"/>
                <wp:positionH relativeFrom="column">
                  <wp:posOffset>2527300</wp:posOffset>
                </wp:positionH>
                <wp:positionV relativeFrom="paragraph">
                  <wp:posOffset>82550</wp:posOffset>
                </wp:positionV>
                <wp:extent cx="563270" cy="0"/>
                <wp:effectExtent l="0" t="76200" r="27305" b="95250"/>
                <wp:wrapNone/>
                <wp:docPr id="5" name="Straight Arrow Connector 5"/>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3685C7" id="Straight Arrow Connector 5" o:spid="_x0000_s1026" type="#_x0000_t32" style="position:absolute;margin-left:199pt;margin-top:6.5pt;width:44.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" strokecolor="black [3213]" strokeweight=".5pt">
                <v:stroke endarrow="block" joinstyle="miter"/>
              </v:shape>
            </w:pict>
          </mc:Fallback>
        </mc:AlternateContent>
      </w:r>
    </w:p>
    <w:p w14:paraId="19BE125D"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8720" behindDoc="0" locked="0" layoutInCell="1" allowOverlap="1" wp14:anchorId="304A4A14" wp14:editId="2D08AFB8">
                <wp:simplePos x="0" y="0"/>
                <wp:positionH relativeFrom="column">
                  <wp:posOffset>1466850</wp:posOffset>
                </wp:positionH>
                <wp:positionV relativeFrom="paragraph">
                  <wp:posOffset>5715</wp:posOffset>
                </wp:positionV>
                <wp:extent cx="0" cy="281305"/>
                <wp:effectExtent l="76200" t="0" r="57150" b="61595"/>
                <wp:wrapNone/>
                <wp:docPr id="12" name="Straight Arrow Connector 12"/>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D1755E" id="Straight Arrow Connector 12" o:spid="_x0000_s1026" type="#_x0000_t32" style="position:absolute;margin-left:115.5pt;margin-top:.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" strokecolor="black [3213]" strokeweight=".5pt">
                <v:stroke endarrow="block" joinstyle="miter"/>
              </v:shape>
            </w:pict>
          </mc:Fallback>
        </mc:AlternateContent>
      </w:r>
      <w:r w:rsidRPr="00FD73B4">
        <w:rPr>
          <w:rFonts w:ascii="Arial" w:hAnsi="Arial" w:cs="Arial"/>
          <w:noProof/>
        </w:rPr>
        <mc:AlternateContent>
          <mc:Choice Requires="wps">
            <w:drawing>
              <wp:anchor distT="0" distB="0" distL="114300" distR="114300" simplePos="0" relativeHeight="251668480" behindDoc="0" locked="0" layoutInCell="1" allowOverlap="1" wp14:anchorId="4149E023" wp14:editId="4A2884B1">
                <wp:simplePos x="0" y="0"/>
                <wp:positionH relativeFrom="column">
                  <wp:posOffset>3194050</wp:posOffset>
                </wp:positionH>
                <wp:positionV relativeFrom="paragraph">
                  <wp:posOffset>304165</wp:posOffset>
                </wp:positionV>
                <wp:extent cx="1887220" cy="526415"/>
                <wp:effectExtent l="0" t="0" r="17780" b="2603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5E07EC"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762C651" w14:textId="0D7BC7D5" w:rsidR="00CA2F45" w:rsidRPr="00560609"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F6572B">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9E023" id="Rectangle 7" o:spid="_x0000_s1032" style="position:absolute;margin-left:251.5pt;margin-top:23.95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" filled="f" strokecolor="black [3213]" strokeweight="1pt">
                <v:textbox>
                  <w:txbxContent>
                    <w:p w14:paraId="395E07EC"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6762C651" w14:textId="0D7BC7D5" w:rsidR="00CA2F45" w:rsidRPr="00560609"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F6572B">
                        <w:rPr>
                          <w:rFonts w:ascii="Arial" w:hAnsi="Arial" w:cs="Arial"/>
                          <w:color w:val="000000" w:themeColor="text1"/>
                          <w:sz w:val="18"/>
                          <w:szCs w:val="20"/>
                        </w:rPr>
                        <w:t>0)</w:t>
                      </w:r>
                    </w:p>
                  </w:txbxContent>
                </v:textbox>
              </v:rect>
            </w:pict>
          </mc:Fallback>
        </mc:AlternateContent>
      </w:r>
      <w:r w:rsidRPr="00FD73B4">
        <w:rPr>
          <w:rFonts w:ascii="Arial" w:hAnsi="Arial" w:cs="Arial"/>
          <w:noProof/>
        </w:rPr>
        <mc:AlternateContent>
          <mc:Choice Requires="wps">
            <w:drawing>
              <wp:anchor distT="0" distB="0" distL="114300" distR="114300" simplePos="0" relativeHeight="251667456" behindDoc="0" locked="0" layoutInCell="1" allowOverlap="1" wp14:anchorId="0F775C4F" wp14:editId="711D0CA7">
                <wp:simplePos x="0" y="0"/>
                <wp:positionH relativeFrom="column">
                  <wp:posOffset>595630</wp:posOffset>
                </wp:positionH>
                <wp:positionV relativeFrom="paragraph">
                  <wp:posOffset>316865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7387D4"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6B2E8A9B" w14:textId="74E44398"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894)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75C4F" id="Rectangle 6" o:spid="_x0000_s1033" style="position:absolute;margin-left:46.9pt;margin-top:24.9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" filled="f" strokecolor="black [3213]" strokeweight="1pt">
                <v:textbox>
                  <w:txbxContent>
                    <w:p w14:paraId="007387D4"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6B2E8A9B" w14:textId="74E44398"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894)</w:t>
                      </w:r>
                    </w:p>
                  </w:txbxContent>
                </v:textbox>
              </v:rect>
            </w:pict>
          </mc:Fallback>
        </mc:AlternateContent>
      </w:r>
    </w:p>
    <w:p w14:paraId="2BD3488A"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4624" behindDoc="0" locked="0" layoutInCell="1" allowOverlap="1" wp14:anchorId="027B473A" wp14:editId="4E68268E">
                <wp:simplePos x="0" y="0"/>
                <wp:positionH relativeFrom="margin">
                  <wp:align>left</wp:align>
                </wp:positionH>
                <wp:positionV relativeFrom="paragraph">
                  <wp:posOffset>177484</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1912808" w14:textId="77777777" w:rsidR="00CA2F45" w:rsidRDefault="00CA2F45" w:rsidP="00CA2F4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8B98C5A" w14:textId="77777777" w:rsidR="00CA2F45" w:rsidRPr="001502CF" w:rsidRDefault="00CA2F45" w:rsidP="00CA2F45">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B473A" id="Flowchart: Alternate Process 32" o:spid="_x0000_s1034" type="#_x0000_t176" style="position:absolute;margin-left:0;margin-top:14pt;width:219.5pt;height:20.7pt;rotation:-90;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" fillcolor="#8eaadb [1944]" strokecolor="black [3213]" strokeweight="1pt">
                <v:textbox>
                  <w:txbxContent>
                    <w:p w14:paraId="51912808" w14:textId="77777777" w:rsidR="00CA2F45" w:rsidRDefault="00CA2F45" w:rsidP="00CA2F4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8B98C5A" w14:textId="77777777" w:rsidR="00CA2F45" w:rsidRPr="001502CF" w:rsidRDefault="00CA2F45" w:rsidP="00CA2F45">
                      <w:pPr>
                        <w:spacing w:after="0" w:line="240" w:lineRule="auto"/>
                        <w:rPr>
                          <w:rFonts w:ascii="Arial" w:hAnsi="Arial" w:cs="Arial"/>
                          <w:b/>
                          <w:color w:val="000000" w:themeColor="text1"/>
                          <w:sz w:val="18"/>
                          <w:szCs w:val="18"/>
                        </w:rPr>
                      </w:pPr>
                    </w:p>
                  </w:txbxContent>
                </v:textbox>
                <w10:wrap anchorx="margin"/>
              </v:shape>
            </w:pict>
          </mc:Fallback>
        </mc:AlternateContent>
      </w:r>
      <w:r w:rsidRPr="00FD73B4">
        <w:rPr>
          <w:rFonts w:ascii="Arial" w:hAnsi="Arial" w:cs="Arial"/>
          <w:noProof/>
        </w:rPr>
        <mc:AlternateContent>
          <mc:Choice Requires="wps">
            <w:drawing>
              <wp:anchor distT="0" distB="0" distL="114300" distR="114300" simplePos="0" relativeHeight="251669504" behindDoc="0" locked="0" layoutInCell="1" allowOverlap="1" wp14:anchorId="0C9BEF0E" wp14:editId="552EB1EB">
                <wp:simplePos x="0" y="0"/>
                <wp:positionH relativeFrom="column">
                  <wp:posOffset>2503170</wp:posOffset>
                </wp:positionH>
                <wp:positionV relativeFrom="paragraph">
                  <wp:posOffset>171450</wp:posOffset>
                </wp:positionV>
                <wp:extent cx="563270" cy="0"/>
                <wp:effectExtent l="0" t="76200" r="27305" b="95250"/>
                <wp:wrapNone/>
                <wp:docPr id="8" name="Straight Arrow Connector 8"/>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6028A3" id="Straight Arrow Connector 8" o:spid="_x0000_s1026" type="#_x0000_t32" style="position:absolute;margin-left:197.1pt;margin-top:13.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" strokecolor="black [3213]" strokeweight=".5pt">
                <v:stroke endarrow="block" joinstyle="miter"/>
              </v:shape>
            </w:pict>
          </mc:Fallback>
        </mc:AlternateContent>
      </w:r>
    </w:p>
    <w:p w14:paraId="63929CF0"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0528" behindDoc="0" locked="0" layoutInCell="1" allowOverlap="1" wp14:anchorId="7B6C694C" wp14:editId="09107C27">
                <wp:simplePos x="0" y="0"/>
                <wp:positionH relativeFrom="column">
                  <wp:posOffset>570230</wp:posOffset>
                </wp:positionH>
                <wp:positionV relativeFrom="paragraph">
                  <wp:posOffset>367665</wp:posOffset>
                </wp:positionV>
                <wp:extent cx="1887220" cy="526415"/>
                <wp:effectExtent l="0" t="0" r="17780" b="26035"/>
                <wp:wrapNone/>
                <wp:docPr id="9"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0E0615"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5A0C449F" w14:textId="250317DC"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894)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C694C" id="Rectangle 9" o:spid="_x0000_s1035" style="position:absolute;margin-left:44.9pt;margin-top:28.95pt;width:148.6pt;height:4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" filled="f" strokecolor="black [3213]" strokeweight="1pt">
                <v:textbox>
                  <w:txbxContent>
                    <w:p w14:paraId="690E0615"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5A0C449F" w14:textId="250317DC" w:rsidR="00CA2F45" w:rsidRPr="00560609" w:rsidRDefault="0027513E"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F6572B">
                        <w:rPr>
                          <w:rFonts w:ascii="Arial" w:hAnsi="Arial" w:cs="Arial"/>
                          <w:color w:val="000000" w:themeColor="text1"/>
                          <w:sz w:val="18"/>
                          <w:szCs w:val="20"/>
                        </w:rPr>
                        <w:t>894)</w:t>
                      </w:r>
                    </w:p>
                  </w:txbxContent>
                </v:textbox>
              </v:rect>
            </w:pict>
          </mc:Fallback>
        </mc:AlternateContent>
      </w:r>
      <w:r w:rsidRPr="00FD73B4">
        <w:rPr>
          <w:rFonts w:ascii="Arial" w:hAnsi="Arial" w:cs="Arial"/>
          <w:noProof/>
        </w:rPr>
        <mc:AlternateContent>
          <mc:Choice Requires="wps">
            <w:drawing>
              <wp:anchor distT="0" distB="0" distL="114300" distR="114300" simplePos="0" relativeHeight="251679744" behindDoc="0" locked="0" layoutInCell="1" allowOverlap="1" wp14:anchorId="58779B3D" wp14:editId="7F8B6067">
                <wp:simplePos x="0" y="0"/>
                <wp:positionH relativeFrom="column">
                  <wp:posOffset>1428750</wp:posOffset>
                </wp:positionH>
                <wp:positionV relativeFrom="paragraph">
                  <wp:posOffset>5080</wp:posOffset>
                </wp:positionV>
                <wp:extent cx="0" cy="281305"/>
                <wp:effectExtent l="76200" t="0" r="57150" b="61595"/>
                <wp:wrapNone/>
                <wp:docPr id="15" name="Straight Arrow Connector 1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1695AD" id="Straight Arrow Connector 15" o:spid="_x0000_s1026" type="#_x0000_t32" style="position:absolute;margin-left:112.5pt;margin-top:.4pt;width:0;height:22.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" strokecolor="black [3213]" strokeweight=".5pt">
                <v:stroke endarrow="block" joinstyle="miter"/>
              </v:shape>
            </w:pict>
          </mc:Fallback>
        </mc:AlternateContent>
      </w:r>
      <w:r w:rsidRPr="00FD73B4">
        <w:rPr>
          <w:rFonts w:ascii="Arial" w:hAnsi="Arial" w:cs="Arial"/>
          <w:noProof/>
        </w:rPr>
        <mc:AlternateContent>
          <mc:Choice Requires="wps">
            <w:drawing>
              <wp:anchor distT="0" distB="0" distL="114300" distR="114300" simplePos="0" relativeHeight="251671552" behindDoc="0" locked="0" layoutInCell="1" allowOverlap="1" wp14:anchorId="20FE492E" wp14:editId="564A23A1">
                <wp:simplePos x="0" y="0"/>
                <wp:positionH relativeFrom="column">
                  <wp:posOffset>3276600</wp:posOffset>
                </wp:positionH>
                <wp:positionV relativeFrom="paragraph">
                  <wp:posOffset>222886</wp:posOffset>
                </wp:positionV>
                <wp:extent cx="1887220" cy="787400"/>
                <wp:effectExtent l="0" t="0" r="17780" b="12700"/>
                <wp:wrapNone/>
                <wp:docPr id="10" name="Rectangle 10"/>
                <wp:cNvGraphicFramePr/>
                <a:graphic xmlns:a="http://schemas.openxmlformats.org/drawingml/2006/main">
                  <a:graphicData uri="http://schemas.microsoft.com/office/word/2010/wordprocessingShape">
                    <wps:wsp>
                      <wps:cNvSpPr/>
                      <wps:spPr>
                        <a:xfrm>
                          <a:off x="0" y="0"/>
                          <a:ext cx="1887220" cy="787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7BA84E"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sidR="0027513E">
                              <w:rPr>
                                <w:rFonts w:ascii="Arial" w:hAnsi="Arial" w:cs="Arial"/>
                                <w:color w:val="000000" w:themeColor="text1"/>
                                <w:sz w:val="18"/>
                                <w:szCs w:val="20"/>
                              </w:rPr>
                              <w:t xml:space="preserve"> excluded: 884</w:t>
                            </w:r>
                          </w:p>
                          <w:p w14:paraId="30F4AD9A" w14:textId="77777777" w:rsidR="00CA2F45" w:rsidRPr="00560609" w:rsidRDefault="00CA2F45" w:rsidP="00CA2F45">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E492E" id="Rectangle 10" o:spid="_x0000_s1036" style="position:absolute;margin-left:258pt;margin-top:17.55pt;width:148.6pt;height: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" filled="f" strokecolor="black [3213]" strokeweight="1pt">
                <v:textbox>
                  <w:txbxContent>
                    <w:p w14:paraId="667BA84E" w14:textId="77777777" w:rsidR="00CA2F45" w:rsidRDefault="00CA2F45" w:rsidP="00CA2F4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sidR="0027513E">
                        <w:rPr>
                          <w:rFonts w:ascii="Arial" w:hAnsi="Arial" w:cs="Arial"/>
                          <w:color w:val="000000" w:themeColor="text1"/>
                          <w:sz w:val="18"/>
                          <w:szCs w:val="20"/>
                        </w:rPr>
                        <w:t xml:space="preserve"> excluded: 884</w:t>
                      </w:r>
                    </w:p>
                    <w:p w14:paraId="30F4AD9A" w14:textId="77777777" w:rsidR="00CA2F45" w:rsidRPr="00560609" w:rsidRDefault="00CA2F45" w:rsidP="00CA2F45">
                      <w:pPr>
                        <w:spacing w:after="0" w:line="240" w:lineRule="auto"/>
                        <w:ind w:left="284"/>
                        <w:rPr>
                          <w:rFonts w:ascii="Arial" w:hAnsi="Arial" w:cs="Arial"/>
                          <w:color w:val="000000" w:themeColor="text1"/>
                          <w:sz w:val="18"/>
                          <w:szCs w:val="20"/>
                        </w:rPr>
                      </w:pPr>
                    </w:p>
                  </w:txbxContent>
                </v:textbox>
              </v:rect>
            </w:pict>
          </mc:Fallback>
        </mc:AlternateContent>
      </w:r>
    </w:p>
    <w:p w14:paraId="0A9B95FB"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2576" behindDoc="0" locked="0" layoutInCell="1" allowOverlap="1" wp14:anchorId="7545C0FC" wp14:editId="10097A29">
                <wp:simplePos x="0" y="0"/>
                <wp:positionH relativeFrom="column">
                  <wp:posOffset>2590800</wp:posOffset>
                </wp:positionH>
                <wp:positionV relativeFrom="paragraph">
                  <wp:posOffset>165100</wp:posOffset>
                </wp:positionV>
                <wp:extent cx="563270" cy="0"/>
                <wp:effectExtent l="0" t="76200" r="27305" b="95250"/>
                <wp:wrapNone/>
                <wp:docPr id="11" name="Straight Arrow Connector 11"/>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51A61" id="Straight Arrow Connector 11" o:spid="_x0000_s1026" type="#_x0000_t32" style="position:absolute;margin-left:204pt;margin-top:13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" strokecolor="black [3213]" strokeweight=".5pt">
                <v:stroke endarrow="block" joinstyle="miter"/>
              </v:shape>
            </w:pict>
          </mc:Fallback>
        </mc:AlternateContent>
      </w:r>
    </w:p>
    <w:p w14:paraId="0DD57C27" w14:textId="77777777" w:rsidR="00CA2F45" w:rsidRPr="00FD73B4" w:rsidRDefault="00CA2F45" w:rsidP="00CA2F45">
      <w:pPr>
        <w:pStyle w:val="NormalWeb"/>
        <w:spacing w:line="360" w:lineRule="auto"/>
        <w:rPr>
          <w:rFonts w:ascii="Arial" w:hAnsi="Arial" w:cs="Arial"/>
          <w:color w:val="000000" w:themeColor="text1"/>
          <w:sz w:val="22"/>
          <w:szCs w:val="22"/>
        </w:rPr>
      </w:pPr>
      <w:r w:rsidRPr="00FD73B4">
        <w:rPr>
          <w:rFonts w:ascii="Arial" w:hAnsi="Arial" w:cs="Arial"/>
          <w:noProof/>
        </w:rPr>
        <mc:AlternateContent>
          <mc:Choice Requires="wps">
            <w:drawing>
              <wp:anchor distT="0" distB="0" distL="114300" distR="114300" simplePos="0" relativeHeight="251676672" behindDoc="0" locked="0" layoutInCell="1" allowOverlap="1" wp14:anchorId="56A03F0D" wp14:editId="5C9FAC7D">
                <wp:simplePos x="0" y="0"/>
                <wp:positionH relativeFrom="column">
                  <wp:posOffset>1511934</wp:posOffset>
                </wp:positionH>
                <wp:positionV relativeFrom="paragraph">
                  <wp:posOffset>156211</wp:posOffset>
                </wp:positionV>
                <wp:extent cx="45719" cy="501650"/>
                <wp:effectExtent l="38100" t="0" r="69215" b="50800"/>
                <wp:wrapNone/>
                <wp:docPr id="19" name="Straight Arrow Connector 19"/>
                <wp:cNvGraphicFramePr/>
                <a:graphic xmlns:a="http://schemas.openxmlformats.org/drawingml/2006/main">
                  <a:graphicData uri="http://schemas.microsoft.com/office/word/2010/wordprocessingShape">
                    <wps:wsp>
                      <wps:cNvCnPr/>
                      <wps:spPr>
                        <a:xfrm>
                          <a:off x="0" y="0"/>
                          <a:ext cx="45719" cy="501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32AB8" id="Straight Arrow Connector 19" o:spid="_x0000_s1026" type="#_x0000_t32" style="position:absolute;margin-left:119.05pt;margin-top:12.3pt;width:3.6pt;height:3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" strokecolor="black [3213]" strokeweight=".5pt">
                <v:stroke endarrow="block" joinstyle="miter"/>
              </v:shape>
            </w:pict>
          </mc:Fallback>
        </mc:AlternateContent>
      </w:r>
    </w:p>
    <w:p w14:paraId="52089FF6" w14:textId="77777777" w:rsidR="00CA2F45" w:rsidRPr="00FD73B4" w:rsidRDefault="00CA2F45" w:rsidP="00CA2F45">
      <w:pPr>
        <w:pStyle w:val="NormalWeb"/>
        <w:spacing w:line="360" w:lineRule="auto"/>
        <w:rPr>
          <w:rFonts w:ascii="Arial" w:hAnsi="Arial" w:cs="Arial"/>
          <w:color w:val="000000" w:themeColor="text1"/>
          <w:sz w:val="22"/>
          <w:szCs w:val="22"/>
        </w:rPr>
      </w:pPr>
    </w:p>
    <w:p w14:paraId="2FED7842" w14:textId="77777777" w:rsidR="00CA2F45" w:rsidRPr="00FD73B4" w:rsidRDefault="00CA2F45" w:rsidP="00CA2F45">
      <w:pPr>
        <w:pStyle w:val="NormalWeb"/>
        <w:spacing w:line="360" w:lineRule="auto"/>
        <w:rPr>
          <w:rFonts w:ascii="Arial" w:hAnsi="Arial" w:cs="Arial"/>
        </w:rPr>
      </w:pPr>
      <w:r w:rsidRPr="00FD73B4">
        <w:rPr>
          <w:rFonts w:ascii="Arial" w:hAnsi="Arial" w:cs="Arial"/>
          <w:noProof/>
        </w:rPr>
        <mc:AlternateContent>
          <mc:Choice Requires="wps">
            <w:drawing>
              <wp:anchor distT="0" distB="0" distL="114300" distR="114300" simplePos="0" relativeHeight="251673600" behindDoc="0" locked="0" layoutInCell="1" allowOverlap="1" wp14:anchorId="74A91E49" wp14:editId="16FBBF6C">
                <wp:simplePos x="0" y="0"/>
                <wp:positionH relativeFrom="column">
                  <wp:posOffset>571500</wp:posOffset>
                </wp:positionH>
                <wp:positionV relativeFrom="paragraph">
                  <wp:posOffset>4127</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4EF30" w14:textId="77777777"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2B58E8B1" w14:textId="43BF3A3E"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F6572B">
                              <w:rPr>
                                <w:rFonts w:ascii="Arial" w:hAnsi="Arial" w:cs="Arial"/>
                                <w:color w:val="000000" w:themeColor="text1"/>
                                <w:sz w:val="18"/>
                                <w:szCs w:val="20"/>
                              </w:rPr>
                              <w:t>10)</w:t>
                            </w:r>
                          </w:p>
                          <w:p w14:paraId="0CE3A9A4" w14:textId="77777777"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4EFBC2B" w14:textId="77777777" w:rsidR="00CA2F45" w:rsidRPr="00560609"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91E49" id="Rectangle 13" o:spid="_x0000_s1037" style="position:absolute;margin-left:45pt;margin-top:.3pt;width:148.6pt;height: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" filled="f" strokecolor="black [3213]" strokeweight="1pt">
                <v:textbox>
                  <w:txbxContent>
                    <w:p w14:paraId="6F04EF30" w14:textId="77777777"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2B58E8B1" w14:textId="43BF3A3E"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F6572B">
                        <w:rPr>
                          <w:rFonts w:ascii="Arial" w:hAnsi="Arial" w:cs="Arial"/>
                          <w:color w:val="000000" w:themeColor="text1"/>
                          <w:sz w:val="18"/>
                          <w:szCs w:val="20"/>
                        </w:rPr>
                        <w:t>10)</w:t>
                      </w:r>
                    </w:p>
                    <w:p w14:paraId="0CE3A9A4" w14:textId="77777777" w:rsidR="00CA2F45"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4EFBC2B" w14:textId="77777777" w:rsidR="00CA2F45" w:rsidRPr="00560609" w:rsidRDefault="00CA2F45" w:rsidP="00CA2F4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w:t>
                      </w:r>
                    </w:p>
                  </w:txbxContent>
                </v:textbox>
              </v:rect>
            </w:pict>
          </mc:Fallback>
        </mc:AlternateContent>
      </w:r>
      <w:r w:rsidRPr="00FD73B4">
        <w:rPr>
          <w:rFonts w:ascii="Arial" w:hAnsi="Arial" w:cs="Arial"/>
          <w:noProof/>
        </w:rPr>
        <mc:AlternateContent>
          <mc:Choice Requires="wps">
            <w:drawing>
              <wp:anchor distT="0" distB="0" distL="114300" distR="114300" simplePos="0" relativeHeight="251675648" behindDoc="0" locked="0" layoutInCell="1" allowOverlap="1" wp14:anchorId="52EB5119" wp14:editId="28931522">
                <wp:simplePos x="0" y="0"/>
                <wp:positionH relativeFrom="column">
                  <wp:posOffset>-374967</wp:posOffset>
                </wp:positionH>
                <wp:positionV relativeFrom="paragraph">
                  <wp:posOffset>254955</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99DE85B" w14:textId="77777777" w:rsidR="00CA2F45" w:rsidRPr="001502CF" w:rsidRDefault="00CA2F45" w:rsidP="00CA2F4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B5119" id="Flowchart: Alternate Process 33" o:spid="_x0000_s1038" type="#_x0000_t176" style="position:absolute;margin-left:-29.5pt;margin-top:20.1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" fillcolor="#8eaadb [1944]" strokecolor="black [3213]" strokeweight="1pt">
                <v:textbox>
                  <w:txbxContent>
                    <w:p w14:paraId="799DE85B" w14:textId="77777777" w:rsidR="00CA2F45" w:rsidRPr="001502CF" w:rsidRDefault="00CA2F45" w:rsidP="00CA2F4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3EA712C5" w14:textId="77777777" w:rsidR="00FC22CE" w:rsidRDefault="00FC22CE" w:rsidP="00F948DC">
      <w:pPr>
        <w:pStyle w:val="Heading2"/>
        <w:spacing w:line="360" w:lineRule="auto"/>
        <w:rPr>
          <w:rStyle w:val="Strong"/>
          <w:rFonts w:ascii="Arial" w:hAnsi="Arial" w:cs="Arial"/>
          <w:b/>
          <w:bCs/>
          <w:sz w:val="22"/>
          <w:szCs w:val="22"/>
        </w:rPr>
      </w:pPr>
    </w:p>
    <w:p w14:paraId="2D38E15D" w14:textId="7438B5E5"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lastRenderedPageBreak/>
        <w:t>3.9 Quality Appraisal</w:t>
      </w:r>
    </w:p>
    <w:p w14:paraId="7A2A875F"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The </w:t>
      </w:r>
      <w:r w:rsidRPr="00FD73B4">
        <w:rPr>
          <w:rStyle w:val="Strong"/>
          <w:rFonts w:ascii="Arial" w:hAnsi="Arial" w:cs="Arial"/>
          <w:sz w:val="22"/>
          <w:szCs w:val="22"/>
        </w:rPr>
        <w:t>Critical Appraisal Skills Programme (CASP)</w:t>
      </w:r>
      <w:r w:rsidRPr="00FD73B4">
        <w:rPr>
          <w:rFonts w:ascii="Arial" w:hAnsi="Arial" w:cs="Arial"/>
          <w:sz w:val="22"/>
          <w:szCs w:val="22"/>
        </w:rPr>
        <w:t xml:space="preserve"> checklist for cohort studies was used to assess methodological quality. Each included study was evaluated based on:</w:t>
      </w:r>
    </w:p>
    <w:p w14:paraId="4C983881"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Clarity of study aims</w:t>
      </w:r>
    </w:p>
    <w:p w14:paraId="06BC8369"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Appropriateness of study design</w:t>
      </w:r>
    </w:p>
    <w:p w14:paraId="0909FEC2"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Sampling methods and representativeness</w:t>
      </w:r>
    </w:p>
    <w:p w14:paraId="5F7F0103"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Measurement of exposures and outcomes</w:t>
      </w:r>
    </w:p>
    <w:p w14:paraId="2656B432"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Control of confounding variables</w:t>
      </w:r>
    </w:p>
    <w:p w14:paraId="674BAF6A"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Statistical analysis techniques</w:t>
      </w:r>
    </w:p>
    <w:p w14:paraId="5D9559C3"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Reporting transparency</w:t>
      </w:r>
    </w:p>
    <w:p w14:paraId="45A16907" w14:textId="77777777" w:rsidR="00EE3021" w:rsidRPr="00FD73B4" w:rsidRDefault="00EE3021" w:rsidP="00F948DC">
      <w:pPr>
        <w:pStyle w:val="NormalWeb"/>
        <w:numPr>
          <w:ilvl w:val="0"/>
          <w:numId w:val="12"/>
        </w:numPr>
        <w:spacing w:line="360" w:lineRule="auto"/>
        <w:rPr>
          <w:rFonts w:ascii="Arial" w:hAnsi="Arial" w:cs="Arial"/>
          <w:sz w:val="22"/>
          <w:szCs w:val="22"/>
        </w:rPr>
      </w:pPr>
      <w:r w:rsidRPr="00FD73B4">
        <w:rPr>
          <w:rFonts w:ascii="Arial" w:hAnsi="Arial" w:cs="Arial"/>
          <w:sz w:val="22"/>
          <w:szCs w:val="22"/>
        </w:rPr>
        <w:t>Validity and reliability of findings</w:t>
      </w:r>
    </w:p>
    <w:p w14:paraId="5C470D8E"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Studies were rated as high, moderate, or low quality. Only studies rated as high or moderate were retained for synthesis, ensuring the reliability of conclusions.</w:t>
      </w:r>
    </w:p>
    <w:p w14:paraId="2CDFDC86"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3.10 Data Extraction and Synthesis</w:t>
      </w:r>
    </w:p>
    <w:p w14:paraId="231BD5A7"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A structured data extraction matrix was developed to ensure consistency. Extracted data included:</w:t>
      </w:r>
    </w:p>
    <w:p w14:paraId="7DE01A64"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Study design and methodology</w:t>
      </w:r>
    </w:p>
    <w:p w14:paraId="19616D69"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Sample size and demographic characteristics</w:t>
      </w:r>
    </w:p>
    <w:p w14:paraId="49AF0B05"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Types of lifestyle exposures measured</w:t>
      </w:r>
    </w:p>
    <w:p w14:paraId="5B46894B"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Outcome definitions and measurement methods</w:t>
      </w:r>
    </w:p>
    <w:p w14:paraId="3C0DF137"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Key findings and effect estimates</w:t>
      </w:r>
    </w:p>
    <w:p w14:paraId="7DEBA531"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Confounding variables controlled for</w:t>
      </w:r>
    </w:p>
    <w:p w14:paraId="542D3D50" w14:textId="77777777" w:rsidR="00EE3021" w:rsidRPr="00FD73B4" w:rsidRDefault="00EE3021" w:rsidP="00F948DC">
      <w:pPr>
        <w:pStyle w:val="NormalWeb"/>
        <w:numPr>
          <w:ilvl w:val="0"/>
          <w:numId w:val="13"/>
        </w:numPr>
        <w:spacing w:line="360" w:lineRule="auto"/>
        <w:rPr>
          <w:rFonts w:ascii="Arial" w:hAnsi="Arial" w:cs="Arial"/>
          <w:sz w:val="22"/>
          <w:szCs w:val="22"/>
        </w:rPr>
      </w:pPr>
      <w:r w:rsidRPr="00FD73B4">
        <w:rPr>
          <w:rFonts w:ascii="Arial" w:hAnsi="Arial" w:cs="Arial"/>
          <w:sz w:val="22"/>
          <w:szCs w:val="22"/>
        </w:rPr>
        <w:t>Limitations as acknowledged by authors</w:t>
      </w:r>
    </w:p>
    <w:p w14:paraId="66961148"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 xml:space="preserve">A </w:t>
      </w:r>
      <w:r w:rsidRPr="00FD73B4">
        <w:rPr>
          <w:rStyle w:val="Strong"/>
          <w:rFonts w:ascii="Arial" w:hAnsi="Arial" w:cs="Arial"/>
          <w:b w:val="0"/>
          <w:sz w:val="22"/>
          <w:szCs w:val="22"/>
        </w:rPr>
        <w:t>thematic synthesis approach</w:t>
      </w:r>
      <w:r w:rsidRPr="00FD73B4">
        <w:rPr>
          <w:rFonts w:ascii="Arial" w:hAnsi="Arial" w:cs="Arial"/>
          <w:sz w:val="22"/>
          <w:szCs w:val="22"/>
        </w:rPr>
        <w:t xml:space="preserve"> was adopted for data interpretation. This method allowed the integration of findings across heterogeneous studies by identifying common patterns related to:</w:t>
      </w:r>
    </w:p>
    <w:p w14:paraId="7F16F3C4" w14:textId="77777777" w:rsidR="00FD73B4" w:rsidRPr="00FD73B4" w:rsidRDefault="00FD73B4" w:rsidP="00FD73B4">
      <w:pPr>
        <w:pStyle w:val="NormalWeb"/>
        <w:spacing w:line="360" w:lineRule="auto"/>
        <w:ind w:left="360"/>
        <w:rPr>
          <w:rStyle w:val="Strong"/>
          <w:rFonts w:ascii="Arial" w:hAnsi="Arial" w:cs="Arial"/>
          <w:bCs w:val="0"/>
          <w:sz w:val="22"/>
          <w:szCs w:val="22"/>
        </w:rPr>
      </w:pPr>
    </w:p>
    <w:p w14:paraId="3951A0A1" w14:textId="77777777" w:rsidR="00FC22CE" w:rsidRPr="00FC22CE" w:rsidRDefault="00FC22CE" w:rsidP="00FC22CE">
      <w:pPr>
        <w:pStyle w:val="NormalWeb"/>
        <w:spacing w:line="360" w:lineRule="auto"/>
        <w:ind w:left="360"/>
        <w:rPr>
          <w:rStyle w:val="Strong"/>
          <w:rFonts w:ascii="Arial" w:hAnsi="Arial" w:cs="Arial"/>
          <w:bCs w:val="0"/>
          <w:sz w:val="22"/>
          <w:szCs w:val="22"/>
        </w:rPr>
      </w:pPr>
    </w:p>
    <w:p w14:paraId="2621F497" w14:textId="2A87DDB8" w:rsidR="00EE3021" w:rsidRPr="00FD73B4" w:rsidRDefault="00EE3021" w:rsidP="00F948DC">
      <w:pPr>
        <w:pStyle w:val="NormalWeb"/>
        <w:numPr>
          <w:ilvl w:val="0"/>
          <w:numId w:val="14"/>
        </w:numPr>
        <w:spacing w:line="360" w:lineRule="auto"/>
        <w:rPr>
          <w:rFonts w:ascii="Arial" w:hAnsi="Arial" w:cs="Arial"/>
          <w:b/>
          <w:sz w:val="22"/>
          <w:szCs w:val="22"/>
        </w:rPr>
      </w:pPr>
      <w:r w:rsidRPr="00FD73B4">
        <w:rPr>
          <w:rStyle w:val="Strong"/>
          <w:rFonts w:ascii="Arial" w:hAnsi="Arial" w:cs="Arial"/>
          <w:b w:val="0"/>
          <w:sz w:val="22"/>
          <w:szCs w:val="22"/>
        </w:rPr>
        <w:lastRenderedPageBreak/>
        <w:t>Dietary patterns and stroke incidence</w:t>
      </w:r>
    </w:p>
    <w:p w14:paraId="7FB0FAE0" w14:textId="77777777" w:rsidR="00EE3021" w:rsidRPr="00FD73B4" w:rsidRDefault="00EE3021" w:rsidP="00F948DC">
      <w:pPr>
        <w:pStyle w:val="NormalWeb"/>
        <w:numPr>
          <w:ilvl w:val="0"/>
          <w:numId w:val="14"/>
        </w:numPr>
        <w:spacing w:line="360" w:lineRule="auto"/>
        <w:rPr>
          <w:rFonts w:ascii="Arial" w:hAnsi="Arial" w:cs="Arial"/>
          <w:b/>
          <w:sz w:val="22"/>
          <w:szCs w:val="22"/>
        </w:rPr>
      </w:pPr>
      <w:r w:rsidRPr="00FD73B4">
        <w:rPr>
          <w:rStyle w:val="Strong"/>
          <w:rFonts w:ascii="Arial" w:hAnsi="Arial" w:cs="Arial"/>
          <w:b w:val="0"/>
          <w:sz w:val="22"/>
          <w:szCs w:val="22"/>
        </w:rPr>
        <w:t>Physical activity levels and stroke risk</w:t>
      </w:r>
    </w:p>
    <w:p w14:paraId="43956227" w14:textId="43890D92" w:rsidR="00EE3021" w:rsidRPr="00FD73B4" w:rsidRDefault="00EE3021" w:rsidP="00F72C00">
      <w:pPr>
        <w:pStyle w:val="NormalWeb"/>
        <w:numPr>
          <w:ilvl w:val="0"/>
          <w:numId w:val="14"/>
        </w:numPr>
        <w:spacing w:line="360" w:lineRule="auto"/>
        <w:rPr>
          <w:rFonts w:ascii="Arial" w:hAnsi="Arial" w:cs="Arial"/>
          <w:bCs/>
          <w:sz w:val="22"/>
          <w:szCs w:val="22"/>
        </w:rPr>
      </w:pPr>
      <w:r w:rsidRPr="00FD73B4">
        <w:rPr>
          <w:rStyle w:val="Strong"/>
          <w:rFonts w:ascii="Arial" w:hAnsi="Arial" w:cs="Arial"/>
          <w:b w:val="0"/>
          <w:sz w:val="22"/>
          <w:szCs w:val="22"/>
        </w:rPr>
        <w:t xml:space="preserve">Sedentary </w:t>
      </w:r>
      <w:r w:rsidR="00E147CE" w:rsidRPr="00FD73B4">
        <w:rPr>
          <w:rStyle w:val="Strong"/>
          <w:rFonts w:ascii="Arial" w:hAnsi="Arial" w:cs="Arial"/>
          <w:b w:val="0"/>
          <w:sz w:val="22"/>
          <w:szCs w:val="22"/>
        </w:rPr>
        <w:t>behavior</w:t>
      </w:r>
      <w:r w:rsidRPr="00FD73B4">
        <w:rPr>
          <w:rStyle w:val="Strong"/>
          <w:rFonts w:ascii="Arial" w:hAnsi="Arial" w:cs="Arial"/>
          <w:b w:val="0"/>
          <w:sz w:val="22"/>
          <w:szCs w:val="22"/>
        </w:rPr>
        <w:t xml:space="preserve"> and metabolic risk factors</w:t>
      </w:r>
    </w:p>
    <w:p w14:paraId="54E358E5" w14:textId="77777777" w:rsidR="00EE3021" w:rsidRPr="00FD73B4" w:rsidRDefault="00EE3021" w:rsidP="00F948DC">
      <w:pPr>
        <w:pStyle w:val="NormalWeb"/>
        <w:numPr>
          <w:ilvl w:val="0"/>
          <w:numId w:val="14"/>
        </w:numPr>
        <w:spacing w:line="360" w:lineRule="auto"/>
        <w:rPr>
          <w:rFonts w:ascii="Arial" w:hAnsi="Arial" w:cs="Arial"/>
          <w:b/>
          <w:sz w:val="22"/>
          <w:szCs w:val="22"/>
        </w:rPr>
      </w:pPr>
      <w:r w:rsidRPr="00FD73B4">
        <w:rPr>
          <w:rStyle w:val="Strong"/>
          <w:rFonts w:ascii="Arial" w:hAnsi="Arial" w:cs="Arial"/>
          <w:b w:val="0"/>
          <w:sz w:val="22"/>
          <w:szCs w:val="22"/>
        </w:rPr>
        <w:t>Genetic and environmental modifiers of lifestyle influence</w:t>
      </w:r>
    </w:p>
    <w:p w14:paraId="30D62428"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 synthesis focused on drawing meaningful links while acknowledging methodological diversity.</w:t>
      </w:r>
    </w:p>
    <w:p w14:paraId="2235D9A4"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3.11 Ethical Considerations</w:t>
      </w:r>
    </w:p>
    <w:p w14:paraId="06EB2A85"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Because this study involved secondary analysis of publicly available research, formal ethical approval was not required. However, ethical standards were maintained through:</w:t>
      </w:r>
    </w:p>
    <w:p w14:paraId="06CADDCD" w14:textId="77777777" w:rsidR="00EE3021" w:rsidRPr="00FD73B4" w:rsidRDefault="00EE3021" w:rsidP="00F948DC">
      <w:pPr>
        <w:pStyle w:val="NormalWeb"/>
        <w:numPr>
          <w:ilvl w:val="0"/>
          <w:numId w:val="15"/>
        </w:numPr>
        <w:spacing w:line="360" w:lineRule="auto"/>
        <w:rPr>
          <w:rFonts w:ascii="Arial" w:hAnsi="Arial" w:cs="Arial"/>
          <w:sz w:val="22"/>
          <w:szCs w:val="22"/>
        </w:rPr>
      </w:pPr>
      <w:r w:rsidRPr="00FD73B4">
        <w:rPr>
          <w:rFonts w:ascii="Arial" w:hAnsi="Arial" w:cs="Arial"/>
          <w:sz w:val="22"/>
          <w:szCs w:val="22"/>
        </w:rPr>
        <w:t>Accurate citation of all reviewed studies</w:t>
      </w:r>
    </w:p>
    <w:p w14:paraId="2FABBEC4" w14:textId="77777777" w:rsidR="00EE3021" w:rsidRPr="00FD73B4" w:rsidRDefault="00EE3021" w:rsidP="00F948DC">
      <w:pPr>
        <w:pStyle w:val="NormalWeb"/>
        <w:numPr>
          <w:ilvl w:val="0"/>
          <w:numId w:val="15"/>
        </w:numPr>
        <w:spacing w:line="360" w:lineRule="auto"/>
        <w:rPr>
          <w:rFonts w:ascii="Arial" w:hAnsi="Arial" w:cs="Arial"/>
          <w:sz w:val="22"/>
          <w:szCs w:val="22"/>
        </w:rPr>
      </w:pPr>
      <w:r w:rsidRPr="00FD73B4">
        <w:rPr>
          <w:rFonts w:ascii="Arial" w:hAnsi="Arial" w:cs="Arial"/>
          <w:sz w:val="22"/>
          <w:szCs w:val="22"/>
        </w:rPr>
        <w:t>Avoidance of plagiarism</w:t>
      </w:r>
    </w:p>
    <w:p w14:paraId="6AC22F01" w14:textId="77777777" w:rsidR="00EE3021" w:rsidRPr="00FD73B4" w:rsidRDefault="00EE3021" w:rsidP="00F948DC">
      <w:pPr>
        <w:pStyle w:val="NormalWeb"/>
        <w:numPr>
          <w:ilvl w:val="0"/>
          <w:numId w:val="15"/>
        </w:numPr>
        <w:spacing w:line="360" w:lineRule="auto"/>
        <w:rPr>
          <w:rFonts w:ascii="Arial" w:hAnsi="Arial" w:cs="Arial"/>
          <w:sz w:val="22"/>
          <w:szCs w:val="22"/>
        </w:rPr>
      </w:pPr>
      <w:r w:rsidRPr="00FD73B4">
        <w:rPr>
          <w:rFonts w:ascii="Arial" w:hAnsi="Arial" w:cs="Arial"/>
          <w:sz w:val="22"/>
          <w:szCs w:val="22"/>
        </w:rPr>
        <w:t>Transparent reporting of methods</w:t>
      </w:r>
    </w:p>
    <w:p w14:paraId="36923658" w14:textId="77777777" w:rsidR="00EE3021" w:rsidRPr="00FD73B4" w:rsidRDefault="00EE3021" w:rsidP="00F948DC">
      <w:pPr>
        <w:pStyle w:val="NormalWeb"/>
        <w:numPr>
          <w:ilvl w:val="0"/>
          <w:numId w:val="15"/>
        </w:numPr>
        <w:spacing w:line="360" w:lineRule="auto"/>
        <w:rPr>
          <w:rFonts w:ascii="Arial" w:hAnsi="Arial" w:cs="Arial"/>
          <w:sz w:val="22"/>
          <w:szCs w:val="22"/>
        </w:rPr>
      </w:pPr>
      <w:r w:rsidRPr="00FD73B4">
        <w:rPr>
          <w:rFonts w:ascii="Arial" w:hAnsi="Arial" w:cs="Arial"/>
          <w:sz w:val="22"/>
          <w:szCs w:val="22"/>
        </w:rPr>
        <w:t>Respect for intellectual property</w:t>
      </w:r>
    </w:p>
    <w:p w14:paraId="223BA6E9" w14:textId="77777777" w:rsidR="00EE3021" w:rsidRPr="00FD73B4" w:rsidRDefault="00EE3021" w:rsidP="00F948DC">
      <w:pPr>
        <w:pStyle w:val="NormalWeb"/>
        <w:numPr>
          <w:ilvl w:val="0"/>
          <w:numId w:val="15"/>
        </w:numPr>
        <w:spacing w:line="360" w:lineRule="auto"/>
        <w:rPr>
          <w:rFonts w:ascii="Arial" w:hAnsi="Arial" w:cs="Arial"/>
          <w:sz w:val="22"/>
          <w:szCs w:val="22"/>
        </w:rPr>
      </w:pPr>
      <w:r w:rsidRPr="00FD73B4">
        <w:rPr>
          <w:rFonts w:ascii="Arial" w:hAnsi="Arial" w:cs="Arial"/>
          <w:sz w:val="22"/>
          <w:szCs w:val="22"/>
        </w:rPr>
        <w:t>Secure handling of digital files and research notes</w:t>
      </w:r>
    </w:p>
    <w:p w14:paraId="657F036C"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The study adhered to the principles of integrity, honesty, and accountability outlined by the British Psychological Society (2021) and the Declaration of Helsinki.</w:t>
      </w:r>
    </w:p>
    <w:p w14:paraId="54B32AB6" w14:textId="77777777" w:rsidR="00EE3021" w:rsidRPr="00FD73B4" w:rsidRDefault="00EE3021" w:rsidP="00F948DC">
      <w:pPr>
        <w:pStyle w:val="Heading2"/>
        <w:spacing w:line="360" w:lineRule="auto"/>
        <w:rPr>
          <w:rFonts w:ascii="Arial" w:hAnsi="Arial" w:cs="Arial"/>
          <w:sz w:val="22"/>
          <w:szCs w:val="22"/>
        </w:rPr>
      </w:pPr>
      <w:r w:rsidRPr="00FD73B4">
        <w:rPr>
          <w:rStyle w:val="Strong"/>
          <w:rFonts w:ascii="Arial" w:hAnsi="Arial" w:cs="Arial"/>
          <w:b/>
          <w:bCs/>
          <w:sz w:val="22"/>
          <w:szCs w:val="22"/>
        </w:rPr>
        <w:t>3.12 Chapter Summary</w:t>
      </w:r>
    </w:p>
    <w:p w14:paraId="787A7835" w14:textId="77777777" w:rsidR="00EE3021" w:rsidRPr="00FD73B4" w:rsidRDefault="00EE3021" w:rsidP="00F948DC">
      <w:pPr>
        <w:pStyle w:val="NormalWeb"/>
        <w:spacing w:line="360" w:lineRule="auto"/>
        <w:rPr>
          <w:rFonts w:ascii="Arial" w:hAnsi="Arial" w:cs="Arial"/>
          <w:sz w:val="22"/>
          <w:szCs w:val="22"/>
        </w:rPr>
      </w:pPr>
      <w:r w:rsidRPr="00FD73B4">
        <w:rPr>
          <w:rFonts w:ascii="Arial" w:hAnsi="Arial" w:cs="Arial"/>
          <w:sz w:val="22"/>
          <w:szCs w:val="22"/>
        </w:rPr>
        <w:t>This chapter has presented a comprehensive overview of the methodology adopted in conducting a systematic literature review exploring the impact of lifestyle, dietary patterns, and physical activity on stroke incidence among UK adults. The use of structured frameworks such as PEO, combined with a rigorous search strategy, PRISMA screening, and CASP appraisal, ensured the methodological robustness of the review. The chapter sets the foundation for the subsequent presentation and interpretation of findings, which will be explored in Chapter Four.</w:t>
      </w:r>
    </w:p>
    <w:p w14:paraId="0D627F45" w14:textId="77777777" w:rsidR="004B0E96" w:rsidRPr="00FD73B4" w:rsidRDefault="004B0E96" w:rsidP="00F948DC">
      <w:pPr>
        <w:spacing w:line="360" w:lineRule="auto"/>
        <w:rPr>
          <w:rFonts w:ascii="Arial" w:hAnsi="Arial" w:cs="Arial"/>
        </w:rPr>
      </w:pPr>
    </w:p>
    <w:p w14:paraId="2A16FEAD" w14:textId="77777777" w:rsidR="0062404D" w:rsidRPr="00FD73B4" w:rsidRDefault="0062404D" w:rsidP="00F948DC">
      <w:pPr>
        <w:spacing w:line="360" w:lineRule="auto"/>
        <w:rPr>
          <w:rFonts w:ascii="Arial" w:hAnsi="Arial" w:cs="Arial"/>
        </w:rPr>
      </w:pPr>
    </w:p>
    <w:p w14:paraId="3CFE9E1B" w14:textId="77777777" w:rsidR="0062404D" w:rsidRPr="00FD73B4" w:rsidRDefault="0062404D" w:rsidP="00F948DC">
      <w:pPr>
        <w:spacing w:line="360" w:lineRule="auto"/>
        <w:rPr>
          <w:rFonts w:ascii="Arial" w:hAnsi="Arial" w:cs="Arial"/>
        </w:rPr>
      </w:pPr>
    </w:p>
    <w:p w14:paraId="34667F00" w14:textId="77777777" w:rsidR="0062404D" w:rsidRPr="00FD73B4" w:rsidRDefault="0062404D" w:rsidP="00F948DC">
      <w:pPr>
        <w:spacing w:line="360" w:lineRule="auto"/>
        <w:rPr>
          <w:rFonts w:ascii="Arial" w:hAnsi="Arial" w:cs="Arial"/>
        </w:rPr>
      </w:pPr>
    </w:p>
    <w:p w14:paraId="7B1BDACF" w14:textId="7187FD30" w:rsidR="0062404D" w:rsidRPr="00FD73B4" w:rsidRDefault="0062404D" w:rsidP="00C50846">
      <w:pPr>
        <w:spacing w:before="100" w:beforeAutospacing="1" w:after="100" w:afterAutospacing="1" w:line="360" w:lineRule="auto"/>
        <w:jc w:val="center"/>
        <w:outlineLvl w:val="0"/>
        <w:rPr>
          <w:rFonts w:ascii="Arial" w:eastAsia="Times New Roman" w:hAnsi="Arial" w:cs="Arial"/>
          <w:b/>
          <w:bCs/>
          <w:kern w:val="36"/>
          <w:sz w:val="24"/>
          <w:szCs w:val="24"/>
        </w:rPr>
      </w:pPr>
      <w:r w:rsidRPr="00FD73B4">
        <w:rPr>
          <w:rFonts w:ascii="Arial" w:eastAsia="Times New Roman" w:hAnsi="Arial" w:cs="Arial"/>
          <w:b/>
          <w:bCs/>
          <w:kern w:val="36"/>
          <w:sz w:val="24"/>
          <w:szCs w:val="24"/>
        </w:rPr>
        <w:lastRenderedPageBreak/>
        <w:t>CHAPTER 4: DATA EXTRACTION AND EVALUATION</w:t>
      </w:r>
    </w:p>
    <w:p w14:paraId="23A9204F" w14:textId="77777777" w:rsidR="00C50846" w:rsidRPr="00FD73B4" w:rsidRDefault="00C50846" w:rsidP="0062404D">
      <w:pPr>
        <w:spacing w:before="100" w:beforeAutospacing="1" w:after="100" w:afterAutospacing="1" w:line="360" w:lineRule="auto"/>
        <w:outlineLvl w:val="1"/>
        <w:rPr>
          <w:rFonts w:ascii="Arial" w:eastAsia="Times New Roman" w:hAnsi="Arial" w:cs="Arial"/>
          <w:b/>
          <w:bCs/>
        </w:rPr>
      </w:pPr>
    </w:p>
    <w:p w14:paraId="76A637C6" w14:textId="665D483C" w:rsidR="0062404D" w:rsidRPr="00FD73B4" w:rsidRDefault="0062404D" w:rsidP="0062404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4.1 Introduction to Chapter</w:t>
      </w:r>
    </w:p>
    <w:p w14:paraId="61B69B71" w14:textId="3D966B98"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chapter presents the data extraction and critical evaluation process undertaken in this systematic literature review examining the relationship between lifestyle </w:t>
      </w:r>
      <w:r w:rsidR="00F6572B" w:rsidRPr="00FD73B4">
        <w:rPr>
          <w:rFonts w:ascii="Arial" w:eastAsia="Times New Roman" w:hAnsi="Arial" w:cs="Arial"/>
        </w:rPr>
        <w:t>behaviors</w:t>
      </w:r>
      <w:r w:rsidRPr="00FD73B4">
        <w:rPr>
          <w:rFonts w:ascii="Arial" w:eastAsia="Times New Roman" w:hAnsi="Arial" w:cs="Arial"/>
        </w:rPr>
        <w:t>, dietary patterns, physical activity, and stroke incidence among adults in the United Kingdom. It outlines how relevant data were systematically extracted from the ten included studies using a structured data extraction template. The chapter then introduces and justifies the importance of critical appraisal, followed by an explanation of the appraisal tools selected. A detailed evaluation of the included studies is subsequently provided, with separate sections for qualitative and quantitative studies. The chapter concludes with a summary of key methodological insights and their implications for the overall review.</w:t>
      </w:r>
    </w:p>
    <w:p w14:paraId="35762946" w14:textId="77777777" w:rsidR="0062404D" w:rsidRPr="00FD73B4" w:rsidRDefault="0062404D" w:rsidP="0062404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4.2 Data Extraction</w:t>
      </w:r>
    </w:p>
    <w:p w14:paraId="111A3980" w14:textId="3B86D509"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Data extraction is the systematic process of identifying, retrieving, and </w:t>
      </w:r>
      <w:r w:rsidR="00F6572B" w:rsidRPr="00FD73B4">
        <w:rPr>
          <w:rFonts w:ascii="Arial" w:eastAsia="Times New Roman" w:hAnsi="Arial" w:cs="Arial"/>
        </w:rPr>
        <w:t>organizing</w:t>
      </w:r>
      <w:r w:rsidRPr="00FD73B4">
        <w:rPr>
          <w:rFonts w:ascii="Arial" w:eastAsia="Times New Roman" w:hAnsi="Arial" w:cs="Arial"/>
        </w:rPr>
        <w:t xml:space="preserve"> relevant information from selected studies to facilitate accurate comparison and synthesis (Centre for Reviews and Dissemination, 2009). It ensures that essential study characteristics are consistently recorded across all included sources in a transparent manner. In this review, data were extracted using a predesigned extraction template that captured: author, publication year, study design, sample size, participant demographics, exposure variables (diet, lifestyle, physical activity), outcome measures related to stroke incidence, analytical methods, key findings, and study limitations. This structured approach enabled a comprehensive comparison of methodological quality and ensured that contextual, procedural, and analytical details were consistently documented for interpretation and synthesis. (Appendix A). </w:t>
      </w:r>
    </w:p>
    <w:p w14:paraId="361C9986" w14:textId="77777777" w:rsidR="0062404D" w:rsidRPr="00FD73B4" w:rsidRDefault="0062404D" w:rsidP="0062404D">
      <w:pPr>
        <w:spacing w:after="0" w:line="360" w:lineRule="auto"/>
        <w:rPr>
          <w:rFonts w:ascii="Arial" w:eastAsia="Times New Roman" w:hAnsi="Arial" w:cs="Arial"/>
        </w:rPr>
      </w:pPr>
    </w:p>
    <w:p w14:paraId="023A8219" w14:textId="77777777" w:rsidR="0062404D" w:rsidRPr="00FD73B4" w:rsidRDefault="0062404D" w:rsidP="0062404D">
      <w:pPr>
        <w:spacing w:after="0" w:line="360" w:lineRule="auto"/>
        <w:rPr>
          <w:rFonts w:ascii="Arial" w:eastAsia="Times New Roman" w:hAnsi="Arial" w:cs="Arial"/>
        </w:rPr>
      </w:pPr>
    </w:p>
    <w:p w14:paraId="199DB973" w14:textId="77777777" w:rsidR="0062404D" w:rsidRPr="00FD73B4" w:rsidRDefault="0062404D" w:rsidP="0062404D">
      <w:pPr>
        <w:spacing w:after="0" w:line="360" w:lineRule="auto"/>
        <w:rPr>
          <w:rFonts w:ascii="Arial" w:eastAsia="Times New Roman" w:hAnsi="Arial" w:cs="Arial"/>
        </w:rPr>
      </w:pPr>
    </w:p>
    <w:p w14:paraId="52E02561" w14:textId="77777777" w:rsidR="0062404D" w:rsidRPr="00FD73B4" w:rsidRDefault="0062404D" w:rsidP="0062404D">
      <w:pPr>
        <w:spacing w:after="0" w:line="360" w:lineRule="auto"/>
        <w:rPr>
          <w:rFonts w:ascii="Arial" w:eastAsia="Times New Roman" w:hAnsi="Arial" w:cs="Arial"/>
        </w:rPr>
      </w:pPr>
    </w:p>
    <w:p w14:paraId="7C06D858" w14:textId="77777777" w:rsidR="0062404D" w:rsidRPr="00FD73B4" w:rsidRDefault="0062404D" w:rsidP="0062404D">
      <w:pPr>
        <w:spacing w:after="0" w:line="360" w:lineRule="auto"/>
        <w:rPr>
          <w:rFonts w:ascii="Arial" w:eastAsia="Times New Roman" w:hAnsi="Arial" w:cs="Arial"/>
        </w:rPr>
      </w:pPr>
    </w:p>
    <w:p w14:paraId="56F1B1F2" w14:textId="77777777" w:rsidR="006F0BFE" w:rsidRDefault="006F0BFE" w:rsidP="0062404D">
      <w:pPr>
        <w:spacing w:before="100" w:beforeAutospacing="1" w:after="100" w:afterAutospacing="1" w:line="360" w:lineRule="auto"/>
        <w:outlineLvl w:val="1"/>
        <w:rPr>
          <w:rFonts w:ascii="Arial" w:eastAsia="Times New Roman" w:hAnsi="Arial" w:cs="Arial"/>
        </w:rPr>
      </w:pPr>
    </w:p>
    <w:p w14:paraId="6E5D686B" w14:textId="421C68EA" w:rsidR="0062404D" w:rsidRPr="00FD73B4" w:rsidRDefault="0062404D" w:rsidP="0062404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lastRenderedPageBreak/>
        <w:t>4.3 Critical Appraisal and Paper Quality Assessment</w:t>
      </w:r>
    </w:p>
    <w:p w14:paraId="107BBB6C" w14:textId="77777777"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Critical appraisal refers to the systematic evaluation of research evidence to determine its methodological quality, internal validity, relevance, and susceptibility to bias (Burls, 2009). In systematic reviews, critical appraisal is essential because not all studies contribute equally to evidence synthesis. Differences in study design, sample selection, measurement tools, and analytical strategies may influence the reliability of findings. Appraising methodological quality helps identify strengths, limitations, and potential sources of error, ensuring that conclusions drawn from the evidence base are robust and credible.</w:t>
      </w:r>
    </w:p>
    <w:p w14:paraId="75D1DD19" w14:textId="7CC996A3"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For this review, critical appraisal was particularly important because the included studies varied in design, ranging from qualitative focus groups to large-scale quantitative cohort studies. A structured assessment enabled transparent evaluation of research </w:t>
      </w:r>
      <w:r w:rsidR="00F6572B" w:rsidRPr="00FD73B4">
        <w:rPr>
          <w:rFonts w:ascii="Arial" w:eastAsia="Times New Roman" w:hAnsi="Arial" w:cs="Arial"/>
        </w:rPr>
        <w:t>rigor</w:t>
      </w:r>
      <w:r w:rsidRPr="00FD73B4">
        <w:rPr>
          <w:rFonts w:ascii="Arial" w:eastAsia="Times New Roman" w:hAnsi="Arial" w:cs="Arial"/>
        </w:rPr>
        <w:t xml:space="preserve">, </w:t>
      </w:r>
      <w:r w:rsidR="00F6572B" w:rsidRPr="00FD73B4">
        <w:rPr>
          <w:rFonts w:ascii="Arial" w:eastAsia="Times New Roman" w:hAnsi="Arial" w:cs="Arial"/>
        </w:rPr>
        <w:t>minimized</w:t>
      </w:r>
      <w:r w:rsidRPr="00FD73B4">
        <w:rPr>
          <w:rFonts w:ascii="Arial" w:eastAsia="Times New Roman" w:hAnsi="Arial" w:cs="Arial"/>
        </w:rPr>
        <w:t xml:space="preserve"> bias, and enhanced the trustworthiness of interpretations. It ensured that only methodologically sound evidence informed the conclusions about lifestyle and stroke risk.</w:t>
      </w:r>
    </w:p>
    <w:p w14:paraId="0F1BF123" w14:textId="77777777" w:rsidR="0062404D" w:rsidRPr="00FD73B4" w:rsidRDefault="0062404D" w:rsidP="0062404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4.4 Critical Appraisal Tools</w:t>
      </w:r>
    </w:p>
    <w:p w14:paraId="3DFE724E" w14:textId="77777777"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Critical appraisal tools are structured frameworks or checklists used to systematically assess methodological quality and risk of bias within research studies (Long et al., 2020). Selecting an appropriate tool is crucial because different research designs require distinct evaluation criteria. For example, qualitative studies must be appraised based on credibility and depth of thematic analysis, whereas quantitative cohort studies must be assessed based on sampling procedures, measurement validity, and confounding control.</w:t>
      </w:r>
    </w:p>
    <w:p w14:paraId="6573E2B7" w14:textId="77777777"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Two critical appraisal tools were used:</w:t>
      </w:r>
    </w:p>
    <w:p w14:paraId="29CD7227" w14:textId="77777777" w:rsidR="0062404D" w:rsidRPr="00FD73B4" w:rsidRDefault="0062404D" w:rsidP="0062404D">
      <w:pPr>
        <w:pStyle w:val="ListParagraph"/>
        <w:numPr>
          <w:ilvl w:val="0"/>
          <w:numId w:val="18"/>
        </w:num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CASP Qualitative Checklist</w:t>
      </w:r>
    </w:p>
    <w:p w14:paraId="49A11CAE" w14:textId="77777777" w:rsidR="0062404D" w:rsidRPr="00FD73B4" w:rsidRDefault="0062404D" w:rsidP="0062404D">
      <w:pPr>
        <w:pStyle w:val="ListParagraph"/>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szCs w:val="24"/>
        </w:rPr>
        <w:t>CASP Qualitative Checklist is a ten-item appraisal tool used to assess qualitative studies in systematic reviews, focusing on the aims, appropriateness of the methodology, recruitment, data collection, reflexivity (researcher–participant relationships), ethical issues, analytical depth, findings, and overall value of the research (Gates et al., 2017; Ede et al., 2021; O’Doherty et al., 2018). It is widely used across disciplines and is often applied in conjunction with other appraisal frameworks (e.g., COREQ, QARI) in qualitative evidence syntheses (Tong et al., 2012; Munthe</w:t>
      </w:r>
      <w:r w:rsidRPr="00FD73B4">
        <w:rPr>
          <w:rFonts w:ascii="Cambria Math" w:eastAsia="Times New Roman" w:hAnsi="Cambria Math" w:cs="Cambria Math"/>
          <w:szCs w:val="24"/>
        </w:rPr>
        <w:t>‐</w:t>
      </w:r>
      <w:r w:rsidRPr="00FD73B4">
        <w:rPr>
          <w:rFonts w:ascii="Arial" w:eastAsia="Times New Roman" w:hAnsi="Arial" w:cs="Arial"/>
          <w:szCs w:val="24"/>
        </w:rPr>
        <w:t xml:space="preserve">Kaas et al., 2019). Empirical applications report evaluating credibility, confirmability, dependability, and transferability, </w:t>
      </w:r>
      <w:r w:rsidRPr="00FD73B4">
        <w:rPr>
          <w:rFonts w:ascii="Arial" w:eastAsia="Times New Roman" w:hAnsi="Arial" w:cs="Arial"/>
          <w:szCs w:val="24"/>
        </w:rPr>
        <w:lastRenderedPageBreak/>
        <w:t>frequently with two independent reviewers applying CASP to ensure rigor (Ede et al., 2021; O’Doherty et al., 2018; Gorzynska et al., 2021). The CASP framework supports broader qualitative syntheses and methods, including thematic synthesis and mapping frameworks, reflecting its foundational role in qualitative appraisal (Thomas &amp; Harden, 2008; Tomagová et al., 2019).</w:t>
      </w:r>
      <w:r w:rsidRPr="00FD73B4">
        <w:rPr>
          <w:rFonts w:ascii="Arial" w:eastAsia="Times New Roman" w:hAnsi="Arial" w:cs="Arial"/>
          <w:szCs w:val="24"/>
        </w:rPr>
        <w:br/>
      </w:r>
      <w:r w:rsidRPr="00FD73B4">
        <w:rPr>
          <w:rFonts w:ascii="Arial" w:eastAsia="Times New Roman" w:hAnsi="Arial" w:cs="Arial"/>
          <w:sz w:val="24"/>
          <w:szCs w:val="24"/>
        </w:rPr>
        <w:br/>
      </w:r>
      <w:r w:rsidRPr="00FD73B4">
        <w:rPr>
          <w:rFonts w:ascii="Arial" w:eastAsia="Times New Roman" w:hAnsi="Arial" w:cs="Arial"/>
          <w:b/>
          <w:bCs/>
        </w:rPr>
        <w:t>2. JBI Critical Appraisal Checklist for Cohort Studies</w:t>
      </w:r>
    </w:p>
    <w:p w14:paraId="44D6293C" w14:textId="77777777" w:rsidR="0062404D" w:rsidRPr="00FD73B4" w:rsidRDefault="0062404D" w:rsidP="0062404D">
      <w:pPr>
        <w:pStyle w:val="ListParagraph"/>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szCs w:val="24"/>
        </w:rPr>
        <w:t>The Joanna Briggs Institute (JBI) Critical Appraisal Checklist for Cohort Studies provides a structured framework to evaluate quantitative observational cohorts, addressing participant selection, measurement of exposures and outcomes, identification and handling of confounding, and the appropriateness of statistical analysis (Silva et al., 2023). It is widely used to support systematic, transparent, and standards-aligned appraisal, often with independent raters and clear scoring (e.g., cohorts achieving 11/11) in applied reviews (Lee et al., 2024; Sempere</w:t>
      </w:r>
      <w:r w:rsidRPr="00FD73B4">
        <w:rPr>
          <w:rFonts w:ascii="Cambria Math" w:eastAsia="Times New Roman" w:hAnsi="Cambria Math" w:cs="Cambria Math"/>
          <w:szCs w:val="24"/>
        </w:rPr>
        <w:t>‐</w:t>
      </w:r>
      <w:r w:rsidRPr="00FD73B4">
        <w:rPr>
          <w:rFonts w:ascii="Arial" w:eastAsia="Times New Roman" w:hAnsi="Arial" w:cs="Arial"/>
          <w:szCs w:val="24"/>
        </w:rPr>
        <w:t>Rubio et al., 2022). The framework is integrated into JBI SUMARI and employed across disciplines to ensure methodological rigor (Sempere</w:t>
      </w:r>
      <w:r w:rsidRPr="00FD73B4">
        <w:rPr>
          <w:rFonts w:ascii="Cambria Math" w:eastAsia="Times New Roman" w:hAnsi="Cambria Math" w:cs="Cambria Math"/>
          <w:szCs w:val="24"/>
        </w:rPr>
        <w:t>‐</w:t>
      </w:r>
      <w:r w:rsidRPr="00FD73B4">
        <w:rPr>
          <w:rFonts w:ascii="Arial" w:eastAsia="Times New Roman" w:hAnsi="Arial" w:cs="Arial"/>
          <w:szCs w:val="24"/>
        </w:rPr>
        <w:t>Rubio et al., 2022). Given confounding as a central validity threat in observational studies, the checklist explicitly guides its assessment and reporting (Klein-Geltink et al., 2007; Sodeifian et al., 2024).</w:t>
      </w:r>
      <w:r w:rsidRPr="00FD73B4">
        <w:rPr>
          <w:rFonts w:ascii="Arial" w:eastAsia="Times New Roman" w:hAnsi="Arial" w:cs="Arial"/>
        </w:rPr>
        <w:t>The appraisal tools ensured that all included studies were assessed fairly and consistently.</w:t>
      </w:r>
    </w:p>
    <w:p w14:paraId="66F8BD75" w14:textId="77777777" w:rsidR="0062404D" w:rsidRPr="00FD73B4" w:rsidRDefault="0062404D" w:rsidP="0062404D">
      <w:pPr>
        <w:spacing w:before="100" w:beforeAutospacing="1" w:after="100" w:afterAutospacing="1" w:line="360" w:lineRule="auto"/>
        <w:outlineLvl w:val="0"/>
        <w:rPr>
          <w:rFonts w:ascii="Arial" w:eastAsia="Times New Roman" w:hAnsi="Arial" w:cs="Arial"/>
          <w:b/>
          <w:bCs/>
          <w:kern w:val="36"/>
        </w:rPr>
      </w:pPr>
      <w:r w:rsidRPr="00FD73B4">
        <w:rPr>
          <w:rFonts w:ascii="Arial" w:eastAsia="Times New Roman" w:hAnsi="Arial" w:cs="Arial"/>
          <w:b/>
          <w:bCs/>
          <w:kern w:val="36"/>
        </w:rPr>
        <w:t xml:space="preserve">4.5 Evaluation of Qualitative Study Using CASP </w:t>
      </w:r>
    </w:p>
    <w:p w14:paraId="6F892976" w14:textId="257B5959"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Only one qualitative study met the inclusion criteria: </w:t>
      </w:r>
      <w:r w:rsidRPr="00FD73B4">
        <w:rPr>
          <w:rFonts w:ascii="Arial" w:eastAsia="Times New Roman" w:hAnsi="Arial" w:cs="Arial"/>
          <w:b/>
          <w:bCs/>
        </w:rPr>
        <w:t>Lawrence et al. (2010)</w:t>
      </w:r>
      <w:r w:rsidRPr="00FD73B4">
        <w:rPr>
          <w:rFonts w:ascii="Arial" w:eastAsia="Times New Roman" w:hAnsi="Arial" w:cs="Arial"/>
        </w:rPr>
        <w:t xml:space="preserve">, which explored lifestyle beliefs and </w:t>
      </w:r>
      <w:r w:rsidR="00F6572B" w:rsidRPr="00FD73B4">
        <w:rPr>
          <w:rFonts w:ascii="Arial" w:eastAsia="Times New Roman" w:hAnsi="Arial" w:cs="Arial"/>
        </w:rPr>
        <w:t>behavioral</w:t>
      </w:r>
      <w:r w:rsidRPr="00FD73B4">
        <w:rPr>
          <w:rFonts w:ascii="Arial" w:eastAsia="Times New Roman" w:hAnsi="Arial" w:cs="Arial"/>
        </w:rPr>
        <w:t xml:space="preserve"> experiences of adults following stroke. The CASP Qualitative Checklist was used to evaluate its methodological </w:t>
      </w:r>
      <w:r w:rsidR="00F6572B" w:rsidRPr="00FD73B4">
        <w:rPr>
          <w:rFonts w:ascii="Arial" w:eastAsia="Times New Roman" w:hAnsi="Arial" w:cs="Arial"/>
        </w:rPr>
        <w:t>rigor</w:t>
      </w:r>
      <w:r w:rsidRPr="00FD73B4">
        <w:rPr>
          <w:rFonts w:ascii="Arial" w:eastAsia="Times New Roman" w:hAnsi="Arial" w:cs="Arial"/>
        </w:rPr>
        <w:t>.</w:t>
      </w:r>
    </w:p>
    <w:p w14:paraId="7C088CA6" w14:textId="77777777" w:rsidR="0062404D" w:rsidRPr="00FD73B4" w:rsidRDefault="0062404D" w:rsidP="0062404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Justification for CASP Tool</w:t>
      </w:r>
    </w:p>
    <w:p w14:paraId="6F08B503" w14:textId="77777777"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CASP tool is appropriate for qualitative research because it focuses on study aims, design logic, participant engagement, data collection processes, reflexivity, analytical coherence, ethical procedures, and overall credibility. It provides structured guidance for identifying strengths and limitations in interpretive research, making it well-suited for evaluating the depth of insight into lifestyle perceptions relevant to stroke prevention.</w:t>
      </w:r>
    </w:p>
    <w:p w14:paraId="0C3E3791" w14:textId="77777777" w:rsidR="006F0BFE" w:rsidRDefault="006F0BFE" w:rsidP="0062404D">
      <w:pPr>
        <w:spacing w:before="100" w:beforeAutospacing="1" w:after="100" w:afterAutospacing="1" w:line="360" w:lineRule="auto"/>
        <w:outlineLvl w:val="2"/>
        <w:rPr>
          <w:rFonts w:ascii="Arial" w:eastAsia="Times New Roman" w:hAnsi="Arial" w:cs="Arial"/>
          <w:b/>
          <w:bCs/>
        </w:rPr>
      </w:pPr>
    </w:p>
    <w:p w14:paraId="3C1525E8" w14:textId="1144820F" w:rsidR="0062404D" w:rsidRPr="00FD73B4" w:rsidRDefault="0062404D" w:rsidP="0062404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 xml:space="preserve">Strengths of CASP Compared </w:t>
      </w:r>
      <w:r w:rsidR="00F6572B" w:rsidRPr="00FD73B4">
        <w:rPr>
          <w:rFonts w:ascii="Arial" w:eastAsia="Times New Roman" w:hAnsi="Arial" w:cs="Arial"/>
          <w:b/>
          <w:bCs/>
        </w:rPr>
        <w:t>with</w:t>
      </w:r>
      <w:r w:rsidRPr="00FD73B4">
        <w:rPr>
          <w:rFonts w:ascii="Arial" w:eastAsia="Times New Roman" w:hAnsi="Arial" w:cs="Arial"/>
          <w:b/>
          <w:bCs/>
        </w:rPr>
        <w:t xml:space="preserve"> Other Tools</w:t>
      </w:r>
    </w:p>
    <w:p w14:paraId="125C0BD4" w14:textId="77777777" w:rsidR="0062404D" w:rsidRPr="00FD73B4" w:rsidRDefault="0062404D" w:rsidP="0062404D">
      <w:pPr>
        <w:numPr>
          <w:ilvl w:val="0"/>
          <w:numId w:val="16"/>
        </w:numPr>
        <w:spacing w:before="100" w:beforeAutospacing="1" w:after="100" w:afterAutospacing="1" w:line="360" w:lineRule="auto"/>
        <w:rPr>
          <w:rFonts w:ascii="Arial" w:eastAsia="Times New Roman" w:hAnsi="Arial" w:cs="Arial"/>
        </w:rPr>
      </w:pPr>
      <w:r w:rsidRPr="00FD73B4">
        <w:rPr>
          <w:rFonts w:ascii="Arial" w:eastAsia="Times New Roman" w:hAnsi="Arial" w:cs="Arial"/>
        </w:rPr>
        <w:t>CASP is simpler and more flexible than COREQ or QARI, allowing adaptation to diverse qualitative designs.</w:t>
      </w:r>
    </w:p>
    <w:p w14:paraId="703E6F9F" w14:textId="77777777" w:rsidR="0062404D" w:rsidRPr="00FD73B4" w:rsidRDefault="0062404D" w:rsidP="0062404D">
      <w:pPr>
        <w:numPr>
          <w:ilvl w:val="0"/>
          <w:numId w:val="16"/>
        </w:numPr>
        <w:spacing w:before="100" w:beforeAutospacing="1" w:after="100" w:afterAutospacing="1" w:line="360" w:lineRule="auto"/>
        <w:rPr>
          <w:rFonts w:ascii="Arial" w:eastAsia="Times New Roman" w:hAnsi="Arial" w:cs="Arial"/>
        </w:rPr>
      </w:pPr>
      <w:r w:rsidRPr="00FD73B4">
        <w:rPr>
          <w:rFonts w:ascii="Arial" w:eastAsia="Times New Roman" w:hAnsi="Arial" w:cs="Arial"/>
        </w:rPr>
        <w:t>It balances methodological and interpretive appraisal, unlike COREQ which focuses heavily on reporting standards.</w:t>
      </w:r>
    </w:p>
    <w:p w14:paraId="264D1C07" w14:textId="74124E97" w:rsidR="0062404D" w:rsidRPr="00FD73B4" w:rsidRDefault="0062404D" w:rsidP="0062404D">
      <w:pPr>
        <w:numPr>
          <w:ilvl w:val="0"/>
          <w:numId w:val="16"/>
        </w:num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It is widely </w:t>
      </w:r>
      <w:r w:rsidR="00F6572B" w:rsidRPr="00FD73B4">
        <w:rPr>
          <w:rFonts w:ascii="Arial" w:eastAsia="Times New Roman" w:hAnsi="Arial" w:cs="Arial"/>
        </w:rPr>
        <w:t>recognized</w:t>
      </w:r>
      <w:r w:rsidRPr="00FD73B4">
        <w:rPr>
          <w:rFonts w:ascii="Arial" w:eastAsia="Times New Roman" w:hAnsi="Arial" w:cs="Arial"/>
        </w:rPr>
        <w:t xml:space="preserve"> in public health research, enhancing transparency and consistency.</w:t>
      </w:r>
    </w:p>
    <w:p w14:paraId="7738F65B" w14:textId="77777777" w:rsidR="0062404D" w:rsidRPr="00FD73B4" w:rsidRDefault="0062404D" w:rsidP="0062404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Weaknesses</w:t>
      </w:r>
    </w:p>
    <w:p w14:paraId="5F4FFBA4" w14:textId="77777777" w:rsidR="0062404D" w:rsidRPr="00FD73B4" w:rsidRDefault="0062404D" w:rsidP="0062404D">
      <w:pPr>
        <w:numPr>
          <w:ilvl w:val="0"/>
          <w:numId w:val="17"/>
        </w:numPr>
        <w:spacing w:before="100" w:beforeAutospacing="1" w:after="100" w:afterAutospacing="1" w:line="360" w:lineRule="auto"/>
        <w:rPr>
          <w:rFonts w:ascii="Arial" w:eastAsia="Times New Roman" w:hAnsi="Arial" w:cs="Arial"/>
        </w:rPr>
      </w:pPr>
      <w:r w:rsidRPr="00FD73B4">
        <w:rPr>
          <w:rFonts w:ascii="Arial" w:eastAsia="Times New Roman" w:hAnsi="Arial" w:cs="Arial"/>
        </w:rPr>
        <w:t>CASP does not deeply assess reporting quality compared to COREQ.</w:t>
      </w:r>
    </w:p>
    <w:p w14:paraId="1A75A2B7" w14:textId="77777777" w:rsidR="0062404D" w:rsidRPr="00FD73B4" w:rsidRDefault="0062404D" w:rsidP="0062404D">
      <w:pPr>
        <w:numPr>
          <w:ilvl w:val="0"/>
          <w:numId w:val="17"/>
        </w:numPr>
        <w:spacing w:before="100" w:beforeAutospacing="1" w:after="100" w:afterAutospacing="1" w:line="360" w:lineRule="auto"/>
        <w:rPr>
          <w:rFonts w:ascii="Arial" w:eastAsia="Times New Roman" w:hAnsi="Arial" w:cs="Arial"/>
        </w:rPr>
      </w:pPr>
      <w:r w:rsidRPr="00FD73B4">
        <w:rPr>
          <w:rFonts w:ascii="Arial" w:eastAsia="Times New Roman" w:hAnsi="Arial" w:cs="Arial"/>
        </w:rPr>
        <w:t>It allows subjective interpretation of criteria and scoring.</w:t>
      </w:r>
    </w:p>
    <w:p w14:paraId="2DEFFBAE" w14:textId="77777777" w:rsidR="0062404D" w:rsidRPr="00FD73B4" w:rsidRDefault="0062404D" w:rsidP="0062404D">
      <w:pPr>
        <w:numPr>
          <w:ilvl w:val="0"/>
          <w:numId w:val="17"/>
        </w:numPr>
        <w:spacing w:before="100" w:beforeAutospacing="1" w:after="100" w:afterAutospacing="1" w:line="360" w:lineRule="auto"/>
        <w:rPr>
          <w:rFonts w:ascii="Arial" w:eastAsia="Times New Roman" w:hAnsi="Arial" w:cs="Arial"/>
        </w:rPr>
      </w:pPr>
      <w:r w:rsidRPr="00FD73B4">
        <w:rPr>
          <w:rFonts w:ascii="Arial" w:eastAsia="Times New Roman" w:hAnsi="Arial" w:cs="Arial"/>
        </w:rPr>
        <w:t>It does not require detailed methodological disclosure from authors.</w:t>
      </w:r>
    </w:p>
    <w:p w14:paraId="6A971AB3" w14:textId="77777777"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Despite these limitations, CASP remains suitable for appraising interpretative research such as the Lawrence et al. study. (See appendix B for CASP of included article). </w:t>
      </w:r>
    </w:p>
    <w:p w14:paraId="41E832B9" w14:textId="77777777" w:rsidR="0062404D" w:rsidRPr="00FD73B4" w:rsidRDefault="0062404D" w:rsidP="0062404D">
      <w:pPr>
        <w:pStyle w:val="Heading2"/>
        <w:spacing w:line="360" w:lineRule="auto"/>
        <w:rPr>
          <w:rFonts w:ascii="Arial" w:hAnsi="Arial" w:cs="Arial"/>
          <w:sz w:val="22"/>
          <w:szCs w:val="22"/>
        </w:rPr>
      </w:pPr>
      <w:r w:rsidRPr="00FD73B4">
        <w:rPr>
          <w:rStyle w:val="Strong"/>
          <w:rFonts w:ascii="Arial" w:hAnsi="Arial" w:cs="Arial"/>
          <w:b/>
          <w:bCs/>
          <w:sz w:val="22"/>
          <w:szCs w:val="22"/>
        </w:rPr>
        <w:t>4.6 Evaluation of Quantitative Studies</w:t>
      </w:r>
    </w:p>
    <w:p w14:paraId="03EEBA0E" w14:textId="63D926E0"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This review included </w:t>
      </w:r>
      <w:r w:rsidRPr="00FD73B4">
        <w:rPr>
          <w:rStyle w:val="Strong"/>
          <w:rFonts w:ascii="Arial" w:hAnsi="Arial" w:cs="Arial"/>
          <w:sz w:val="22"/>
          <w:szCs w:val="22"/>
        </w:rPr>
        <w:t>nine quantitative observational studies</w:t>
      </w:r>
      <w:r w:rsidRPr="00FD73B4">
        <w:rPr>
          <w:rFonts w:ascii="Arial" w:hAnsi="Arial" w:cs="Arial"/>
          <w:sz w:val="22"/>
          <w:szCs w:val="22"/>
        </w:rPr>
        <w:t xml:space="preserve">, all employing </w:t>
      </w:r>
      <w:r w:rsidRPr="00FD73B4">
        <w:rPr>
          <w:rStyle w:val="Strong"/>
          <w:rFonts w:ascii="Arial" w:hAnsi="Arial" w:cs="Arial"/>
          <w:sz w:val="22"/>
          <w:szCs w:val="22"/>
        </w:rPr>
        <w:t>prospective cohort designs</w:t>
      </w:r>
      <w:r w:rsidRPr="00FD73B4">
        <w:rPr>
          <w:rFonts w:ascii="Arial" w:hAnsi="Arial" w:cs="Arial"/>
          <w:sz w:val="22"/>
          <w:szCs w:val="22"/>
        </w:rPr>
        <w:t xml:space="preserve">, to examine the associations between lifestyle </w:t>
      </w:r>
      <w:r w:rsidR="00F6572B" w:rsidRPr="00FD73B4">
        <w:rPr>
          <w:rFonts w:ascii="Arial" w:hAnsi="Arial" w:cs="Arial"/>
          <w:sz w:val="22"/>
          <w:szCs w:val="22"/>
        </w:rPr>
        <w:t xml:space="preserve">behaviors, </w:t>
      </w:r>
      <w:r w:rsidRPr="00FD73B4">
        <w:rPr>
          <w:rFonts w:ascii="Arial" w:hAnsi="Arial" w:cs="Arial"/>
          <w:sz w:val="22"/>
          <w:szCs w:val="22"/>
        </w:rPr>
        <w:t xml:space="preserve">including diet, physical activity, sedentary </w:t>
      </w:r>
      <w:r w:rsidR="00F6572B" w:rsidRPr="00FD73B4">
        <w:rPr>
          <w:rFonts w:ascii="Arial" w:hAnsi="Arial" w:cs="Arial"/>
          <w:sz w:val="22"/>
          <w:szCs w:val="22"/>
        </w:rPr>
        <w:t>behavior</w:t>
      </w:r>
      <w:r w:rsidRPr="00FD73B4">
        <w:rPr>
          <w:rFonts w:ascii="Arial" w:hAnsi="Arial" w:cs="Arial"/>
          <w:sz w:val="22"/>
          <w:szCs w:val="22"/>
        </w:rPr>
        <w:t xml:space="preserve">, environmental exposures, and genetic risk—and stroke incidence among UK adults. The methodological quality of these studies was critically appraised using the </w:t>
      </w:r>
      <w:r w:rsidRPr="00FD73B4">
        <w:rPr>
          <w:rStyle w:val="Strong"/>
          <w:rFonts w:ascii="Arial" w:hAnsi="Arial" w:cs="Arial"/>
          <w:b w:val="0"/>
          <w:bCs w:val="0"/>
          <w:sz w:val="22"/>
          <w:szCs w:val="22"/>
        </w:rPr>
        <w:t>Joanna Briggs Institute (JBI) Critical Appraisal Checklist for Cohort Studies</w:t>
      </w:r>
      <w:r w:rsidRPr="00FD73B4">
        <w:rPr>
          <w:rFonts w:ascii="Arial" w:hAnsi="Arial" w:cs="Arial"/>
          <w:sz w:val="22"/>
          <w:szCs w:val="22"/>
        </w:rPr>
        <w:t xml:space="preserve">, guided by the principles of </w:t>
      </w:r>
      <w:r w:rsidRPr="00FD73B4">
        <w:rPr>
          <w:rStyle w:val="Strong"/>
          <w:rFonts w:ascii="Arial" w:hAnsi="Arial" w:cs="Arial"/>
          <w:b w:val="0"/>
          <w:bCs w:val="0"/>
          <w:sz w:val="22"/>
          <w:szCs w:val="22"/>
        </w:rPr>
        <w:t>the Coughlan, Cronin and Ryan framework</w:t>
      </w:r>
      <w:r w:rsidRPr="00FD73B4">
        <w:rPr>
          <w:rFonts w:ascii="Arial" w:hAnsi="Arial" w:cs="Arial"/>
          <w:sz w:val="22"/>
          <w:szCs w:val="22"/>
        </w:rPr>
        <w:t xml:space="preserve">, which </w:t>
      </w:r>
      <w:r w:rsidR="00F6572B" w:rsidRPr="00FD73B4">
        <w:rPr>
          <w:rFonts w:ascii="Arial" w:hAnsi="Arial" w:cs="Arial"/>
          <w:sz w:val="22"/>
          <w:szCs w:val="22"/>
        </w:rPr>
        <w:t>emphasizes</w:t>
      </w:r>
      <w:r w:rsidRPr="00FD73B4">
        <w:rPr>
          <w:rFonts w:ascii="Arial" w:hAnsi="Arial" w:cs="Arial"/>
          <w:sz w:val="22"/>
          <w:szCs w:val="22"/>
        </w:rPr>
        <w:t xml:space="preserve"> systematic, transparent, and rigorous evaluation of research evidence.</w:t>
      </w:r>
    </w:p>
    <w:p w14:paraId="78644C33"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The application of this framework enabled a structured assessment of internal validity, risk of bias, and methodological robustness, consistent with best practice observed in high-quality systematic reviews within stroke epidemiology and public health research.</w:t>
      </w:r>
    </w:p>
    <w:p w14:paraId="2AB2886F" w14:textId="77777777" w:rsidR="006F0BFE" w:rsidRDefault="006F0BFE" w:rsidP="0062404D">
      <w:pPr>
        <w:pStyle w:val="Heading3"/>
        <w:spacing w:line="360" w:lineRule="auto"/>
        <w:rPr>
          <w:rStyle w:val="Strong"/>
          <w:rFonts w:ascii="Arial" w:hAnsi="Arial" w:cs="Arial"/>
          <w:b/>
          <w:bCs/>
          <w:sz w:val="22"/>
          <w:szCs w:val="22"/>
        </w:rPr>
      </w:pPr>
    </w:p>
    <w:p w14:paraId="1C81CD96" w14:textId="77777777" w:rsidR="006F0BFE" w:rsidRDefault="006F0BFE" w:rsidP="0062404D">
      <w:pPr>
        <w:pStyle w:val="Heading3"/>
        <w:spacing w:line="360" w:lineRule="auto"/>
        <w:rPr>
          <w:rStyle w:val="Strong"/>
          <w:rFonts w:ascii="Arial" w:hAnsi="Arial" w:cs="Arial"/>
          <w:b/>
          <w:bCs/>
          <w:sz w:val="22"/>
          <w:szCs w:val="22"/>
        </w:rPr>
      </w:pPr>
    </w:p>
    <w:p w14:paraId="5B099152" w14:textId="77777777" w:rsidR="006F0BFE" w:rsidRDefault="006F0BFE" w:rsidP="0062404D">
      <w:pPr>
        <w:pStyle w:val="Heading3"/>
        <w:spacing w:line="360" w:lineRule="auto"/>
        <w:rPr>
          <w:rStyle w:val="Strong"/>
          <w:rFonts w:ascii="Arial" w:hAnsi="Arial" w:cs="Arial"/>
          <w:b/>
          <w:bCs/>
          <w:sz w:val="22"/>
          <w:szCs w:val="22"/>
        </w:rPr>
      </w:pPr>
    </w:p>
    <w:p w14:paraId="3ACC4BAB" w14:textId="3AB8B521"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4.6.1 Justification for the Appraisal Framework</w:t>
      </w:r>
    </w:p>
    <w:p w14:paraId="4A7FC4CC"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Coughlan, Cronin and Ryan’s framework provide a comprehensive approach to critical appraisal by encouraging evaluators to assess studies across key domains, including </w:t>
      </w:r>
      <w:r w:rsidRPr="00FD73B4">
        <w:rPr>
          <w:rStyle w:val="Strong"/>
          <w:rFonts w:ascii="Arial" w:hAnsi="Arial" w:cs="Arial"/>
          <w:b w:val="0"/>
          <w:bCs w:val="0"/>
          <w:sz w:val="22"/>
          <w:szCs w:val="22"/>
        </w:rPr>
        <w:t>research design appropriateness, sampling strategy, measurement validity, control of confounding variables, statistical analysis, and overall credibility of findings</w:t>
      </w:r>
      <w:r w:rsidRPr="00FD73B4">
        <w:rPr>
          <w:rFonts w:ascii="Arial" w:hAnsi="Arial" w:cs="Arial"/>
          <w:sz w:val="22"/>
          <w:szCs w:val="22"/>
        </w:rPr>
        <w:t>. This approach aligns closely with the JBI checklist, which is specifically designed for cohort studies and is widely used in high-impact systematic reviews addressing chronic disease epidemiology.</w:t>
      </w:r>
    </w:p>
    <w:p w14:paraId="22ADB29C" w14:textId="11CC7473"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The use of the JBI Cohort Checklist was justified as all included quantitative studies adopted </w:t>
      </w:r>
      <w:r w:rsidRPr="00FD73B4">
        <w:rPr>
          <w:rStyle w:val="Strong"/>
          <w:rFonts w:ascii="Arial" w:hAnsi="Arial" w:cs="Arial"/>
          <w:b w:val="0"/>
          <w:bCs w:val="0"/>
          <w:sz w:val="22"/>
          <w:szCs w:val="22"/>
        </w:rPr>
        <w:t>prospective cohort methodologies</w:t>
      </w:r>
      <w:r w:rsidRPr="00FD73B4">
        <w:rPr>
          <w:rFonts w:ascii="Arial" w:hAnsi="Arial" w:cs="Arial"/>
          <w:sz w:val="22"/>
          <w:szCs w:val="22"/>
        </w:rPr>
        <w:t xml:space="preserve">, which are regarded as the gold standard observational design for investigating lifestyle-disease relationships where </w:t>
      </w:r>
      <w:r w:rsidR="00F6572B" w:rsidRPr="00FD73B4">
        <w:rPr>
          <w:rFonts w:ascii="Arial" w:hAnsi="Arial" w:cs="Arial"/>
          <w:sz w:val="22"/>
          <w:szCs w:val="22"/>
        </w:rPr>
        <w:t>randomized</w:t>
      </w:r>
      <w:r w:rsidRPr="00FD73B4">
        <w:rPr>
          <w:rFonts w:ascii="Arial" w:hAnsi="Arial" w:cs="Arial"/>
          <w:sz w:val="22"/>
          <w:szCs w:val="22"/>
        </w:rPr>
        <w:t xml:space="preserve"> controlled trials may be impractical or unethical. Prospective cohorts are particularly valuable in stroke research because they allow for </w:t>
      </w:r>
      <w:r w:rsidRPr="00FD73B4">
        <w:rPr>
          <w:rStyle w:val="Strong"/>
          <w:rFonts w:ascii="Arial" w:hAnsi="Arial" w:cs="Arial"/>
          <w:b w:val="0"/>
          <w:bCs w:val="0"/>
          <w:sz w:val="22"/>
          <w:szCs w:val="22"/>
        </w:rPr>
        <w:t>temporal sequencing between exposure and outcome</w:t>
      </w:r>
      <w:r w:rsidRPr="00FD73B4">
        <w:rPr>
          <w:rFonts w:ascii="Arial" w:hAnsi="Arial" w:cs="Arial"/>
          <w:sz w:val="22"/>
          <w:szCs w:val="22"/>
        </w:rPr>
        <w:t>, a critical requirement for strengthening causal inference.</w:t>
      </w:r>
    </w:p>
    <w:p w14:paraId="7CA9BEBE"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4.6.2 Methodological Quality of Included Studies</w:t>
      </w:r>
    </w:p>
    <w:p w14:paraId="17078872"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Consistent with flagship systematic reviews in cardiovascular and stroke epidemiology, the included studies demonstrated </w:t>
      </w:r>
      <w:r w:rsidRPr="00FD73B4">
        <w:rPr>
          <w:rStyle w:val="Strong"/>
          <w:rFonts w:ascii="Arial" w:hAnsi="Arial" w:cs="Arial"/>
          <w:b w:val="0"/>
          <w:bCs w:val="0"/>
          <w:sz w:val="22"/>
          <w:szCs w:val="22"/>
        </w:rPr>
        <w:t>strong methodological quality overall</w:t>
      </w:r>
      <w:r w:rsidRPr="00FD73B4">
        <w:rPr>
          <w:rFonts w:ascii="Arial" w:hAnsi="Arial" w:cs="Arial"/>
          <w:sz w:val="22"/>
          <w:szCs w:val="22"/>
        </w:rPr>
        <w:t>, particularly in relation to sample size, outcome ascertainment, and statistical analysis.</w:t>
      </w:r>
    </w:p>
    <w:p w14:paraId="170A35FD" w14:textId="5FEC3F9B"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All nine studies </w:t>
      </w:r>
      <w:r w:rsidR="00F6572B" w:rsidRPr="00FD73B4">
        <w:rPr>
          <w:rFonts w:ascii="Arial" w:hAnsi="Arial" w:cs="Arial"/>
          <w:sz w:val="22"/>
          <w:szCs w:val="22"/>
        </w:rPr>
        <w:t>utilized</w:t>
      </w:r>
      <w:r w:rsidRPr="00FD73B4">
        <w:rPr>
          <w:rFonts w:ascii="Arial" w:hAnsi="Arial" w:cs="Arial"/>
          <w:sz w:val="22"/>
          <w:szCs w:val="22"/>
        </w:rPr>
        <w:t xml:space="preserve"> </w:t>
      </w:r>
      <w:r w:rsidRPr="00FD73B4">
        <w:rPr>
          <w:rStyle w:val="Strong"/>
          <w:rFonts w:ascii="Arial" w:hAnsi="Arial" w:cs="Arial"/>
          <w:b w:val="0"/>
          <w:bCs w:val="0"/>
          <w:sz w:val="22"/>
          <w:szCs w:val="22"/>
        </w:rPr>
        <w:t>large-scale UK population datasets</w:t>
      </w:r>
      <w:r w:rsidRPr="00FD73B4">
        <w:rPr>
          <w:rFonts w:ascii="Arial" w:hAnsi="Arial" w:cs="Arial"/>
          <w:sz w:val="22"/>
          <w:szCs w:val="22"/>
        </w:rPr>
        <w:t xml:space="preserve">, frequently drawing on nationally representative cohorts such as the UK Biobank. Sample sizes ranged from approximately </w:t>
      </w:r>
      <w:r w:rsidRPr="00FD73B4">
        <w:rPr>
          <w:rStyle w:val="Strong"/>
          <w:rFonts w:ascii="Arial" w:hAnsi="Arial" w:cs="Arial"/>
          <w:b w:val="0"/>
          <w:bCs w:val="0"/>
          <w:sz w:val="22"/>
          <w:szCs w:val="22"/>
        </w:rPr>
        <w:t>23,000 to over 400,000 participants</w:t>
      </w:r>
      <w:r w:rsidRPr="00FD73B4">
        <w:rPr>
          <w:rFonts w:ascii="Arial" w:hAnsi="Arial" w:cs="Arial"/>
          <w:sz w:val="22"/>
          <w:szCs w:val="22"/>
        </w:rPr>
        <w:t xml:space="preserve">, substantially enhancing statistical power, reducing random error, and increasing the </w:t>
      </w:r>
      <w:r w:rsidR="00F6572B" w:rsidRPr="00FD73B4">
        <w:rPr>
          <w:rFonts w:ascii="Arial" w:hAnsi="Arial" w:cs="Arial"/>
          <w:sz w:val="22"/>
          <w:szCs w:val="22"/>
        </w:rPr>
        <w:t>generalizability</w:t>
      </w:r>
      <w:r w:rsidRPr="00FD73B4">
        <w:rPr>
          <w:rFonts w:ascii="Arial" w:hAnsi="Arial" w:cs="Arial"/>
          <w:sz w:val="22"/>
          <w:szCs w:val="22"/>
        </w:rPr>
        <w:t xml:space="preserve"> of findings to the wider UK adult population.</w:t>
      </w:r>
    </w:p>
    <w:p w14:paraId="7DC5E3B4" w14:textId="77777777" w:rsidR="0062404D" w:rsidRPr="00FD73B4" w:rsidRDefault="0062404D" w:rsidP="0062404D">
      <w:pPr>
        <w:pStyle w:val="Heading4"/>
        <w:spacing w:line="360" w:lineRule="auto"/>
        <w:rPr>
          <w:rFonts w:ascii="Arial" w:hAnsi="Arial" w:cs="Arial"/>
          <w:b w:val="0"/>
          <w:bCs w:val="0"/>
          <w:sz w:val="22"/>
          <w:szCs w:val="22"/>
        </w:rPr>
      </w:pPr>
      <w:r w:rsidRPr="00FD73B4">
        <w:rPr>
          <w:rStyle w:val="Strong"/>
          <w:rFonts w:ascii="Arial" w:hAnsi="Arial" w:cs="Arial"/>
          <w:b/>
          <w:bCs/>
          <w:sz w:val="22"/>
          <w:szCs w:val="22"/>
        </w:rPr>
        <w:t>Participant Selection and Representativeness</w:t>
      </w:r>
    </w:p>
    <w:p w14:paraId="2BBD6475" w14:textId="2208D248" w:rsidR="0062404D" w:rsidRPr="00FD73B4" w:rsidRDefault="00F6572B" w:rsidP="0062404D">
      <w:pPr>
        <w:pStyle w:val="NormalWeb"/>
        <w:spacing w:line="360" w:lineRule="auto"/>
        <w:rPr>
          <w:rFonts w:ascii="Arial" w:hAnsi="Arial" w:cs="Arial"/>
          <w:sz w:val="22"/>
          <w:szCs w:val="22"/>
        </w:rPr>
      </w:pPr>
      <w:r w:rsidRPr="00FD73B4">
        <w:rPr>
          <w:rFonts w:ascii="Arial" w:hAnsi="Arial" w:cs="Arial"/>
          <w:sz w:val="22"/>
          <w:szCs w:val="22"/>
        </w:rPr>
        <w:t>Through</w:t>
      </w:r>
      <w:r w:rsidR="0062404D" w:rsidRPr="00FD73B4">
        <w:rPr>
          <w:rFonts w:ascii="Arial" w:hAnsi="Arial" w:cs="Arial"/>
          <w:sz w:val="22"/>
          <w:szCs w:val="22"/>
        </w:rPr>
        <w:t xml:space="preserve"> studies, participant recruitment strategies were clearly described and based on predefined inclusion and exclusion criteria. The use of national cohort datasets supported population representativeness, a key strength when compared to smaller, single-site observational studies. However</w:t>
      </w:r>
      <w:r w:rsidRPr="00FD73B4">
        <w:rPr>
          <w:rFonts w:ascii="Arial" w:hAnsi="Arial" w:cs="Arial"/>
          <w:sz w:val="22"/>
          <w:szCs w:val="22"/>
        </w:rPr>
        <w:t>,</w:t>
      </w:r>
      <w:r w:rsidR="0062404D" w:rsidRPr="00FD73B4">
        <w:rPr>
          <w:rFonts w:ascii="Arial" w:hAnsi="Arial" w:cs="Arial"/>
          <w:sz w:val="22"/>
          <w:szCs w:val="22"/>
        </w:rPr>
        <w:t xml:space="preserve"> with many large cohort studies, certain demographic groups—particularly ethnic minority populations—were under-represented, which may limit external validity and equity considerations.</w:t>
      </w:r>
    </w:p>
    <w:p w14:paraId="1BC39DEB" w14:textId="1F2F770B" w:rsidR="0062404D" w:rsidRPr="00FD73B4" w:rsidRDefault="0062404D" w:rsidP="0062404D">
      <w:pPr>
        <w:pStyle w:val="Heading4"/>
        <w:spacing w:line="360" w:lineRule="auto"/>
        <w:rPr>
          <w:rFonts w:ascii="Arial" w:hAnsi="Arial" w:cs="Arial"/>
          <w:b w:val="0"/>
          <w:bCs w:val="0"/>
          <w:sz w:val="22"/>
          <w:szCs w:val="22"/>
        </w:rPr>
      </w:pPr>
      <w:r w:rsidRPr="00FD73B4">
        <w:rPr>
          <w:rStyle w:val="Strong"/>
          <w:rFonts w:ascii="Arial" w:hAnsi="Arial" w:cs="Arial"/>
          <w:b/>
          <w:bCs/>
          <w:sz w:val="22"/>
          <w:szCs w:val="22"/>
        </w:rPr>
        <w:lastRenderedPageBreak/>
        <w:t>Exposure Measurement</w:t>
      </w:r>
    </w:p>
    <w:p w14:paraId="3A8E09CD"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Lifestyle exposures were measured using validated tools, consistent with best-practice standards in high-quality SLRs. These included:</w:t>
      </w:r>
    </w:p>
    <w:p w14:paraId="761AD79C" w14:textId="77777777" w:rsidR="0062404D" w:rsidRPr="00FD73B4" w:rsidRDefault="0062404D" w:rsidP="0062404D">
      <w:pPr>
        <w:pStyle w:val="NormalWeb"/>
        <w:numPr>
          <w:ilvl w:val="0"/>
          <w:numId w:val="19"/>
        </w:numPr>
        <w:spacing w:line="360" w:lineRule="auto"/>
        <w:rPr>
          <w:rFonts w:ascii="Arial" w:hAnsi="Arial" w:cs="Arial"/>
          <w:sz w:val="22"/>
          <w:szCs w:val="22"/>
        </w:rPr>
      </w:pPr>
      <w:r w:rsidRPr="00FD73B4">
        <w:rPr>
          <w:rFonts w:ascii="Arial" w:hAnsi="Arial" w:cs="Arial"/>
          <w:sz w:val="22"/>
          <w:szCs w:val="22"/>
        </w:rPr>
        <w:t>dietary assessments capturing patterns such as Mediterranean or vegetarian diets and fibre intake,</w:t>
      </w:r>
    </w:p>
    <w:p w14:paraId="7ECE6937" w14:textId="77777777" w:rsidR="0062404D" w:rsidRPr="00FD73B4" w:rsidRDefault="0062404D" w:rsidP="0062404D">
      <w:pPr>
        <w:pStyle w:val="NormalWeb"/>
        <w:numPr>
          <w:ilvl w:val="0"/>
          <w:numId w:val="19"/>
        </w:numPr>
        <w:spacing w:line="360" w:lineRule="auto"/>
        <w:rPr>
          <w:rFonts w:ascii="Arial" w:hAnsi="Arial" w:cs="Arial"/>
          <w:sz w:val="22"/>
          <w:szCs w:val="22"/>
        </w:rPr>
      </w:pPr>
      <w:r w:rsidRPr="00FD73B4">
        <w:rPr>
          <w:rFonts w:ascii="Arial" w:hAnsi="Arial" w:cs="Arial"/>
          <w:sz w:val="22"/>
          <w:szCs w:val="22"/>
        </w:rPr>
        <w:t>physical activity measured through accelerometers or validated self-report instruments,</w:t>
      </w:r>
    </w:p>
    <w:p w14:paraId="4FA75266" w14:textId="18C0F77D" w:rsidR="0062404D" w:rsidRPr="00FD73B4" w:rsidRDefault="0062404D" w:rsidP="0062404D">
      <w:pPr>
        <w:pStyle w:val="NormalWeb"/>
        <w:numPr>
          <w:ilvl w:val="0"/>
          <w:numId w:val="19"/>
        </w:numPr>
        <w:spacing w:line="360" w:lineRule="auto"/>
        <w:rPr>
          <w:rFonts w:ascii="Arial" w:hAnsi="Arial" w:cs="Arial"/>
          <w:sz w:val="22"/>
          <w:szCs w:val="22"/>
        </w:rPr>
      </w:pPr>
      <w:r w:rsidRPr="00FD73B4">
        <w:rPr>
          <w:rFonts w:ascii="Arial" w:hAnsi="Arial" w:cs="Arial"/>
          <w:sz w:val="22"/>
          <w:szCs w:val="22"/>
        </w:rPr>
        <w:t xml:space="preserve">sedentary </w:t>
      </w:r>
      <w:r w:rsidR="00F6572B" w:rsidRPr="00FD73B4">
        <w:rPr>
          <w:rFonts w:ascii="Arial" w:hAnsi="Arial" w:cs="Arial"/>
          <w:sz w:val="22"/>
          <w:szCs w:val="22"/>
        </w:rPr>
        <w:t>behavior</w:t>
      </w:r>
      <w:r w:rsidRPr="00FD73B4">
        <w:rPr>
          <w:rFonts w:ascii="Arial" w:hAnsi="Arial" w:cs="Arial"/>
          <w:sz w:val="22"/>
          <w:szCs w:val="22"/>
        </w:rPr>
        <w:t>, alcohol consumption, outdoor time, and genetic risk profiling.</w:t>
      </w:r>
    </w:p>
    <w:p w14:paraId="6110F0CA" w14:textId="40082A32"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While objective measures such as accelerometry strengthened measurement validity, reliance on self-reported data in some studies introduced potential recall and reporting bias, a </w:t>
      </w:r>
      <w:r w:rsidR="00F6572B" w:rsidRPr="00FD73B4">
        <w:rPr>
          <w:rFonts w:ascii="Arial" w:hAnsi="Arial" w:cs="Arial"/>
          <w:sz w:val="22"/>
          <w:szCs w:val="22"/>
        </w:rPr>
        <w:t>recognized</w:t>
      </w:r>
      <w:r w:rsidRPr="00FD73B4">
        <w:rPr>
          <w:rFonts w:ascii="Arial" w:hAnsi="Arial" w:cs="Arial"/>
          <w:sz w:val="22"/>
          <w:szCs w:val="22"/>
        </w:rPr>
        <w:t xml:space="preserve"> limitation in lifestyle epidemiology.</w:t>
      </w:r>
    </w:p>
    <w:p w14:paraId="61F25823" w14:textId="77777777" w:rsidR="0062404D" w:rsidRPr="00FD73B4" w:rsidRDefault="0062404D" w:rsidP="0062404D">
      <w:pPr>
        <w:pStyle w:val="Heading4"/>
        <w:spacing w:line="360" w:lineRule="auto"/>
        <w:rPr>
          <w:rFonts w:ascii="Arial" w:hAnsi="Arial" w:cs="Arial"/>
          <w:b w:val="0"/>
          <w:bCs w:val="0"/>
          <w:sz w:val="22"/>
          <w:szCs w:val="22"/>
        </w:rPr>
      </w:pPr>
      <w:r w:rsidRPr="00FD73B4">
        <w:rPr>
          <w:rStyle w:val="Strong"/>
          <w:rFonts w:ascii="Arial" w:hAnsi="Arial" w:cs="Arial"/>
          <w:b/>
          <w:bCs/>
          <w:sz w:val="22"/>
          <w:szCs w:val="22"/>
        </w:rPr>
        <w:t>Outcome Measurement</w:t>
      </w:r>
    </w:p>
    <w:p w14:paraId="292C1FFE" w14:textId="4A0129D8"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All studies employed </w:t>
      </w:r>
      <w:r w:rsidRPr="00FD73B4">
        <w:rPr>
          <w:rStyle w:val="Strong"/>
          <w:rFonts w:ascii="Arial" w:hAnsi="Arial" w:cs="Arial"/>
          <w:b w:val="0"/>
          <w:bCs w:val="0"/>
          <w:sz w:val="22"/>
          <w:szCs w:val="22"/>
        </w:rPr>
        <w:t>validated stroke outcomes</w:t>
      </w:r>
      <w:r w:rsidRPr="00FD73B4">
        <w:rPr>
          <w:rFonts w:ascii="Arial" w:hAnsi="Arial" w:cs="Arial"/>
          <w:sz w:val="22"/>
          <w:szCs w:val="22"/>
        </w:rPr>
        <w:t xml:space="preserve">, derived from medical records, hospital episode statistics, or national disease registries. This approach </w:t>
      </w:r>
      <w:r w:rsidR="00F6572B" w:rsidRPr="00FD73B4">
        <w:rPr>
          <w:rFonts w:ascii="Arial" w:hAnsi="Arial" w:cs="Arial"/>
          <w:sz w:val="22"/>
          <w:szCs w:val="22"/>
        </w:rPr>
        <w:t>minimized</w:t>
      </w:r>
      <w:r w:rsidRPr="00FD73B4">
        <w:rPr>
          <w:rFonts w:ascii="Arial" w:hAnsi="Arial" w:cs="Arial"/>
          <w:sz w:val="22"/>
          <w:szCs w:val="22"/>
        </w:rPr>
        <w:t xml:space="preserve"> misclassification bias and </w:t>
      </w:r>
      <w:r w:rsidR="00F6572B" w:rsidRPr="00FD73B4">
        <w:rPr>
          <w:rFonts w:ascii="Arial" w:hAnsi="Arial" w:cs="Arial"/>
          <w:sz w:val="22"/>
          <w:szCs w:val="22"/>
        </w:rPr>
        <w:t>aligned</w:t>
      </w:r>
      <w:r w:rsidRPr="00FD73B4">
        <w:rPr>
          <w:rFonts w:ascii="Arial" w:hAnsi="Arial" w:cs="Arial"/>
          <w:sz w:val="22"/>
          <w:szCs w:val="22"/>
        </w:rPr>
        <w:t xml:space="preserve"> with the methodological standards observed in high-impact epidemiological reviews.</w:t>
      </w:r>
    </w:p>
    <w:p w14:paraId="1CD40E9E" w14:textId="77777777" w:rsidR="0062404D" w:rsidRPr="00FD73B4" w:rsidRDefault="0062404D" w:rsidP="0062404D">
      <w:pPr>
        <w:pStyle w:val="Heading4"/>
        <w:spacing w:line="360" w:lineRule="auto"/>
        <w:rPr>
          <w:rFonts w:ascii="Arial" w:hAnsi="Arial" w:cs="Arial"/>
          <w:b w:val="0"/>
          <w:bCs w:val="0"/>
          <w:sz w:val="22"/>
          <w:szCs w:val="22"/>
        </w:rPr>
      </w:pPr>
      <w:r w:rsidRPr="00FD73B4">
        <w:rPr>
          <w:rStyle w:val="Strong"/>
          <w:rFonts w:ascii="Arial" w:hAnsi="Arial" w:cs="Arial"/>
          <w:b/>
          <w:bCs/>
          <w:sz w:val="22"/>
          <w:szCs w:val="22"/>
        </w:rPr>
        <w:t>Control of Confounding</w:t>
      </w:r>
    </w:p>
    <w:p w14:paraId="0E4197D9"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A major strength across the included studies was the rigorous control of confounding factors. Multivariate regression models were consistently applied, adjusting for key covariates including age, sex, socioeconomic status, body mass index, smoking status, and comorbidities. This analytical approach reflects the methodological sophistication seen in leading systematic reviews and strengthens confidence in the reported associations.</w:t>
      </w:r>
    </w:p>
    <w:p w14:paraId="056B0826" w14:textId="77777777" w:rsidR="0062404D" w:rsidRPr="00FD73B4" w:rsidRDefault="0062404D" w:rsidP="0062404D">
      <w:pPr>
        <w:pStyle w:val="Heading4"/>
        <w:spacing w:line="360" w:lineRule="auto"/>
        <w:rPr>
          <w:rFonts w:ascii="Arial" w:hAnsi="Arial" w:cs="Arial"/>
          <w:b w:val="0"/>
          <w:bCs w:val="0"/>
          <w:sz w:val="22"/>
          <w:szCs w:val="22"/>
        </w:rPr>
      </w:pPr>
      <w:r w:rsidRPr="00FD73B4">
        <w:rPr>
          <w:rStyle w:val="Strong"/>
          <w:rFonts w:ascii="Arial" w:hAnsi="Arial" w:cs="Arial"/>
          <w:b/>
          <w:bCs/>
          <w:sz w:val="22"/>
          <w:szCs w:val="22"/>
        </w:rPr>
        <w:t>Statistical Analysis and Follow-up</w:t>
      </w:r>
    </w:p>
    <w:p w14:paraId="762442A3"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Statistical analyses were appropriate and clearly reported across studies, with effect estimates presented alongside confidence intervals. Follow-up periods were sufficiently long to capture incident stroke events, reducing the risk of reverse causality. Attrition rates were generally acceptable, although some studies provided limited discussion of loss to follow-up and its potential impact on bias.</w:t>
      </w:r>
    </w:p>
    <w:p w14:paraId="24D70EF7" w14:textId="77777777" w:rsidR="00DB2564" w:rsidRPr="00FD73B4" w:rsidRDefault="00DB2564" w:rsidP="0062404D">
      <w:pPr>
        <w:pStyle w:val="Heading3"/>
        <w:spacing w:line="360" w:lineRule="auto"/>
        <w:rPr>
          <w:rStyle w:val="Strong"/>
          <w:rFonts w:ascii="Arial" w:hAnsi="Arial" w:cs="Arial"/>
          <w:b/>
          <w:bCs/>
          <w:sz w:val="22"/>
          <w:szCs w:val="22"/>
        </w:rPr>
      </w:pPr>
    </w:p>
    <w:p w14:paraId="681D6731" w14:textId="46F63086"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4.6.3 Overall Appraisal and Evidence Strength</w:t>
      </w:r>
    </w:p>
    <w:p w14:paraId="4B0CA5EE"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Using the Coughlan, Cronin and Ryan framework in conjunction with the JBI checklist, the overall quality of the quantitative evidence was assessed as </w:t>
      </w:r>
      <w:r w:rsidRPr="00FD73B4">
        <w:rPr>
          <w:rStyle w:val="Strong"/>
          <w:rFonts w:ascii="Arial" w:hAnsi="Arial" w:cs="Arial"/>
          <w:b w:val="0"/>
          <w:bCs w:val="0"/>
          <w:sz w:val="22"/>
          <w:szCs w:val="22"/>
        </w:rPr>
        <w:t>moderate to high</w:t>
      </w:r>
      <w:r w:rsidRPr="00FD73B4">
        <w:rPr>
          <w:rFonts w:ascii="Arial" w:hAnsi="Arial" w:cs="Arial"/>
          <w:sz w:val="22"/>
          <w:szCs w:val="22"/>
        </w:rPr>
        <w:t>. The included studies demonstrate methodological rigor comparable to that observed in best-in-class systematic literature reviews within stroke prevention research.</w:t>
      </w:r>
    </w:p>
    <w:p w14:paraId="3F468137"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Key strengths included large sample sizes, validated outcome measures, robust statistical adjustment, and prospective designs. However, common limitations—such as reliance on self-reported lifestyle data and limited representation of diverse populations—must be acknowledged when interpreting findings.</w:t>
      </w:r>
    </w:p>
    <w:p w14:paraId="0ED7E816"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Despite these limitations, the quantitative evidence provides a </w:t>
      </w:r>
      <w:r w:rsidRPr="00FD73B4">
        <w:rPr>
          <w:rStyle w:val="Strong"/>
          <w:rFonts w:ascii="Arial" w:hAnsi="Arial" w:cs="Arial"/>
          <w:b w:val="0"/>
          <w:bCs w:val="0"/>
          <w:sz w:val="22"/>
          <w:szCs w:val="22"/>
        </w:rPr>
        <w:t>strong and credible foundation</w:t>
      </w:r>
      <w:r w:rsidRPr="00FD73B4">
        <w:rPr>
          <w:rFonts w:ascii="Arial" w:hAnsi="Arial" w:cs="Arial"/>
          <w:sz w:val="22"/>
          <w:szCs w:val="22"/>
        </w:rPr>
        <w:t xml:space="preserve"> for examining the role of lifestyle behaviors in stroke incidence and supports the synthesis and recommendations presented in subsequent chapters.</w:t>
      </w:r>
    </w:p>
    <w:p w14:paraId="0BEF43F3" w14:textId="77777777" w:rsidR="0062404D" w:rsidRPr="00FD73B4" w:rsidRDefault="0062404D" w:rsidP="0062404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4.6.4 Critical Appraisal of Individual Quantitative Studies</w:t>
      </w:r>
    </w:p>
    <w:p w14:paraId="750E7E57"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Zhang et al. (2021)</w:t>
      </w:r>
    </w:p>
    <w:p w14:paraId="4811D13B" w14:textId="5D1B8F8A" w:rsidR="0062404D" w:rsidRPr="00FD73B4" w:rsidRDefault="0062404D" w:rsidP="0062404D">
      <w:pPr>
        <w:pStyle w:val="NormalWeb"/>
        <w:spacing w:line="360" w:lineRule="auto"/>
        <w:rPr>
          <w:rFonts w:ascii="Arial" w:hAnsi="Arial" w:cs="Arial"/>
          <w:b/>
          <w:sz w:val="22"/>
          <w:szCs w:val="22"/>
        </w:rPr>
      </w:pPr>
      <w:r w:rsidRPr="00FD73B4">
        <w:rPr>
          <w:rFonts w:ascii="Arial" w:hAnsi="Arial" w:cs="Arial"/>
          <w:sz w:val="22"/>
          <w:szCs w:val="22"/>
        </w:rPr>
        <w:t xml:space="preserve">Zhang et al. conducted one of the largest UK-based cohort analyses examining the association between overall diet quality and stroke incidence. The study demonstrated strong methodological rigor, meeting nearly all JBI criteria. The use of a validated diet quality index enhanced measurement reliability, while stroke outcomes were derived from linked hospital and mortality records, strengthening outcome validity. </w:t>
      </w:r>
      <w:r w:rsidR="00351C36" w:rsidRPr="00FD73B4">
        <w:rPr>
          <w:rFonts w:ascii="Arial" w:hAnsi="Arial" w:cs="Arial"/>
          <w:sz w:val="22"/>
          <w:szCs w:val="22"/>
        </w:rPr>
        <w:t>The</w:t>
      </w:r>
      <w:r w:rsidRPr="00FD73B4">
        <w:rPr>
          <w:rFonts w:ascii="Arial" w:hAnsi="Arial" w:cs="Arial"/>
          <w:sz w:val="22"/>
          <w:szCs w:val="22"/>
        </w:rPr>
        <w:t xml:space="preserve"> large sample size from the UK Biobank increased statistical power and external validity, enabling generalization to the wider UK adult population. The analysis incorporated extensive confounder adjustment, including sociodemographic, behavioral, and clinical variables, which minimized residual confounding. The statistical methodology was robust, employing Cox regression models, sensitivity analysis, and stratification.</w:t>
      </w:r>
      <w:r w:rsidRPr="00FD73B4">
        <w:rPr>
          <w:rFonts w:ascii="Arial" w:hAnsi="Arial" w:cs="Arial"/>
          <w:sz w:val="22"/>
          <w:szCs w:val="22"/>
        </w:rPr>
        <w:br/>
        <w:t xml:space="preserve">However, the primary limitation was reliance on self-reported dietary assessment via food-frequency questionnaires, which may introduce recall bias and measurement imprecision. Despite this, the study’s comprehensive methodology, large cohort, and strong analytical approach justify its classification as </w:t>
      </w:r>
      <w:r w:rsidRPr="00FD73B4">
        <w:rPr>
          <w:rStyle w:val="Strong"/>
          <w:rFonts w:ascii="Arial" w:hAnsi="Arial" w:cs="Arial"/>
          <w:b w:val="0"/>
          <w:sz w:val="22"/>
          <w:szCs w:val="22"/>
        </w:rPr>
        <w:t>high quality</w:t>
      </w:r>
      <w:r w:rsidRPr="00FD73B4">
        <w:rPr>
          <w:rFonts w:ascii="Arial" w:hAnsi="Arial" w:cs="Arial"/>
          <w:b/>
          <w:sz w:val="22"/>
          <w:szCs w:val="22"/>
        </w:rPr>
        <w:t>.</w:t>
      </w:r>
    </w:p>
    <w:p w14:paraId="2367D4CC" w14:textId="77777777" w:rsidR="006F0BFE" w:rsidRDefault="006F0BFE" w:rsidP="0062404D">
      <w:pPr>
        <w:pStyle w:val="Heading3"/>
        <w:spacing w:line="360" w:lineRule="auto"/>
        <w:rPr>
          <w:rStyle w:val="Strong"/>
          <w:rFonts w:ascii="Arial" w:hAnsi="Arial" w:cs="Arial"/>
          <w:b/>
          <w:bCs/>
          <w:sz w:val="22"/>
          <w:szCs w:val="22"/>
        </w:rPr>
      </w:pPr>
    </w:p>
    <w:p w14:paraId="6F699BD9" w14:textId="7ADDA09E"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Dong et al. (2024)</w:t>
      </w:r>
    </w:p>
    <w:p w14:paraId="418CD562"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Dong et al. investigated the impact of sedentary behavior on stroke incidence using accelerometer-based measurement—a major methodological strength due to objective quantification of exposure. Unlike self-reported physical activity data, accelerometers reduce recall bias and provide granular information on movement patterns. The cohort design, large sample size, and long follow-up period all aligned with JBI criteria for high-quality cohort research. The study clearly defined sedentary behavior thresholds and applied standardized cut-points, improving internal validity.</w:t>
      </w:r>
      <w:r w:rsidRPr="00FD73B4">
        <w:rPr>
          <w:rFonts w:ascii="Arial" w:hAnsi="Arial" w:cs="Arial"/>
          <w:sz w:val="22"/>
          <w:szCs w:val="22"/>
        </w:rPr>
        <w:br/>
        <w:t>Adjustments for confounding factors—such as physical activity, age, sex, BMI, and cardiovascular risk factors—were appropriately executed, and the statistical modelling was well justified. Sensitivity analyses supported the robustness of the findings.</w:t>
      </w:r>
      <w:r w:rsidRPr="00FD73B4">
        <w:rPr>
          <w:rFonts w:ascii="Arial" w:hAnsi="Arial" w:cs="Arial"/>
          <w:sz w:val="22"/>
          <w:szCs w:val="22"/>
        </w:rPr>
        <w:br/>
        <w:t xml:space="preserve">Nevertheless, as with all observational research, residual confounding and reverse causation cannot be entirely ruled out. Some health conditions may simultaneously influence both sedentary behavior and stroke risk. Despite these limitations, the study’s methodological strengths position it as </w:t>
      </w:r>
      <w:r w:rsidRPr="00FD73B4">
        <w:rPr>
          <w:rStyle w:val="Strong"/>
          <w:rFonts w:ascii="Arial" w:hAnsi="Arial" w:cs="Arial"/>
          <w:b w:val="0"/>
          <w:sz w:val="22"/>
          <w:szCs w:val="22"/>
        </w:rPr>
        <w:t>high quality</w:t>
      </w:r>
      <w:r w:rsidRPr="00FD73B4">
        <w:rPr>
          <w:rFonts w:ascii="Arial" w:hAnsi="Arial" w:cs="Arial"/>
          <w:sz w:val="22"/>
          <w:szCs w:val="22"/>
        </w:rPr>
        <w:t xml:space="preserve"> according to JBI appraisal.</w:t>
      </w:r>
    </w:p>
    <w:p w14:paraId="669EFED7"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Livingstone et al. (2021)</w:t>
      </w:r>
    </w:p>
    <w:p w14:paraId="7CA37550"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Livingstone and colleagues explored alcohol intake patterns and stroke risk. The exposure—alcohol consumption—was self-reported, which introduces potential bias due to underreporting, particularly among heavy drinkers. However, the study employed detailed alcohol-use categories, allowing nuanced risk modelling across consumption levels.</w:t>
      </w:r>
      <w:r w:rsidRPr="00FD73B4">
        <w:rPr>
          <w:rFonts w:ascii="Arial" w:hAnsi="Arial" w:cs="Arial"/>
          <w:sz w:val="22"/>
          <w:szCs w:val="22"/>
        </w:rPr>
        <w:br/>
        <w:t>The cohort was large and demographically diverse, and stroke outcomes were validated through national medical registries. Confounder control was extensive, addressing demographic, socioeconomic, lifestyle, and clinical factors. Analytical methods, including multivariable regression and stratified analyses, were well executed and transparently reported.</w:t>
      </w:r>
      <w:r w:rsidRPr="00FD73B4">
        <w:rPr>
          <w:rFonts w:ascii="Arial" w:hAnsi="Arial" w:cs="Arial"/>
          <w:sz w:val="22"/>
          <w:szCs w:val="22"/>
        </w:rPr>
        <w:br/>
        <w:t>A strength of this study was its challenge to long-standing assumptions about the “protective effect” of moderate alcohol consumption by applying more rigorous categorization and updated analytical frameworks.</w:t>
      </w:r>
      <w:r w:rsidRPr="00FD73B4">
        <w:rPr>
          <w:rFonts w:ascii="Arial" w:hAnsi="Arial" w:cs="Arial"/>
          <w:sz w:val="22"/>
          <w:szCs w:val="22"/>
        </w:rPr>
        <w:br/>
        <w:t xml:space="preserve">The primary limitation lies in measurement validity due to self-reported alcohol intake; misclassification may attenuate associations. Despite this, the study demonstrated strong adherence to JBI criteria and was appraised as </w:t>
      </w:r>
      <w:r w:rsidRPr="00FD73B4">
        <w:rPr>
          <w:rStyle w:val="Strong"/>
          <w:rFonts w:ascii="Arial" w:hAnsi="Arial" w:cs="Arial"/>
          <w:b w:val="0"/>
          <w:sz w:val="22"/>
          <w:szCs w:val="22"/>
        </w:rPr>
        <w:t>moderate–high quality</w:t>
      </w:r>
      <w:r w:rsidRPr="00FD73B4">
        <w:rPr>
          <w:rFonts w:ascii="Arial" w:hAnsi="Arial" w:cs="Arial"/>
          <w:b/>
          <w:sz w:val="22"/>
          <w:szCs w:val="22"/>
        </w:rPr>
        <w:t>.</w:t>
      </w:r>
    </w:p>
    <w:p w14:paraId="25D87DE4" w14:textId="77777777" w:rsidR="0062404D" w:rsidRPr="00FD73B4" w:rsidRDefault="0062404D" w:rsidP="0062404D">
      <w:pPr>
        <w:spacing w:line="360" w:lineRule="auto"/>
        <w:rPr>
          <w:rFonts w:ascii="Arial" w:hAnsi="Arial" w:cs="Arial"/>
        </w:rPr>
      </w:pPr>
    </w:p>
    <w:p w14:paraId="7D62692B"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Miguet et al. (2021)</w:t>
      </w:r>
    </w:p>
    <w:p w14:paraId="4369928D" w14:textId="186446A2"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Miguet et al. examined the relationship between physical activity and stroke risk using both accelerometer and questionnaire data. The dual-method exposure measurement strengthened the validity of physical activity estimates, allowing the study to triangulate objective and subjective data. Accelerometer-collected intensity and duration metrics enhanced precision.</w:t>
      </w:r>
      <w:r w:rsidRPr="00FD73B4">
        <w:rPr>
          <w:rFonts w:ascii="Arial" w:hAnsi="Arial" w:cs="Arial"/>
          <w:sz w:val="22"/>
          <w:szCs w:val="22"/>
        </w:rPr>
        <w:br/>
        <w:t>The study utilized a large sample, a clearly defined cohort, and validated stroke outcome data. Confounders, including sedentary time, BMI, diet, socioeconomic status, and smoking, were comprehensively adjusted for, reducing bias.</w:t>
      </w:r>
      <w:r w:rsidRPr="00FD73B4">
        <w:rPr>
          <w:rFonts w:ascii="Arial" w:hAnsi="Arial" w:cs="Arial"/>
          <w:sz w:val="22"/>
          <w:szCs w:val="22"/>
        </w:rPr>
        <w:br/>
        <w:t>Its statistical approach included dose–response modelling and subgroup analysis, which aligned with best practices. Ethical approval and data handling procedures met research standards.</w:t>
      </w:r>
      <w:r w:rsidRPr="00FD73B4">
        <w:rPr>
          <w:rFonts w:ascii="Arial" w:hAnsi="Arial" w:cs="Arial"/>
          <w:sz w:val="22"/>
          <w:szCs w:val="22"/>
        </w:rPr>
        <w:br/>
        <w:t xml:space="preserve">Limitations included limited control for seasonal variation in physical activity—participants measured in </w:t>
      </w:r>
      <w:r w:rsidR="00351C36" w:rsidRPr="00FD73B4">
        <w:rPr>
          <w:rFonts w:ascii="Arial" w:hAnsi="Arial" w:cs="Arial"/>
          <w:sz w:val="22"/>
          <w:szCs w:val="22"/>
        </w:rPr>
        <w:t>winter</w:t>
      </w:r>
      <w:r w:rsidRPr="00FD73B4">
        <w:rPr>
          <w:rFonts w:ascii="Arial" w:hAnsi="Arial" w:cs="Arial"/>
          <w:sz w:val="22"/>
          <w:szCs w:val="22"/>
        </w:rPr>
        <w:t xml:space="preserve"> differ significantly from those measured in summer. Additionally, accelerometer wear-time compliance can introduce measurement variability.</w:t>
      </w:r>
      <w:r w:rsidRPr="00FD73B4">
        <w:rPr>
          <w:rFonts w:ascii="Arial" w:hAnsi="Arial" w:cs="Arial"/>
          <w:sz w:val="22"/>
          <w:szCs w:val="22"/>
        </w:rPr>
        <w:br/>
        <w:t xml:space="preserve">Overall, the study showed strong methodological </w:t>
      </w:r>
      <w:r w:rsidR="00351C36" w:rsidRPr="00FD73B4">
        <w:rPr>
          <w:rFonts w:ascii="Arial" w:hAnsi="Arial" w:cs="Arial"/>
          <w:sz w:val="22"/>
          <w:szCs w:val="22"/>
        </w:rPr>
        <w:t>rigor</w:t>
      </w:r>
      <w:r w:rsidRPr="00FD73B4">
        <w:rPr>
          <w:rFonts w:ascii="Arial" w:hAnsi="Arial" w:cs="Arial"/>
          <w:sz w:val="22"/>
          <w:szCs w:val="22"/>
        </w:rPr>
        <w:t xml:space="preserve"> and was appraised as </w:t>
      </w:r>
      <w:r w:rsidRPr="00FD73B4">
        <w:rPr>
          <w:rStyle w:val="Strong"/>
          <w:rFonts w:ascii="Arial" w:hAnsi="Arial" w:cs="Arial"/>
          <w:b w:val="0"/>
          <w:sz w:val="22"/>
          <w:szCs w:val="22"/>
        </w:rPr>
        <w:t>high quality</w:t>
      </w:r>
      <w:r w:rsidRPr="00FD73B4">
        <w:rPr>
          <w:rFonts w:ascii="Arial" w:hAnsi="Arial" w:cs="Arial"/>
          <w:b/>
          <w:sz w:val="22"/>
          <w:szCs w:val="22"/>
        </w:rPr>
        <w:t>.</w:t>
      </w:r>
    </w:p>
    <w:p w14:paraId="442815D8"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Paterson et al. (2018)</w:t>
      </w:r>
    </w:p>
    <w:p w14:paraId="50DAEB84" w14:textId="77777777" w:rsidR="0062404D" w:rsidRPr="00FD73B4" w:rsidRDefault="0062404D" w:rsidP="0062404D">
      <w:pPr>
        <w:pStyle w:val="NormalWeb"/>
        <w:spacing w:line="360" w:lineRule="auto"/>
        <w:rPr>
          <w:rFonts w:ascii="Arial" w:hAnsi="Arial" w:cs="Arial"/>
          <w:b/>
          <w:sz w:val="22"/>
          <w:szCs w:val="22"/>
        </w:rPr>
      </w:pPr>
      <w:r w:rsidRPr="00FD73B4">
        <w:rPr>
          <w:rFonts w:ascii="Arial" w:hAnsi="Arial" w:cs="Arial"/>
          <w:sz w:val="22"/>
          <w:szCs w:val="22"/>
        </w:rPr>
        <w:t>Paterson et al. conducted a cohort study exploring Mediterranean diet adherence and stroke incidence among UK women. The study used a validated FFQ to measure dietary intake and calculated adherence scores using established Mediterranean diet scoring systems. Stroke outcomes were reliably identified through health databases, meeting JBI criteria for valid outcome measurement.</w:t>
      </w:r>
      <w:r w:rsidRPr="00FD73B4">
        <w:rPr>
          <w:rFonts w:ascii="Arial" w:hAnsi="Arial" w:cs="Arial"/>
          <w:sz w:val="22"/>
          <w:szCs w:val="22"/>
        </w:rPr>
        <w:br/>
        <w:t>Confounder adjustment was extensive and included behavioral factors, biological determinants, and socioeconomic status. The statistical analysis used hazard ratios and incorporated sensitivity checks.</w:t>
      </w:r>
      <w:r w:rsidRPr="00FD73B4">
        <w:rPr>
          <w:rFonts w:ascii="Arial" w:hAnsi="Arial" w:cs="Arial"/>
          <w:sz w:val="22"/>
          <w:szCs w:val="22"/>
        </w:rPr>
        <w:br/>
        <w:t>The strength of the study lies in its precise operationalization of dietary patterns rather than individual nutrients, reflecting real-world dietary behavior.</w:t>
      </w:r>
      <w:r w:rsidRPr="00FD73B4">
        <w:rPr>
          <w:rFonts w:ascii="Arial" w:hAnsi="Arial" w:cs="Arial"/>
          <w:sz w:val="22"/>
          <w:szCs w:val="22"/>
        </w:rPr>
        <w:br/>
        <w:t xml:space="preserve">However, the major limitation is the female-only sample, restricting generalizability to men. Additionally, dietary self-reporting may introduce misclassification bias. Despite these limitations, the study adhered well to rigorous cohort methodology and was appraised as </w:t>
      </w:r>
      <w:r w:rsidRPr="00FD73B4">
        <w:rPr>
          <w:rStyle w:val="Strong"/>
          <w:rFonts w:ascii="Arial" w:hAnsi="Arial" w:cs="Arial"/>
          <w:b w:val="0"/>
          <w:sz w:val="22"/>
          <w:szCs w:val="22"/>
        </w:rPr>
        <w:t>high quality</w:t>
      </w:r>
      <w:r w:rsidRPr="00FD73B4">
        <w:rPr>
          <w:rFonts w:ascii="Arial" w:hAnsi="Arial" w:cs="Arial"/>
          <w:b/>
          <w:sz w:val="22"/>
          <w:szCs w:val="22"/>
        </w:rPr>
        <w:t>.</w:t>
      </w:r>
    </w:p>
    <w:p w14:paraId="0770422A" w14:textId="77777777" w:rsidR="006F0BFE" w:rsidRDefault="006F0BFE" w:rsidP="0062404D">
      <w:pPr>
        <w:pStyle w:val="Heading3"/>
        <w:spacing w:line="360" w:lineRule="auto"/>
        <w:rPr>
          <w:rStyle w:val="Strong"/>
          <w:rFonts w:ascii="Arial" w:hAnsi="Arial" w:cs="Arial"/>
          <w:b/>
          <w:bCs/>
          <w:sz w:val="22"/>
          <w:szCs w:val="22"/>
        </w:rPr>
      </w:pPr>
    </w:p>
    <w:p w14:paraId="3DE00255" w14:textId="615B5246"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Rutten-Jacobs et al. (2018)</w:t>
      </w:r>
    </w:p>
    <w:p w14:paraId="55C6536A" w14:textId="67BCDCCC"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 xml:space="preserve">This cohort study investigated gene–lifestyle interactions in early stroke onset, offering a sophisticated exploration of genetic and behavioral correlates. Genetic risk was measured using polygenic risk scores derived from validated genome-wide association studies, providing robust exposure measurement. Lifestyle </w:t>
      </w:r>
      <w:r w:rsidR="00351C36" w:rsidRPr="00FD73B4">
        <w:rPr>
          <w:rFonts w:ascii="Arial" w:hAnsi="Arial" w:cs="Arial"/>
          <w:sz w:val="22"/>
          <w:szCs w:val="22"/>
        </w:rPr>
        <w:t xml:space="preserve">factors, </w:t>
      </w:r>
      <w:r w:rsidRPr="00FD73B4">
        <w:rPr>
          <w:rFonts w:ascii="Arial" w:hAnsi="Arial" w:cs="Arial"/>
          <w:sz w:val="22"/>
          <w:szCs w:val="22"/>
        </w:rPr>
        <w:t>diet, smoking, physical activity—were assessed via standardized questionnaires.</w:t>
      </w:r>
      <w:r w:rsidRPr="00FD73B4">
        <w:rPr>
          <w:rFonts w:ascii="Arial" w:hAnsi="Arial" w:cs="Arial"/>
          <w:sz w:val="22"/>
          <w:szCs w:val="22"/>
        </w:rPr>
        <w:br/>
        <w:t>The study design was strong, with a large sample drawn from UK Biobank and long follow-up duration. Stroke outcomes were verified through clinical registries.</w:t>
      </w:r>
      <w:r w:rsidRPr="00FD73B4">
        <w:rPr>
          <w:rFonts w:ascii="Arial" w:hAnsi="Arial" w:cs="Arial"/>
          <w:sz w:val="22"/>
          <w:szCs w:val="22"/>
        </w:rPr>
        <w:br/>
        <w:t>Analytical strength was evident in the modelling of gene–environment interactions using advanced statistical techniques. Confounder control was extensive.</w:t>
      </w:r>
      <w:r w:rsidRPr="00FD73B4">
        <w:rPr>
          <w:rFonts w:ascii="Arial" w:hAnsi="Arial" w:cs="Arial"/>
          <w:sz w:val="22"/>
          <w:szCs w:val="22"/>
        </w:rPr>
        <w:br/>
        <w:t xml:space="preserve">Limitations included possible residual confounding and challenges in accurately capturing complex lifestyle </w:t>
      </w:r>
      <w:r w:rsidR="00351C36" w:rsidRPr="00FD73B4">
        <w:rPr>
          <w:rFonts w:ascii="Arial" w:hAnsi="Arial" w:cs="Arial"/>
          <w:sz w:val="22"/>
          <w:szCs w:val="22"/>
        </w:rPr>
        <w:t>behaviors</w:t>
      </w:r>
      <w:r w:rsidRPr="00FD73B4">
        <w:rPr>
          <w:rFonts w:ascii="Arial" w:hAnsi="Arial" w:cs="Arial"/>
          <w:sz w:val="22"/>
          <w:szCs w:val="22"/>
        </w:rPr>
        <w:t>. Genetic predisposition is only partially understood, and lifestyle factors may correlate with unmeasured variables.</w:t>
      </w:r>
      <w:r w:rsidRPr="00FD73B4">
        <w:rPr>
          <w:rFonts w:ascii="Arial" w:hAnsi="Arial" w:cs="Arial"/>
          <w:sz w:val="22"/>
          <w:szCs w:val="22"/>
        </w:rPr>
        <w:br/>
        <w:t xml:space="preserve">Despite these limitations, the study demonstrated exceptional methodological depth and was appraised as </w:t>
      </w:r>
      <w:r w:rsidRPr="00FD73B4">
        <w:rPr>
          <w:rStyle w:val="Strong"/>
          <w:rFonts w:ascii="Arial" w:hAnsi="Arial" w:cs="Arial"/>
          <w:b w:val="0"/>
          <w:sz w:val="22"/>
          <w:szCs w:val="22"/>
        </w:rPr>
        <w:t>high quality</w:t>
      </w:r>
      <w:r w:rsidRPr="00FD73B4">
        <w:rPr>
          <w:rFonts w:ascii="Arial" w:hAnsi="Arial" w:cs="Arial"/>
          <w:sz w:val="22"/>
          <w:szCs w:val="22"/>
        </w:rPr>
        <w:t>.</w:t>
      </w:r>
    </w:p>
    <w:p w14:paraId="347AEFDC"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Shi et al. (2025)</w:t>
      </w:r>
    </w:p>
    <w:p w14:paraId="6B50A967" w14:textId="15F337F0"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Shi et al. examined outdoor environmental exposure and stroke incidence, using objective environmental monitoring paired with participant lifestyle data. Exposure to outdoor light and temperature was measured using environmental sensors, considerably strengthening measurement accuracy compared with self-report methods.</w:t>
      </w:r>
      <w:r w:rsidRPr="00FD73B4">
        <w:rPr>
          <w:rFonts w:ascii="Arial" w:hAnsi="Arial" w:cs="Arial"/>
          <w:sz w:val="22"/>
          <w:szCs w:val="22"/>
        </w:rPr>
        <w:br/>
        <w:t xml:space="preserve">The large cohort sample and validated stroke outcomes contributed to a robust study framework. Confounding </w:t>
      </w:r>
      <w:r w:rsidR="00351C36" w:rsidRPr="00FD73B4">
        <w:rPr>
          <w:rFonts w:ascii="Arial" w:hAnsi="Arial" w:cs="Arial"/>
          <w:sz w:val="22"/>
          <w:szCs w:val="22"/>
        </w:rPr>
        <w:t xml:space="preserve">variables, </w:t>
      </w:r>
      <w:r w:rsidRPr="00FD73B4">
        <w:rPr>
          <w:rFonts w:ascii="Arial" w:hAnsi="Arial" w:cs="Arial"/>
          <w:sz w:val="22"/>
          <w:szCs w:val="22"/>
        </w:rPr>
        <w:t>including air pollution, socioeconomic status, and physical activity—were incorporated into the analysis.</w:t>
      </w:r>
      <w:r w:rsidRPr="00FD73B4">
        <w:rPr>
          <w:rFonts w:ascii="Arial" w:hAnsi="Arial" w:cs="Arial"/>
          <w:sz w:val="22"/>
          <w:szCs w:val="22"/>
        </w:rPr>
        <w:br/>
        <w:t>The primary limitation stemmed from seasonal and meteorological variations, which are difficult to adjust for fully; outdoor time differs considerably across seasons and weather patterns. Measurement precision may vary due to device calibration or wear-time inconsistency.</w:t>
      </w:r>
      <w:r w:rsidRPr="00FD73B4">
        <w:rPr>
          <w:rFonts w:ascii="Arial" w:hAnsi="Arial" w:cs="Arial"/>
          <w:sz w:val="22"/>
          <w:szCs w:val="22"/>
        </w:rPr>
        <w:br/>
        <w:t xml:space="preserve">Despite these challenges, the methodological design met JBI criteria effectively and was appraised as </w:t>
      </w:r>
      <w:r w:rsidRPr="00FD73B4">
        <w:rPr>
          <w:rStyle w:val="Strong"/>
          <w:rFonts w:ascii="Arial" w:hAnsi="Arial" w:cs="Arial"/>
          <w:b w:val="0"/>
          <w:sz w:val="22"/>
          <w:szCs w:val="22"/>
        </w:rPr>
        <w:t>moderate–high quality</w:t>
      </w:r>
      <w:r w:rsidRPr="00FD73B4">
        <w:rPr>
          <w:rFonts w:ascii="Arial" w:hAnsi="Arial" w:cs="Arial"/>
          <w:sz w:val="22"/>
          <w:szCs w:val="22"/>
        </w:rPr>
        <w:t>.</w:t>
      </w:r>
    </w:p>
    <w:p w14:paraId="7AD33C96" w14:textId="77777777" w:rsidR="00FD73B4" w:rsidRDefault="00FD73B4" w:rsidP="0062404D">
      <w:pPr>
        <w:pStyle w:val="Heading3"/>
        <w:spacing w:line="360" w:lineRule="auto"/>
        <w:rPr>
          <w:rStyle w:val="Strong"/>
          <w:rFonts w:ascii="Arial" w:hAnsi="Arial" w:cs="Arial"/>
          <w:b/>
          <w:bCs/>
          <w:sz w:val="22"/>
          <w:szCs w:val="22"/>
        </w:rPr>
      </w:pPr>
    </w:p>
    <w:p w14:paraId="5F6D0D84" w14:textId="77777777" w:rsidR="00FD73B4" w:rsidRDefault="00FD73B4" w:rsidP="0062404D">
      <w:pPr>
        <w:pStyle w:val="Heading3"/>
        <w:spacing w:line="360" w:lineRule="auto"/>
        <w:rPr>
          <w:rStyle w:val="Strong"/>
          <w:rFonts w:ascii="Arial" w:hAnsi="Arial" w:cs="Arial"/>
          <w:b/>
          <w:bCs/>
          <w:sz w:val="22"/>
          <w:szCs w:val="22"/>
        </w:rPr>
      </w:pPr>
    </w:p>
    <w:p w14:paraId="13548634" w14:textId="14C83384"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lastRenderedPageBreak/>
        <w:t>Threapleton et al. (2015)</w:t>
      </w:r>
    </w:p>
    <w:p w14:paraId="2CAD37FB" w14:textId="77777777"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This prospective cohort study investigated dietary fiber intake and stroke mortality. Dietary fiber was measured using validated dietary assessment instruments, allowing precise categorization across intake levels. Stroke outcomes were derived from national mortality statistics, ensuring objective outcome measurement.</w:t>
      </w:r>
      <w:r w:rsidRPr="00FD73B4">
        <w:rPr>
          <w:rFonts w:ascii="Arial" w:hAnsi="Arial" w:cs="Arial"/>
          <w:sz w:val="22"/>
          <w:szCs w:val="22"/>
        </w:rPr>
        <w:br/>
        <w:t>The study sample was large and representative of the UK adult population. Confounding control included lifestyle, biomedical, and socioeconomic variables.</w:t>
      </w:r>
      <w:r w:rsidRPr="00FD73B4">
        <w:rPr>
          <w:rFonts w:ascii="Arial" w:hAnsi="Arial" w:cs="Arial"/>
          <w:sz w:val="22"/>
          <w:szCs w:val="22"/>
        </w:rPr>
        <w:br/>
        <w:t>The statistical model employed multivariable Cox regression with sensitivity analyses, strengthening causal inference.</w:t>
      </w:r>
      <w:r w:rsidRPr="00FD73B4">
        <w:rPr>
          <w:rFonts w:ascii="Arial" w:hAnsi="Arial" w:cs="Arial"/>
          <w:sz w:val="22"/>
          <w:szCs w:val="22"/>
        </w:rPr>
        <w:br/>
        <w:t>The main limitation involved self-reported dietary data, which may be subject to recall bias or misestimation. Additionally, dietary assessments were taken at baseline, potentially failing to capture long-term dietary changes during the follow-up period.</w:t>
      </w:r>
      <w:r w:rsidRPr="00FD73B4">
        <w:rPr>
          <w:rFonts w:ascii="Arial" w:hAnsi="Arial" w:cs="Arial"/>
          <w:sz w:val="22"/>
          <w:szCs w:val="22"/>
        </w:rPr>
        <w:br/>
        <w:t xml:space="preserve">Despite these limitations, the study was methodologically sound and appraised as </w:t>
      </w:r>
      <w:r w:rsidRPr="00FD73B4">
        <w:rPr>
          <w:rStyle w:val="Strong"/>
          <w:rFonts w:ascii="Arial" w:hAnsi="Arial" w:cs="Arial"/>
          <w:b w:val="0"/>
          <w:sz w:val="22"/>
          <w:szCs w:val="22"/>
        </w:rPr>
        <w:t>high quality</w:t>
      </w:r>
      <w:r w:rsidRPr="00FD73B4">
        <w:rPr>
          <w:rFonts w:ascii="Arial" w:hAnsi="Arial" w:cs="Arial"/>
          <w:sz w:val="22"/>
          <w:szCs w:val="22"/>
        </w:rPr>
        <w:t>.</w:t>
      </w:r>
    </w:p>
    <w:p w14:paraId="7851E5BA" w14:textId="77777777" w:rsidR="0062404D" w:rsidRPr="00FD73B4" w:rsidRDefault="0062404D" w:rsidP="0062404D">
      <w:pPr>
        <w:pStyle w:val="Heading3"/>
        <w:spacing w:line="360" w:lineRule="auto"/>
        <w:rPr>
          <w:rFonts w:ascii="Arial" w:hAnsi="Arial" w:cs="Arial"/>
          <w:sz w:val="22"/>
          <w:szCs w:val="22"/>
        </w:rPr>
      </w:pPr>
      <w:r w:rsidRPr="00FD73B4">
        <w:rPr>
          <w:rStyle w:val="Strong"/>
          <w:rFonts w:ascii="Arial" w:hAnsi="Arial" w:cs="Arial"/>
          <w:b/>
          <w:bCs/>
          <w:sz w:val="22"/>
          <w:szCs w:val="22"/>
        </w:rPr>
        <w:t>Tong et al. (2019)</w:t>
      </w:r>
    </w:p>
    <w:p w14:paraId="78E718DD" w14:textId="50D606DD" w:rsidR="0062404D" w:rsidRPr="00FD73B4" w:rsidRDefault="0062404D" w:rsidP="0062404D">
      <w:pPr>
        <w:pStyle w:val="NormalWeb"/>
        <w:spacing w:line="360" w:lineRule="auto"/>
        <w:rPr>
          <w:rFonts w:ascii="Arial" w:hAnsi="Arial" w:cs="Arial"/>
          <w:sz w:val="22"/>
          <w:szCs w:val="22"/>
        </w:rPr>
      </w:pPr>
      <w:r w:rsidRPr="00FD73B4">
        <w:rPr>
          <w:rFonts w:ascii="Arial" w:hAnsi="Arial" w:cs="Arial"/>
          <w:sz w:val="22"/>
          <w:szCs w:val="22"/>
        </w:rPr>
        <w:t>Tong et al. conducted a cohort study comparing vegetarian and non-vegetarian dietary patterns in relation to stroke risk. The study clearly defined dietary categories using validated food-frequency questionnaires. Stroke outcomes were measured using national health records, ensuring reliability.</w:t>
      </w:r>
      <w:r w:rsidRPr="00FD73B4">
        <w:rPr>
          <w:rFonts w:ascii="Arial" w:hAnsi="Arial" w:cs="Arial"/>
          <w:sz w:val="22"/>
          <w:szCs w:val="22"/>
        </w:rPr>
        <w:br/>
        <w:t xml:space="preserve">Strengths included a large sample size and the ability to differentiate stroke subtypes (ischemic vs </w:t>
      </w:r>
      <w:r w:rsidR="00351C36" w:rsidRPr="00FD73B4">
        <w:rPr>
          <w:rFonts w:ascii="Arial" w:hAnsi="Arial" w:cs="Arial"/>
          <w:sz w:val="22"/>
          <w:szCs w:val="22"/>
        </w:rPr>
        <w:t>hemorrhagic</w:t>
      </w:r>
      <w:r w:rsidRPr="00FD73B4">
        <w:rPr>
          <w:rFonts w:ascii="Arial" w:hAnsi="Arial" w:cs="Arial"/>
          <w:sz w:val="22"/>
          <w:szCs w:val="22"/>
        </w:rPr>
        <w:t>). Confounding variables such as smoking, BMI, and socioeconomic factors were thoroughly adjusted for.</w:t>
      </w:r>
      <w:r w:rsidRPr="00FD73B4">
        <w:rPr>
          <w:rFonts w:ascii="Arial" w:hAnsi="Arial" w:cs="Arial"/>
          <w:sz w:val="22"/>
          <w:szCs w:val="22"/>
        </w:rPr>
        <w:br/>
        <w:t>Limitations involved variability within vegetarian diets; some vegetarians consumed highly processed foods, reducing conceptual clarity. Misclassification of diet groups is also possible due to self-report measures.</w:t>
      </w:r>
      <w:r w:rsidRPr="00FD73B4">
        <w:rPr>
          <w:rFonts w:ascii="Arial" w:hAnsi="Arial" w:cs="Arial"/>
          <w:sz w:val="22"/>
          <w:szCs w:val="22"/>
        </w:rPr>
        <w:br/>
        <w:t xml:space="preserve">Nevertheless, the study applied rigorous cohort methodology, robust statistical analysis, and clear reporting, leading to a </w:t>
      </w:r>
      <w:r w:rsidRPr="00FD73B4">
        <w:rPr>
          <w:rStyle w:val="Strong"/>
          <w:rFonts w:ascii="Arial" w:hAnsi="Arial" w:cs="Arial"/>
          <w:b w:val="0"/>
          <w:sz w:val="22"/>
          <w:szCs w:val="22"/>
        </w:rPr>
        <w:t>moderate–high quality</w:t>
      </w:r>
      <w:r w:rsidRPr="00FD73B4">
        <w:rPr>
          <w:rFonts w:ascii="Arial" w:hAnsi="Arial" w:cs="Arial"/>
          <w:sz w:val="22"/>
          <w:szCs w:val="22"/>
        </w:rPr>
        <w:t xml:space="preserve"> appraisal.</w:t>
      </w:r>
    </w:p>
    <w:p w14:paraId="54B1BFB5" w14:textId="77777777" w:rsidR="0062404D" w:rsidRPr="00FD73B4" w:rsidRDefault="0062404D" w:rsidP="0062404D">
      <w:pPr>
        <w:spacing w:after="0" w:line="360" w:lineRule="auto"/>
        <w:rPr>
          <w:rFonts w:ascii="Arial" w:eastAsia="Times New Roman" w:hAnsi="Arial" w:cs="Arial"/>
        </w:rPr>
      </w:pPr>
    </w:p>
    <w:p w14:paraId="42147279" w14:textId="77777777" w:rsidR="0062404D" w:rsidRPr="00FD73B4" w:rsidRDefault="0062404D" w:rsidP="0062404D">
      <w:pPr>
        <w:spacing w:after="0" w:line="360" w:lineRule="auto"/>
        <w:rPr>
          <w:rFonts w:ascii="Arial" w:eastAsia="Times New Roman" w:hAnsi="Arial" w:cs="Arial"/>
        </w:rPr>
      </w:pPr>
    </w:p>
    <w:p w14:paraId="25785F21" w14:textId="77777777" w:rsidR="0062404D" w:rsidRPr="00FD73B4" w:rsidRDefault="0062404D" w:rsidP="0062404D">
      <w:pPr>
        <w:spacing w:after="0" w:line="360" w:lineRule="auto"/>
        <w:rPr>
          <w:rFonts w:ascii="Arial" w:eastAsia="Times New Roman" w:hAnsi="Arial" w:cs="Arial"/>
        </w:rPr>
      </w:pPr>
    </w:p>
    <w:p w14:paraId="70187BB5" w14:textId="77777777" w:rsidR="00DB2564" w:rsidRPr="00FD73B4" w:rsidRDefault="00DB2564" w:rsidP="0062404D">
      <w:pPr>
        <w:tabs>
          <w:tab w:val="left" w:pos="6060"/>
        </w:tabs>
        <w:spacing w:before="100" w:beforeAutospacing="1" w:after="100" w:afterAutospacing="1" w:line="360" w:lineRule="auto"/>
        <w:outlineLvl w:val="0"/>
        <w:rPr>
          <w:rFonts w:ascii="Arial" w:eastAsia="Times New Roman" w:hAnsi="Arial" w:cs="Arial"/>
          <w:b/>
          <w:bCs/>
          <w:kern w:val="36"/>
        </w:rPr>
      </w:pPr>
    </w:p>
    <w:p w14:paraId="3D3D45C7" w14:textId="764EB567" w:rsidR="0062404D" w:rsidRPr="00FD73B4" w:rsidRDefault="0062404D" w:rsidP="0062404D">
      <w:pPr>
        <w:tabs>
          <w:tab w:val="left" w:pos="6060"/>
        </w:tabs>
        <w:spacing w:before="100" w:beforeAutospacing="1" w:after="100" w:afterAutospacing="1" w:line="360" w:lineRule="auto"/>
        <w:outlineLvl w:val="0"/>
        <w:rPr>
          <w:rFonts w:ascii="Arial" w:eastAsia="Times New Roman" w:hAnsi="Arial" w:cs="Arial"/>
          <w:b/>
          <w:bCs/>
          <w:kern w:val="36"/>
        </w:rPr>
      </w:pPr>
      <w:r w:rsidRPr="00FD73B4">
        <w:rPr>
          <w:rFonts w:ascii="Arial" w:eastAsia="Times New Roman" w:hAnsi="Arial" w:cs="Arial"/>
          <w:b/>
          <w:bCs/>
          <w:kern w:val="36"/>
        </w:rPr>
        <w:lastRenderedPageBreak/>
        <w:t>4.6.5 JBI Appraisal Table for Quantitative Studies</w:t>
      </w:r>
      <w:r w:rsidRPr="00FD73B4">
        <w:rPr>
          <w:rFonts w:ascii="Arial" w:eastAsia="Times New Roman" w:hAnsi="Arial" w:cs="Arial"/>
          <w:b/>
          <w:bCs/>
          <w:kern w:val="36"/>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2961"/>
        <w:gridCol w:w="533"/>
        <w:gridCol w:w="533"/>
        <w:gridCol w:w="1060"/>
        <w:gridCol w:w="533"/>
        <w:gridCol w:w="533"/>
        <w:gridCol w:w="533"/>
        <w:gridCol w:w="1056"/>
        <w:gridCol w:w="533"/>
        <w:gridCol w:w="1075"/>
      </w:tblGrid>
      <w:tr w:rsidR="0062404D" w:rsidRPr="00FD73B4" w14:paraId="477556D6" w14:textId="77777777" w:rsidTr="00A1297E">
        <w:trPr>
          <w:tblHeader/>
          <w:tblCellSpacing w:w="15" w:type="dxa"/>
        </w:trPr>
        <w:tc>
          <w:tcPr>
            <w:tcW w:w="0" w:type="auto"/>
            <w:shd w:val="clear" w:color="auto" w:fill="E7E6E6" w:themeFill="background2"/>
            <w:vAlign w:val="center"/>
            <w:hideMark/>
          </w:tcPr>
          <w:p w14:paraId="72AAB689"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JBI Criteria</w:t>
            </w:r>
          </w:p>
        </w:tc>
        <w:tc>
          <w:tcPr>
            <w:tcW w:w="0" w:type="auto"/>
            <w:shd w:val="clear" w:color="auto" w:fill="E7E6E6" w:themeFill="background2"/>
            <w:vAlign w:val="center"/>
            <w:hideMark/>
          </w:tcPr>
          <w:p w14:paraId="1A299E68"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Zha</w:t>
            </w:r>
          </w:p>
        </w:tc>
        <w:tc>
          <w:tcPr>
            <w:tcW w:w="0" w:type="auto"/>
            <w:shd w:val="clear" w:color="auto" w:fill="E7E6E6" w:themeFill="background2"/>
            <w:vAlign w:val="center"/>
            <w:hideMark/>
          </w:tcPr>
          <w:p w14:paraId="49AEC057"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Don</w:t>
            </w:r>
          </w:p>
        </w:tc>
        <w:tc>
          <w:tcPr>
            <w:tcW w:w="0" w:type="auto"/>
            <w:shd w:val="clear" w:color="auto" w:fill="E7E6E6" w:themeFill="background2"/>
            <w:vAlign w:val="center"/>
            <w:hideMark/>
          </w:tcPr>
          <w:p w14:paraId="5015AB29"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Liv</w:t>
            </w:r>
          </w:p>
        </w:tc>
        <w:tc>
          <w:tcPr>
            <w:tcW w:w="0" w:type="auto"/>
            <w:shd w:val="clear" w:color="auto" w:fill="E7E6E6" w:themeFill="background2"/>
            <w:vAlign w:val="center"/>
            <w:hideMark/>
          </w:tcPr>
          <w:p w14:paraId="6A5430C3"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Mig</w:t>
            </w:r>
          </w:p>
        </w:tc>
        <w:tc>
          <w:tcPr>
            <w:tcW w:w="0" w:type="auto"/>
            <w:shd w:val="clear" w:color="auto" w:fill="E7E6E6" w:themeFill="background2"/>
            <w:vAlign w:val="center"/>
            <w:hideMark/>
          </w:tcPr>
          <w:p w14:paraId="3ADFA61F"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Pat</w:t>
            </w:r>
          </w:p>
        </w:tc>
        <w:tc>
          <w:tcPr>
            <w:tcW w:w="0" w:type="auto"/>
            <w:shd w:val="clear" w:color="auto" w:fill="E7E6E6" w:themeFill="background2"/>
            <w:vAlign w:val="center"/>
            <w:hideMark/>
          </w:tcPr>
          <w:p w14:paraId="30F4C1B6"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Rut</w:t>
            </w:r>
          </w:p>
        </w:tc>
        <w:tc>
          <w:tcPr>
            <w:tcW w:w="0" w:type="auto"/>
            <w:shd w:val="clear" w:color="auto" w:fill="E7E6E6" w:themeFill="background2"/>
            <w:vAlign w:val="center"/>
            <w:hideMark/>
          </w:tcPr>
          <w:p w14:paraId="38B843C7"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Shi</w:t>
            </w:r>
          </w:p>
        </w:tc>
        <w:tc>
          <w:tcPr>
            <w:tcW w:w="0" w:type="auto"/>
            <w:shd w:val="clear" w:color="auto" w:fill="E7E6E6" w:themeFill="background2"/>
            <w:vAlign w:val="center"/>
            <w:hideMark/>
          </w:tcPr>
          <w:p w14:paraId="100CE8E9"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Thr</w:t>
            </w:r>
          </w:p>
        </w:tc>
        <w:tc>
          <w:tcPr>
            <w:tcW w:w="0" w:type="auto"/>
            <w:shd w:val="clear" w:color="auto" w:fill="E7E6E6" w:themeFill="background2"/>
            <w:vAlign w:val="center"/>
            <w:hideMark/>
          </w:tcPr>
          <w:p w14:paraId="5A4FEE49" w14:textId="77777777" w:rsidR="0062404D" w:rsidRPr="00FD73B4" w:rsidRDefault="0062404D" w:rsidP="00A1297E">
            <w:pPr>
              <w:spacing w:after="0" w:line="360" w:lineRule="auto"/>
              <w:jc w:val="center"/>
              <w:rPr>
                <w:rFonts w:ascii="Arial" w:eastAsia="Times New Roman" w:hAnsi="Arial" w:cs="Arial"/>
                <w:b/>
                <w:bCs/>
              </w:rPr>
            </w:pPr>
            <w:r w:rsidRPr="00FD73B4">
              <w:rPr>
                <w:rFonts w:ascii="Arial" w:eastAsia="Times New Roman" w:hAnsi="Arial" w:cs="Arial"/>
                <w:b/>
                <w:bCs/>
              </w:rPr>
              <w:t>Ton</w:t>
            </w:r>
          </w:p>
        </w:tc>
      </w:tr>
      <w:tr w:rsidR="0062404D" w:rsidRPr="00FD73B4" w14:paraId="7FC554A5" w14:textId="77777777" w:rsidTr="00A1297E">
        <w:trPr>
          <w:tblCellSpacing w:w="15" w:type="dxa"/>
        </w:trPr>
        <w:tc>
          <w:tcPr>
            <w:tcW w:w="0" w:type="auto"/>
            <w:shd w:val="clear" w:color="auto" w:fill="E7E6E6" w:themeFill="background2"/>
            <w:vAlign w:val="center"/>
            <w:hideMark/>
          </w:tcPr>
          <w:p w14:paraId="7B91344B"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Clear research objective</w:t>
            </w:r>
          </w:p>
        </w:tc>
        <w:tc>
          <w:tcPr>
            <w:tcW w:w="0" w:type="auto"/>
            <w:shd w:val="clear" w:color="auto" w:fill="E7E6E6" w:themeFill="background2"/>
            <w:vAlign w:val="center"/>
            <w:hideMark/>
          </w:tcPr>
          <w:p w14:paraId="0C901850"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F015A4E"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1F22060"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0D0EC0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9FA8FC5"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C6A554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2655780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7E98C97"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5C3489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7B12225E" w14:textId="77777777" w:rsidTr="00A1297E">
        <w:trPr>
          <w:tblCellSpacing w:w="15" w:type="dxa"/>
        </w:trPr>
        <w:tc>
          <w:tcPr>
            <w:tcW w:w="0" w:type="auto"/>
            <w:shd w:val="clear" w:color="auto" w:fill="E7E6E6" w:themeFill="background2"/>
            <w:vAlign w:val="center"/>
            <w:hideMark/>
          </w:tcPr>
          <w:p w14:paraId="504D4530"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Appropriate cohort design</w:t>
            </w:r>
          </w:p>
        </w:tc>
        <w:tc>
          <w:tcPr>
            <w:tcW w:w="0" w:type="auto"/>
            <w:shd w:val="clear" w:color="auto" w:fill="E7E6E6" w:themeFill="background2"/>
            <w:vAlign w:val="center"/>
            <w:hideMark/>
          </w:tcPr>
          <w:p w14:paraId="3F64170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DD46A84"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9073746"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4E052D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2CD7F1B5"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360652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416409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4B7F6FB"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08AE22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2B0127D7" w14:textId="77777777" w:rsidTr="00A1297E">
        <w:trPr>
          <w:tblCellSpacing w:w="15" w:type="dxa"/>
        </w:trPr>
        <w:tc>
          <w:tcPr>
            <w:tcW w:w="0" w:type="auto"/>
            <w:shd w:val="clear" w:color="auto" w:fill="E7E6E6" w:themeFill="background2"/>
            <w:vAlign w:val="center"/>
            <w:hideMark/>
          </w:tcPr>
          <w:p w14:paraId="01BD5F32"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Adequate sample size</w:t>
            </w:r>
          </w:p>
        </w:tc>
        <w:tc>
          <w:tcPr>
            <w:tcW w:w="0" w:type="auto"/>
            <w:shd w:val="clear" w:color="auto" w:fill="E7E6E6" w:themeFill="background2"/>
            <w:vAlign w:val="center"/>
            <w:hideMark/>
          </w:tcPr>
          <w:p w14:paraId="58F9BC2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FB33C5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A1DE9B6"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89BAF6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7A3E1E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51EF1BA"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F2C41FD"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FEC637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AAFF2C4"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3118593F" w14:textId="77777777" w:rsidTr="00A1297E">
        <w:trPr>
          <w:tblCellSpacing w:w="15" w:type="dxa"/>
        </w:trPr>
        <w:tc>
          <w:tcPr>
            <w:tcW w:w="0" w:type="auto"/>
            <w:shd w:val="clear" w:color="auto" w:fill="E7E6E6" w:themeFill="background2"/>
            <w:vAlign w:val="center"/>
            <w:hideMark/>
          </w:tcPr>
          <w:p w14:paraId="66622664"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Valid exposure measurement</w:t>
            </w:r>
          </w:p>
        </w:tc>
        <w:tc>
          <w:tcPr>
            <w:tcW w:w="0" w:type="auto"/>
            <w:shd w:val="clear" w:color="auto" w:fill="E7E6E6" w:themeFill="background2"/>
            <w:vAlign w:val="center"/>
            <w:hideMark/>
          </w:tcPr>
          <w:p w14:paraId="5E67A883"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9B88FCB"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8712F4B"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Partial</w:t>
            </w:r>
          </w:p>
        </w:tc>
        <w:tc>
          <w:tcPr>
            <w:tcW w:w="0" w:type="auto"/>
            <w:shd w:val="clear" w:color="auto" w:fill="E7E6E6" w:themeFill="background2"/>
            <w:vAlign w:val="center"/>
            <w:hideMark/>
          </w:tcPr>
          <w:p w14:paraId="39303434"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94F6E35"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743AD63"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A5F896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E27177A"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CBC5BBF"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Partial</w:t>
            </w:r>
          </w:p>
        </w:tc>
      </w:tr>
      <w:tr w:rsidR="0062404D" w:rsidRPr="00FD73B4" w14:paraId="15B9A36B" w14:textId="77777777" w:rsidTr="00A1297E">
        <w:trPr>
          <w:tblCellSpacing w:w="15" w:type="dxa"/>
        </w:trPr>
        <w:tc>
          <w:tcPr>
            <w:tcW w:w="0" w:type="auto"/>
            <w:shd w:val="clear" w:color="auto" w:fill="E7E6E6" w:themeFill="background2"/>
            <w:vAlign w:val="center"/>
            <w:hideMark/>
          </w:tcPr>
          <w:p w14:paraId="0E249BD5"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Valid outcome measurement</w:t>
            </w:r>
          </w:p>
        </w:tc>
        <w:tc>
          <w:tcPr>
            <w:tcW w:w="0" w:type="auto"/>
            <w:shd w:val="clear" w:color="auto" w:fill="E7E6E6" w:themeFill="background2"/>
            <w:vAlign w:val="center"/>
            <w:hideMark/>
          </w:tcPr>
          <w:p w14:paraId="2D7AFAF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1FAC599"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C7B5FB0"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412CC5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036D523"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29B994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2652F7B4"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7F58AD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1DCFBE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0E1F302C" w14:textId="77777777" w:rsidTr="00A1297E">
        <w:trPr>
          <w:tblCellSpacing w:w="15" w:type="dxa"/>
        </w:trPr>
        <w:tc>
          <w:tcPr>
            <w:tcW w:w="0" w:type="auto"/>
            <w:shd w:val="clear" w:color="auto" w:fill="E7E6E6" w:themeFill="background2"/>
            <w:vAlign w:val="center"/>
            <w:hideMark/>
          </w:tcPr>
          <w:p w14:paraId="0DBEFE11"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Confounders identified</w:t>
            </w:r>
          </w:p>
        </w:tc>
        <w:tc>
          <w:tcPr>
            <w:tcW w:w="0" w:type="auto"/>
            <w:shd w:val="clear" w:color="auto" w:fill="E7E6E6" w:themeFill="background2"/>
            <w:vAlign w:val="center"/>
            <w:hideMark/>
          </w:tcPr>
          <w:p w14:paraId="73259383"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398F16B"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D724DD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521253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239EAA3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8F3FE82"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377797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97CE6C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7AE8B34"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7918690B" w14:textId="77777777" w:rsidTr="00A1297E">
        <w:trPr>
          <w:tblCellSpacing w:w="15" w:type="dxa"/>
        </w:trPr>
        <w:tc>
          <w:tcPr>
            <w:tcW w:w="0" w:type="auto"/>
            <w:shd w:val="clear" w:color="auto" w:fill="E7E6E6" w:themeFill="background2"/>
            <w:vAlign w:val="center"/>
            <w:hideMark/>
          </w:tcPr>
          <w:p w14:paraId="5D87B923"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Confounder adjustment</w:t>
            </w:r>
          </w:p>
        </w:tc>
        <w:tc>
          <w:tcPr>
            <w:tcW w:w="0" w:type="auto"/>
            <w:shd w:val="clear" w:color="auto" w:fill="E7E6E6" w:themeFill="background2"/>
            <w:vAlign w:val="center"/>
            <w:hideMark/>
          </w:tcPr>
          <w:p w14:paraId="3AD6538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B5007E9"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84C5E9E"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4D6BF99"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D810F26"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B2EF1FC"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3060777"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95965E7"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5A72A8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31BAD860" w14:textId="77777777" w:rsidTr="00A1297E">
        <w:trPr>
          <w:tblCellSpacing w:w="15" w:type="dxa"/>
        </w:trPr>
        <w:tc>
          <w:tcPr>
            <w:tcW w:w="0" w:type="auto"/>
            <w:shd w:val="clear" w:color="auto" w:fill="E7E6E6" w:themeFill="background2"/>
            <w:vAlign w:val="center"/>
            <w:hideMark/>
          </w:tcPr>
          <w:p w14:paraId="3882B492"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Follow-up completeness</w:t>
            </w:r>
          </w:p>
        </w:tc>
        <w:tc>
          <w:tcPr>
            <w:tcW w:w="0" w:type="auto"/>
            <w:shd w:val="clear" w:color="auto" w:fill="E7E6E6" w:themeFill="background2"/>
            <w:vAlign w:val="center"/>
            <w:hideMark/>
          </w:tcPr>
          <w:p w14:paraId="09561C56"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789B3CF"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8C3D84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C4BF719"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695370D7"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11CE47D"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0C7656F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2F32D7A"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62482CE"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36D7AEFF" w14:textId="77777777" w:rsidTr="00A1297E">
        <w:trPr>
          <w:tblCellSpacing w:w="15" w:type="dxa"/>
        </w:trPr>
        <w:tc>
          <w:tcPr>
            <w:tcW w:w="0" w:type="auto"/>
            <w:shd w:val="clear" w:color="auto" w:fill="E7E6E6" w:themeFill="background2"/>
            <w:vAlign w:val="center"/>
            <w:hideMark/>
          </w:tcPr>
          <w:p w14:paraId="680BB5E9"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Appropriate statistical analysis</w:t>
            </w:r>
          </w:p>
        </w:tc>
        <w:tc>
          <w:tcPr>
            <w:tcW w:w="0" w:type="auto"/>
            <w:shd w:val="clear" w:color="auto" w:fill="E7E6E6" w:themeFill="background2"/>
            <w:vAlign w:val="center"/>
            <w:hideMark/>
          </w:tcPr>
          <w:p w14:paraId="244EA016"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776029CE"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F30BE6B"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C05EF01"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1AAED4EE"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02B6097"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5B254830"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404F3048"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c>
          <w:tcPr>
            <w:tcW w:w="0" w:type="auto"/>
            <w:shd w:val="clear" w:color="auto" w:fill="E7E6E6" w:themeFill="background2"/>
            <w:vAlign w:val="center"/>
            <w:hideMark/>
          </w:tcPr>
          <w:p w14:paraId="38FC01A3" w14:textId="77777777" w:rsidR="0062404D" w:rsidRPr="00FD73B4" w:rsidRDefault="0062404D" w:rsidP="00A1297E">
            <w:pPr>
              <w:spacing w:after="0" w:line="360" w:lineRule="auto"/>
              <w:rPr>
                <w:rFonts w:ascii="Arial" w:eastAsia="Times New Roman" w:hAnsi="Arial" w:cs="Arial"/>
              </w:rPr>
            </w:pPr>
            <w:r w:rsidRPr="00FD73B4">
              <w:rPr>
                <w:rFonts w:ascii="Segoe UI Symbol" w:eastAsia="Times New Roman" w:hAnsi="Segoe UI Symbol" w:cs="Segoe UI Symbol"/>
              </w:rPr>
              <w:t>✓</w:t>
            </w:r>
          </w:p>
        </w:tc>
      </w:tr>
      <w:tr w:rsidR="0062404D" w:rsidRPr="00FD73B4" w14:paraId="7DF3DD74" w14:textId="77777777" w:rsidTr="00A1297E">
        <w:trPr>
          <w:tblCellSpacing w:w="15" w:type="dxa"/>
        </w:trPr>
        <w:tc>
          <w:tcPr>
            <w:tcW w:w="0" w:type="auto"/>
            <w:shd w:val="clear" w:color="auto" w:fill="E7E6E6" w:themeFill="background2"/>
            <w:vAlign w:val="center"/>
            <w:hideMark/>
          </w:tcPr>
          <w:p w14:paraId="0B612BE1"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b/>
                <w:bCs/>
              </w:rPr>
              <w:t>Overall Quality</w:t>
            </w:r>
          </w:p>
        </w:tc>
        <w:tc>
          <w:tcPr>
            <w:tcW w:w="0" w:type="auto"/>
            <w:shd w:val="clear" w:color="auto" w:fill="E7E6E6" w:themeFill="background2"/>
            <w:vAlign w:val="center"/>
            <w:hideMark/>
          </w:tcPr>
          <w:p w14:paraId="29DD15E8"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219E1D7B"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49DDB400"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Mod–High</w:t>
            </w:r>
          </w:p>
        </w:tc>
        <w:tc>
          <w:tcPr>
            <w:tcW w:w="0" w:type="auto"/>
            <w:shd w:val="clear" w:color="auto" w:fill="E7E6E6" w:themeFill="background2"/>
            <w:vAlign w:val="center"/>
            <w:hideMark/>
          </w:tcPr>
          <w:p w14:paraId="594F464E"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5149042A"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79319353"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7DEDCFB5"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Mod–High</w:t>
            </w:r>
          </w:p>
        </w:tc>
        <w:tc>
          <w:tcPr>
            <w:tcW w:w="0" w:type="auto"/>
            <w:shd w:val="clear" w:color="auto" w:fill="E7E6E6" w:themeFill="background2"/>
            <w:vAlign w:val="center"/>
            <w:hideMark/>
          </w:tcPr>
          <w:p w14:paraId="27465D00"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High</w:t>
            </w:r>
          </w:p>
        </w:tc>
        <w:tc>
          <w:tcPr>
            <w:tcW w:w="0" w:type="auto"/>
            <w:shd w:val="clear" w:color="auto" w:fill="E7E6E6" w:themeFill="background2"/>
            <w:vAlign w:val="center"/>
            <w:hideMark/>
          </w:tcPr>
          <w:p w14:paraId="516A816C" w14:textId="77777777" w:rsidR="0062404D" w:rsidRPr="00FD73B4" w:rsidRDefault="0062404D" w:rsidP="00A1297E">
            <w:pPr>
              <w:spacing w:after="0" w:line="360" w:lineRule="auto"/>
              <w:rPr>
                <w:rFonts w:ascii="Arial" w:eastAsia="Times New Roman" w:hAnsi="Arial" w:cs="Arial"/>
              </w:rPr>
            </w:pPr>
            <w:r w:rsidRPr="00FD73B4">
              <w:rPr>
                <w:rFonts w:ascii="Arial" w:eastAsia="Times New Roman" w:hAnsi="Arial" w:cs="Arial"/>
              </w:rPr>
              <w:t>Mod–High</w:t>
            </w:r>
          </w:p>
        </w:tc>
      </w:tr>
    </w:tbl>
    <w:p w14:paraId="0F83A773" w14:textId="77777777" w:rsidR="0062404D" w:rsidRPr="00FD73B4" w:rsidRDefault="0062404D" w:rsidP="0062404D">
      <w:pPr>
        <w:spacing w:after="0" w:line="360" w:lineRule="auto"/>
        <w:rPr>
          <w:rFonts w:ascii="Arial" w:eastAsia="Times New Roman" w:hAnsi="Arial" w:cs="Arial"/>
        </w:rPr>
      </w:pPr>
    </w:p>
    <w:p w14:paraId="46642A8E" w14:textId="46D84C2D" w:rsidR="0062404D" w:rsidRPr="00FD73B4" w:rsidRDefault="0062404D" w:rsidP="0095621B">
      <w:pPr>
        <w:spacing w:before="100" w:beforeAutospacing="1" w:after="100" w:afterAutospacing="1" w:line="360" w:lineRule="auto"/>
        <w:outlineLvl w:val="0"/>
        <w:rPr>
          <w:rFonts w:ascii="Arial" w:eastAsia="Times New Roman" w:hAnsi="Arial" w:cs="Arial"/>
          <w:b/>
          <w:bCs/>
          <w:kern w:val="36"/>
        </w:rPr>
      </w:pPr>
      <w:r w:rsidRPr="00FD73B4">
        <w:rPr>
          <w:rFonts w:ascii="Arial" w:eastAsia="Times New Roman" w:hAnsi="Arial" w:cs="Arial"/>
          <w:b/>
          <w:bCs/>
          <w:kern w:val="36"/>
        </w:rPr>
        <w:t>4.</w:t>
      </w:r>
      <w:r w:rsidR="0095621B" w:rsidRPr="00FD73B4">
        <w:rPr>
          <w:rFonts w:ascii="Arial" w:eastAsia="Times New Roman" w:hAnsi="Arial" w:cs="Arial"/>
          <w:b/>
          <w:bCs/>
          <w:kern w:val="36"/>
        </w:rPr>
        <w:t>7</w:t>
      </w:r>
      <w:r w:rsidRPr="00FD73B4">
        <w:rPr>
          <w:rFonts w:ascii="Arial" w:eastAsia="Times New Roman" w:hAnsi="Arial" w:cs="Arial"/>
          <w:b/>
          <w:bCs/>
          <w:kern w:val="36"/>
        </w:rPr>
        <w:t xml:space="preserve"> Chapter Summary</w:t>
      </w:r>
    </w:p>
    <w:p w14:paraId="0BC175B6" w14:textId="6520A68A" w:rsidR="0062404D" w:rsidRPr="00FD73B4" w:rsidRDefault="0062404D" w:rsidP="0062404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chapter </w:t>
      </w:r>
      <w:r w:rsidR="00351C36" w:rsidRPr="00FD73B4">
        <w:rPr>
          <w:rFonts w:ascii="Arial" w:eastAsia="Times New Roman" w:hAnsi="Arial" w:cs="Arial"/>
        </w:rPr>
        <w:t>outlines</w:t>
      </w:r>
      <w:r w:rsidRPr="00FD73B4">
        <w:rPr>
          <w:rFonts w:ascii="Arial" w:eastAsia="Times New Roman" w:hAnsi="Arial" w:cs="Arial"/>
        </w:rPr>
        <w:t xml:space="preserve"> the data extraction and critical appraisal processes used in this systematic literature review. A structured extraction form was used to gather key characteristics from ten included studies. The CASP Qualitative Checklist and JBI Cohort Checklist enabled rigorous evaluation of methodological quality across qualitative and quantitative designs. The review identified one qualitative study and nine quantitative cohort studies, all of which demonstrated moderate to high methodological quality. These studies provided robust evidence on the associations between lifestyle behaviors, dietary patterns, physical activity, sedentary time, and stroke incidence in UK adults. The next chapter (Chapter 5) will synthesize these findings, explore thematic patterns, and discuss implications for public health policy, practice, and future research.</w:t>
      </w:r>
    </w:p>
    <w:p w14:paraId="17CD7EB7" w14:textId="77777777" w:rsidR="0062404D" w:rsidRPr="00FD73B4" w:rsidRDefault="0062404D" w:rsidP="0062404D">
      <w:pPr>
        <w:spacing w:after="0" w:line="360" w:lineRule="auto"/>
        <w:rPr>
          <w:rFonts w:ascii="Arial" w:eastAsia="Times New Roman" w:hAnsi="Arial" w:cs="Arial"/>
        </w:rPr>
      </w:pPr>
    </w:p>
    <w:p w14:paraId="0FAFF7F5" w14:textId="36859F57" w:rsidR="00176465" w:rsidRPr="00292705" w:rsidRDefault="00176465" w:rsidP="00DB2564">
      <w:pPr>
        <w:jc w:val="center"/>
        <w:rPr>
          <w:rFonts w:ascii="Arial" w:hAnsi="Arial" w:cs="Arial"/>
          <w:sz w:val="24"/>
          <w:szCs w:val="24"/>
        </w:rPr>
      </w:pPr>
      <w:r w:rsidRPr="00292705">
        <w:rPr>
          <w:rFonts w:ascii="Arial" w:eastAsia="Times New Roman" w:hAnsi="Arial" w:cs="Arial"/>
          <w:b/>
          <w:bCs/>
          <w:kern w:val="36"/>
          <w:sz w:val="24"/>
          <w:szCs w:val="24"/>
        </w:rPr>
        <w:lastRenderedPageBreak/>
        <w:t>CHAPTER 5: DATA ANALYSIS AND SYNTHESIS</w:t>
      </w:r>
    </w:p>
    <w:p w14:paraId="5E8FABFA" w14:textId="77777777" w:rsidR="00DB2564" w:rsidRPr="00FD73B4" w:rsidRDefault="00DB2564" w:rsidP="00176465">
      <w:pPr>
        <w:spacing w:before="100" w:beforeAutospacing="1" w:after="100" w:afterAutospacing="1" w:line="360" w:lineRule="auto"/>
        <w:outlineLvl w:val="1"/>
        <w:rPr>
          <w:rFonts w:ascii="Arial" w:eastAsia="Times New Roman" w:hAnsi="Arial" w:cs="Arial"/>
          <w:b/>
          <w:bCs/>
        </w:rPr>
      </w:pPr>
    </w:p>
    <w:p w14:paraId="6CC82122" w14:textId="1EC3F4B6" w:rsidR="00176465" w:rsidRPr="00FD73B4" w:rsidRDefault="00176465" w:rsidP="00176465">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5.1 Introduction to the Chapter </w:t>
      </w:r>
    </w:p>
    <w:p w14:paraId="54ABF8DB" w14:textId="4D63012A" w:rsidR="00176465" w:rsidRPr="00FD73B4" w:rsidRDefault="00176465" w:rsidP="00176465">
      <w:pPr>
        <w:spacing w:after="0" w:line="360" w:lineRule="auto"/>
        <w:rPr>
          <w:rFonts w:ascii="Arial" w:eastAsia="Times New Roman" w:hAnsi="Arial" w:cs="Arial"/>
        </w:rPr>
      </w:pPr>
      <w:r w:rsidRPr="00FD73B4">
        <w:rPr>
          <w:rFonts w:ascii="Arial" w:hAnsi="Arial" w:cs="Arial"/>
        </w:rPr>
        <w:t xml:space="preserve">For this review, the six-phase thematic analysis framework proposed by Braun and Clarke (2006) was adopted. This framework involves systematic </w:t>
      </w:r>
      <w:r w:rsidR="00351C36" w:rsidRPr="00FD73B4">
        <w:rPr>
          <w:rFonts w:ascii="Arial" w:hAnsi="Arial" w:cs="Arial"/>
        </w:rPr>
        <w:t>familiarization</w:t>
      </w:r>
      <w:r w:rsidRPr="00FD73B4">
        <w:rPr>
          <w:rFonts w:ascii="Arial" w:hAnsi="Arial" w:cs="Arial"/>
        </w:rPr>
        <w:t xml:space="preserve"> with the data, generation of initial codes, development of candidate themes, review and refinement of themes, clear definition and naming of themes, and structured reporting of findings. A thematic synthesis approach was employed to integrate evidence from predominantly quantitative cohort studies alongside one qualitative study. This chapter outlines the analytical approach used, describes the characteristics of the included studies, and presents the emergent themes and sub-themes. The findings are critically </w:t>
      </w:r>
      <w:r w:rsidR="004F56ED" w:rsidRPr="00FD73B4">
        <w:rPr>
          <w:rFonts w:ascii="Arial" w:hAnsi="Arial" w:cs="Arial"/>
        </w:rPr>
        <w:t>synthesized</w:t>
      </w:r>
      <w:r w:rsidRPr="00FD73B4">
        <w:rPr>
          <w:rFonts w:ascii="Arial" w:hAnsi="Arial" w:cs="Arial"/>
        </w:rPr>
        <w:t xml:space="preserve"> to identify consistent patterns, contradictions, and contextual influences, forming the evidence base for the discussion and implications presented in Chapter 6. In doing so, this chapter moves beyond descriptive reporting to provide an interpretative analysis that enhances understanding of the complex relationships between lifestyle </w:t>
      </w:r>
      <w:r w:rsidR="004F56ED" w:rsidRPr="00FD73B4">
        <w:rPr>
          <w:rFonts w:ascii="Arial" w:hAnsi="Arial" w:cs="Arial"/>
        </w:rPr>
        <w:t>behaviors</w:t>
      </w:r>
      <w:r w:rsidRPr="00FD73B4">
        <w:rPr>
          <w:rFonts w:ascii="Arial" w:hAnsi="Arial" w:cs="Arial"/>
        </w:rPr>
        <w:t xml:space="preserve"> and stroke risk.</w:t>
      </w:r>
    </w:p>
    <w:p w14:paraId="3C74E33E" w14:textId="77777777" w:rsidR="00176465" w:rsidRPr="00FD73B4" w:rsidRDefault="00176465" w:rsidP="00176465">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5.2 Thematic Analysis</w:t>
      </w:r>
    </w:p>
    <w:p w14:paraId="6B3E99B6" w14:textId="4CB7739E"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Thematic analysis is a structured method to identify, analyze, and interpret recurring patterns across data. When applied to secondary data in systematic reviews to synthesize findings from heterogeneous qualitative and quantitative studies, this approach is commonly termed thematic synthesis (Thomas &amp; Harden, 2008; Barnett-Page &amp; Thomas, 2009). Its methodological roots blend elements of meta-ethnography and grounded theory, and guidance on transparent reporting for qualitative syntheses is provided by ENTREQ (Tong et al., 2012). This approach is widely used across health and social sciences to produce cross-study insights (McKenzie et al., </w:t>
      </w:r>
      <w:r w:rsidR="004F56ED" w:rsidRPr="00FD73B4">
        <w:rPr>
          <w:rFonts w:ascii="Arial" w:eastAsia="Times New Roman" w:hAnsi="Arial" w:cs="Arial"/>
        </w:rPr>
        <w:t>2021; Leeuwen</w:t>
      </w:r>
      <w:r w:rsidRPr="00FD73B4">
        <w:rPr>
          <w:rFonts w:ascii="Arial" w:eastAsia="Times New Roman" w:hAnsi="Arial" w:cs="Arial"/>
        </w:rPr>
        <w:t xml:space="preserve"> et al., 2019; Hughes et al., 2022).</w:t>
      </w:r>
    </w:p>
    <w:p w14:paraId="5B9BD34D" w14:textId="4CE49923"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Three-stage synthesis is typically described as: (1) coding the findings of primary studies, (2) organizing these codes into descriptive themes, and (3) developing analytical themes that offer higher-order interpretation (Thomas &amp; Harden, 2008; Leeuwen et al., 2019). Some sources describe variations, including four-stage models in </w:t>
      </w:r>
      <w:r w:rsidR="004F56ED" w:rsidRPr="00FD73B4">
        <w:rPr>
          <w:rFonts w:ascii="Arial" w:eastAsia="Times New Roman" w:hAnsi="Arial" w:cs="Arial"/>
        </w:rPr>
        <w:t>meta synthesis</w:t>
      </w:r>
      <w:r w:rsidRPr="00FD73B4">
        <w:rPr>
          <w:rFonts w:ascii="Arial" w:eastAsia="Times New Roman" w:hAnsi="Arial" w:cs="Arial"/>
        </w:rPr>
        <w:t xml:space="preserve"> contexts (Sezer &amp; Can, 2022). Thematic synthesis thus supports integrating diverse study findings into cohesive interpretations applicable to patient experiences, quality of life, and disability-related topics </w:t>
      </w:r>
      <w:r w:rsidRPr="00FD73B4">
        <w:rPr>
          <w:rFonts w:ascii="Arial" w:eastAsia="Times New Roman" w:hAnsi="Arial" w:cs="Arial"/>
        </w:rPr>
        <w:lastRenderedPageBreak/>
        <w:t>(McKenzie et al., 2021; Leeuwen et al., 2019; Hughes et al., 2022)</w:t>
      </w:r>
      <w:r w:rsidRPr="00FD73B4">
        <w:rPr>
          <w:rFonts w:ascii="Arial" w:hAnsi="Arial" w:cs="Arial"/>
        </w:rPr>
        <w:t xml:space="preserve">. I selected thematic synthesis because it allows integration of epidemiological findings beyond isolated statistical results, supporting deeper interpretation of how lifestyle </w:t>
      </w:r>
      <w:r w:rsidR="004F56ED" w:rsidRPr="00FD73B4">
        <w:rPr>
          <w:rFonts w:ascii="Arial" w:hAnsi="Arial" w:cs="Arial"/>
        </w:rPr>
        <w:t>behaviors</w:t>
      </w:r>
      <w:r w:rsidRPr="00FD73B4">
        <w:rPr>
          <w:rFonts w:ascii="Arial" w:hAnsi="Arial" w:cs="Arial"/>
        </w:rPr>
        <w:t xml:space="preserve"> influence stroke risk. This approach also facilitates the identification of cross-cutting themes and contextual influences that may not be apparent through narrative or quantitative synthesis alone.</w:t>
      </w:r>
    </w:p>
    <w:p w14:paraId="0406184E" w14:textId="77777777" w:rsidR="00176465" w:rsidRPr="00FD73B4" w:rsidRDefault="00176465" w:rsidP="00176465">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5.3 Data Analysis Tool </w:t>
      </w:r>
    </w:p>
    <w:p w14:paraId="78DF07F4" w14:textId="4F475DCB" w:rsidR="00176465" w:rsidRPr="00FD73B4" w:rsidRDefault="00176465" w:rsidP="00176465">
      <w:pPr>
        <w:spacing w:after="0" w:line="360" w:lineRule="auto"/>
        <w:rPr>
          <w:rFonts w:ascii="Arial" w:eastAsia="Times New Roman" w:hAnsi="Arial" w:cs="Arial"/>
        </w:rPr>
      </w:pPr>
      <w:r w:rsidRPr="00FD73B4">
        <w:rPr>
          <w:rFonts w:ascii="Arial" w:eastAsia="Times New Roman" w:hAnsi="Arial" w:cs="Arial"/>
        </w:rPr>
        <w:t xml:space="preserve">For this review, the six-phase thematic analysis framework proposed by Braun and Clarke (2006) was adopted, which includes </w:t>
      </w:r>
      <w:r w:rsidR="004F56ED" w:rsidRPr="00FD73B4">
        <w:rPr>
          <w:rFonts w:ascii="Arial" w:eastAsia="Times New Roman" w:hAnsi="Arial" w:cs="Arial"/>
        </w:rPr>
        <w:t>familiarization</w:t>
      </w:r>
      <w:r w:rsidRPr="00FD73B4">
        <w:rPr>
          <w:rFonts w:ascii="Arial" w:eastAsia="Times New Roman" w:hAnsi="Arial" w:cs="Arial"/>
        </w:rPr>
        <w:t xml:space="preserve"> with the data, generation of initial codes, development of candidate themes, review and refinement of themes, clear definition and naming of themes, and final reporting. This framework was selected due to its transparency, flexibility, and suitability for use within systematic literature reviews. It enabled a structured yet iterative analytical process, allowing patterns to be identified across diverse quantitative and qualitative study designs. Importantly, the framework supports analytical </w:t>
      </w:r>
      <w:r w:rsidR="004F56ED" w:rsidRPr="00FD73B4">
        <w:rPr>
          <w:rFonts w:ascii="Arial" w:eastAsia="Times New Roman" w:hAnsi="Arial" w:cs="Arial"/>
        </w:rPr>
        <w:t>rigor</w:t>
      </w:r>
      <w:r w:rsidRPr="00FD73B4">
        <w:rPr>
          <w:rFonts w:ascii="Arial" w:eastAsia="Times New Roman" w:hAnsi="Arial" w:cs="Arial"/>
        </w:rPr>
        <w:t xml:space="preserve"> by encouraging reflexive engagement with the data and clear documentation of decision-making, thereby enhancing the credibility, dependability, and replicability of the synthesis.</w:t>
      </w:r>
    </w:p>
    <w:p w14:paraId="1F410E82" w14:textId="77777777" w:rsidR="00176465" w:rsidRPr="00FD73B4" w:rsidRDefault="00176465" w:rsidP="00176465">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5.4 Characteristics of the Identified Studies </w:t>
      </w:r>
    </w:p>
    <w:p w14:paraId="1DD6563D" w14:textId="5EFB61F1"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All ten studies included in this review were conducted in the United Kingdom and primarily employed prospective cohort designs. Nine studies </w:t>
      </w:r>
      <w:r w:rsidR="004F56ED" w:rsidRPr="00FD73B4">
        <w:rPr>
          <w:rFonts w:ascii="Arial" w:eastAsia="Times New Roman" w:hAnsi="Arial" w:cs="Arial"/>
        </w:rPr>
        <w:t>analyzed</w:t>
      </w:r>
      <w:r w:rsidRPr="00FD73B4">
        <w:rPr>
          <w:rFonts w:ascii="Arial" w:eastAsia="Times New Roman" w:hAnsi="Arial" w:cs="Arial"/>
        </w:rPr>
        <w:t xml:space="preserve"> quantitative data drawn from large population-based cohorts, including the UK Biobank, EPIC-Oxford, EPIC-Norfolk, and the UK Women’s Cohort Study. Sample sizes ranged from approximately 23,000 participants to over 400,000 participants, providing substantial statistical power and population representativeness. One qualitative study used focus groups to explore lifestyle beliefs and experiences following stroke.</w:t>
      </w:r>
    </w:p>
    <w:p w14:paraId="42B720CD" w14:textId="0E7FBCCD"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included studies examined a wide range of lifestyle exposures, including overall diet quality, Mediterranean and vegetarian dietary patterns, dietary fibre intake, physical activity patterns, sedentary </w:t>
      </w:r>
      <w:r w:rsidR="004F56ED" w:rsidRPr="00FD73B4">
        <w:rPr>
          <w:rFonts w:ascii="Arial" w:eastAsia="Times New Roman" w:hAnsi="Arial" w:cs="Arial"/>
        </w:rPr>
        <w:t>behavior</w:t>
      </w:r>
      <w:r w:rsidRPr="00FD73B4">
        <w:rPr>
          <w:rFonts w:ascii="Arial" w:eastAsia="Times New Roman" w:hAnsi="Arial" w:cs="Arial"/>
        </w:rPr>
        <w:t>, sleep duration, outdoor exposure, alcohol consumption, and gene–lifestyle interactions. Stroke outcomes were consistently identified using validated hospital records and national mortality registries. Detailed study characteristics and methodological features are presented in the data extraction tables in the appendices.</w:t>
      </w:r>
    </w:p>
    <w:p w14:paraId="06722C9F" w14:textId="77777777" w:rsidR="00176465" w:rsidRPr="00FD73B4" w:rsidRDefault="00176465" w:rsidP="00176465">
      <w:pPr>
        <w:spacing w:after="0" w:line="360" w:lineRule="auto"/>
        <w:rPr>
          <w:rFonts w:ascii="Arial" w:eastAsia="Times New Roman" w:hAnsi="Arial" w:cs="Arial"/>
        </w:rPr>
      </w:pPr>
    </w:p>
    <w:p w14:paraId="116BAE00" w14:textId="48C5890F" w:rsidR="00176465" w:rsidRPr="00FD73B4" w:rsidRDefault="00176465" w:rsidP="00176465">
      <w:pPr>
        <w:spacing w:before="100" w:beforeAutospacing="1" w:after="100" w:afterAutospacing="1" w:line="360" w:lineRule="auto"/>
        <w:outlineLvl w:val="1"/>
        <w:rPr>
          <w:rFonts w:ascii="Arial" w:hAnsi="Arial" w:cs="Arial"/>
          <w:b/>
          <w:bCs/>
        </w:rPr>
      </w:pPr>
      <w:r w:rsidRPr="00FD73B4">
        <w:rPr>
          <w:rFonts w:ascii="Arial" w:eastAsia="Times New Roman" w:hAnsi="Arial" w:cs="Arial"/>
          <w:b/>
          <w:bCs/>
        </w:rPr>
        <w:lastRenderedPageBreak/>
        <w:t xml:space="preserve">5.5 </w:t>
      </w:r>
      <w:r w:rsidRPr="00FD73B4">
        <w:rPr>
          <w:rFonts w:ascii="Arial" w:hAnsi="Arial" w:cs="Arial"/>
          <w:b/>
          <w:bCs/>
        </w:rPr>
        <w:t>Themes and Sub-themes Identified from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1"/>
        <w:gridCol w:w="2535"/>
        <w:gridCol w:w="3984"/>
      </w:tblGrid>
      <w:tr w:rsidR="00176465" w:rsidRPr="00FD73B4" w14:paraId="6F44C630" w14:textId="77777777" w:rsidTr="00A1297E">
        <w:trPr>
          <w:tblHeader/>
          <w:tblCellSpacing w:w="15" w:type="dxa"/>
        </w:trPr>
        <w:tc>
          <w:tcPr>
            <w:tcW w:w="0" w:type="auto"/>
            <w:vAlign w:val="center"/>
            <w:hideMark/>
          </w:tcPr>
          <w:p w14:paraId="6AFEE7C0" w14:textId="77777777" w:rsidR="00176465" w:rsidRPr="00FD73B4" w:rsidRDefault="00176465" w:rsidP="00A1297E">
            <w:pPr>
              <w:spacing w:after="0" w:line="240" w:lineRule="auto"/>
              <w:jc w:val="center"/>
              <w:rPr>
                <w:rFonts w:ascii="Arial" w:eastAsia="Times New Roman" w:hAnsi="Arial" w:cs="Arial"/>
                <w:b/>
                <w:bCs/>
                <w:sz w:val="24"/>
                <w:szCs w:val="24"/>
              </w:rPr>
            </w:pPr>
            <w:r w:rsidRPr="00FD73B4">
              <w:rPr>
                <w:rFonts w:ascii="Arial" w:eastAsia="Times New Roman" w:hAnsi="Arial" w:cs="Arial"/>
                <w:b/>
                <w:bCs/>
                <w:sz w:val="24"/>
                <w:szCs w:val="24"/>
              </w:rPr>
              <w:t>Theme</w:t>
            </w:r>
          </w:p>
        </w:tc>
        <w:tc>
          <w:tcPr>
            <w:tcW w:w="0" w:type="auto"/>
            <w:vAlign w:val="center"/>
            <w:hideMark/>
          </w:tcPr>
          <w:p w14:paraId="500DA1F7" w14:textId="77777777" w:rsidR="00176465" w:rsidRPr="00FD73B4" w:rsidRDefault="00176465" w:rsidP="00A1297E">
            <w:pPr>
              <w:spacing w:after="0" w:line="240" w:lineRule="auto"/>
              <w:jc w:val="center"/>
              <w:rPr>
                <w:rFonts w:ascii="Arial" w:eastAsia="Times New Roman" w:hAnsi="Arial" w:cs="Arial"/>
                <w:b/>
                <w:bCs/>
                <w:sz w:val="24"/>
                <w:szCs w:val="24"/>
              </w:rPr>
            </w:pPr>
            <w:r w:rsidRPr="00FD73B4">
              <w:rPr>
                <w:rFonts w:ascii="Arial" w:eastAsia="Times New Roman" w:hAnsi="Arial" w:cs="Arial"/>
                <w:b/>
                <w:bCs/>
                <w:sz w:val="24"/>
                <w:szCs w:val="24"/>
              </w:rPr>
              <w:t>Sub-theme</w:t>
            </w:r>
          </w:p>
        </w:tc>
        <w:tc>
          <w:tcPr>
            <w:tcW w:w="0" w:type="auto"/>
            <w:vAlign w:val="center"/>
            <w:hideMark/>
          </w:tcPr>
          <w:p w14:paraId="360B6C41" w14:textId="77777777" w:rsidR="00176465" w:rsidRPr="00FD73B4" w:rsidRDefault="00176465" w:rsidP="00A1297E">
            <w:pPr>
              <w:spacing w:after="0" w:line="240" w:lineRule="auto"/>
              <w:jc w:val="center"/>
              <w:rPr>
                <w:rFonts w:ascii="Arial" w:eastAsia="Times New Roman" w:hAnsi="Arial" w:cs="Arial"/>
                <w:b/>
                <w:bCs/>
                <w:sz w:val="24"/>
                <w:szCs w:val="24"/>
              </w:rPr>
            </w:pPr>
            <w:r w:rsidRPr="00FD73B4">
              <w:rPr>
                <w:rFonts w:ascii="Arial" w:eastAsia="Times New Roman" w:hAnsi="Arial" w:cs="Arial"/>
                <w:b/>
                <w:bCs/>
                <w:sz w:val="24"/>
                <w:szCs w:val="24"/>
              </w:rPr>
              <w:t>Related Studies</w:t>
            </w:r>
          </w:p>
        </w:tc>
      </w:tr>
      <w:tr w:rsidR="00176465" w:rsidRPr="00FD73B4" w14:paraId="0A2A1DFC" w14:textId="77777777" w:rsidTr="00A1297E">
        <w:trPr>
          <w:tblCellSpacing w:w="15" w:type="dxa"/>
        </w:trPr>
        <w:tc>
          <w:tcPr>
            <w:tcW w:w="0" w:type="auto"/>
            <w:vAlign w:val="center"/>
            <w:hideMark/>
          </w:tcPr>
          <w:p w14:paraId="3C7411B4"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b/>
                <w:bCs/>
                <w:sz w:val="24"/>
                <w:szCs w:val="24"/>
              </w:rPr>
              <w:t>Diet quality and dietary patterns</w:t>
            </w:r>
          </w:p>
        </w:tc>
        <w:tc>
          <w:tcPr>
            <w:tcW w:w="0" w:type="auto"/>
            <w:vAlign w:val="center"/>
            <w:hideMark/>
          </w:tcPr>
          <w:p w14:paraId="4BD80061"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Healthy and balanced dietary patterns</w:t>
            </w:r>
          </w:p>
        </w:tc>
        <w:tc>
          <w:tcPr>
            <w:tcW w:w="0" w:type="auto"/>
            <w:vAlign w:val="center"/>
            <w:hideMark/>
          </w:tcPr>
          <w:p w14:paraId="389368D9"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Paterson et al. (2018); Threapleton et al. (2015); Tong et al. (2019); Zhang et al. (2021)</w:t>
            </w:r>
          </w:p>
        </w:tc>
      </w:tr>
      <w:tr w:rsidR="00176465" w:rsidRPr="00FD73B4" w14:paraId="2CEB7E51" w14:textId="77777777" w:rsidTr="00A1297E">
        <w:trPr>
          <w:tblCellSpacing w:w="15" w:type="dxa"/>
        </w:trPr>
        <w:tc>
          <w:tcPr>
            <w:tcW w:w="0" w:type="auto"/>
            <w:vAlign w:val="center"/>
            <w:hideMark/>
          </w:tcPr>
          <w:p w14:paraId="0CCCF529" w14:textId="77777777" w:rsidR="00176465" w:rsidRPr="00FD73B4" w:rsidRDefault="00176465" w:rsidP="00A1297E">
            <w:pPr>
              <w:spacing w:after="0" w:line="240" w:lineRule="auto"/>
              <w:rPr>
                <w:rFonts w:ascii="Arial" w:eastAsia="Times New Roman" w:hAnsi="Arial" w:cs="Arial"/>
                <w:sz w:val="24"/>
                <w:szCs w:val="24"/>
              </w:rPr>
            </w:pPr>
          </w:p>
        </w:tc>
        <w:tc>
          <w:tcPr>
            <w:tcW w:w="0" w:type="auto"/>
            <w:vAlign w:val="center"/>
            <w:hideMark/>
          </w:tcPr>
          <w:p w14:paraId="2DE5EA9B"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Stroke subtype variation by diet</w:t>
            </w:r>
          </w:p>
        </w:tc>
        <w:tc>
          <w:tcPr>
            <w:tcW w:w="0" w:type="auto"/>
            <w:vAlign w:val="center"/>
            <w:hideMark/>
          </w:tcPr>
          <w:p w14:paraId="68660570"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Threapleton et al. (2015); Tong et al. (2019); Zhang et al. (2021)</w:t>
            </w:r>
          </w:p>
        </w:tc>
      </w:tr>
      <w:tr w:rsidR="00176465" w:rsidRPr="00FD73B4" w14:paraId="1EE2160D" w14:textId="77777777" w:rsidTr="00A1297E">
        <w:trPr>
          <w:tblCellSpacing w:w="15" w:type="dxa"/>
        </w:trPr>
        <w:tc>
          <w:tcPr>
            <w:tcW w:w="0" w:type="auto"/>
            <w:vAlign w:val="center"/>
            <w:hideMark/>
          </w:tcPr>
          <w:p w14:paraId="6159C117" w14:textId="7679B0B5"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b/>
                <w:bCs/>
                <w:sz w:val="24"/>
                <w:szCs w:val="24"/>
              </w:rPr>
              <w:t xml:space="preserve">Physical activity and movement </w:t>
            </w:r>
            <w:r w:rsidR="004F56ED" w:rsidRPr="00FD73B4">
              <w:rPr>
                <w:rFonts w:ascii="Arial" w:eastAsia="Times New Roman" w:hAnsi="Arial" w:cs="Arial"/>
                <w:b/>
                <w:bCs/>
                <w:sz w:val="24"/>
                <w:szCs w:val="24"/>
              </w:rPr>
              <w:t>behaviors</w:t>
            </w:r>
          </w:p>
        </w:tc>
        <w:tc>
          <w:tcPr>
            <w:tcW w:w="0" w:type="auto"/>
            <w:vAlign w:val="center"/>
            <w:hideMark/>
          </w:tcPr>
          <w:p w14:paraId="4B517D20"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Moderate-to-vigorous physical activity</w:t>
            </w:r>
          </w:p>
        </w:tc>
        <w:tc>
          <w:tcPr>
            <w:tcW w:w="0" w:type="auto"/>
            <w:vAlign w:val="center"/>
            <w:hideMark/>
          </w:tcPr>
          <w:p w14:paraId="103A1270"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Shi et al. (2025); Miguet et al. (2021); Dong et al. (2024)</w:t>
            </w:r>
          </w:p>
        </w:tc>
      </w:tr>
      <w:tr w:rsidR="00176465" w:rsidRPr="00FD73B4" w14:paraId="0EC89738" w14:textId="77777777" w:rsidTr="00A1297E">
        <w:trPr>
          <w:tblCellSpacing w:w="15" w:type="dxa"/>
        </w:trPr>
        <w:tc>
          <w:tcPr>
            <w:tcW w:w="0" w:type="auto"/>
            <w:vAlign w:val="center"/>
            <w:hideMark/>
          </w:tcPr>
          <w:p w14:paraId="6274AF83" w14:textId="77777777" w:rsidR="00176465" w:rsidRPr="00FD73B4" w:rsidRDefault="00176465" w:rsidP="00A1297E">
            <w:pPr>
              <w:spacing w:after="0" w:line="240" w:lineRule="auto"/>
              <w:rPr>
                <w:rFonts w:ascii="Arial" w:eastAsia="Times New Roman" w:hAnsi="Arial" w:cs="Arial"/>
                <w:sz w:val="24"/>
                <w:szCs w:val="24"/>
              </w:rPr>
            </w:pPr>
          </w:p>
        </w:tc>
        <w:tc>
          <w:tcPr>
            <w:tcW w:w="0" w:type="auto"/>
            <w:vAlign w:val="center"/>
            <w:hideMark/>
          </w:tcPr>
          <w:p w14:paraId="317E16AC"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Activity pattern distribution</w:t>
            </w:r>
          </w:p>
        </w:tc>
        <w:tc>
          <w:tcPr>
            <w:tcW w:w="0" w:type="auto"/>
            <w:vAlign w:val="center"/>
            <w:hideMark/>
          </w:tcPr>
          <w:p w14:paraId="4D389568"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Shi et al. (2025); Dong et al. (2024)</w:t>
            </w:r>
          </w:p>
        </w:tc>
      </w:tr>
      <w:tr w:rsidR="00176465" w:rsidRPr="00FD73B4" w14:paraId="76EC61FA" w14:textId="77777777" w:rsidTr="00A1297E">
        <w:trPr>
          <w:tblCellSpacing w:w="15" w:type="dxa"/>
        </w:trPr>
        <w:tc>
          <w:tcPr>
            <w:tcW w:w="0" w:type="auto"/>
            <w:vAlign w:val="center"/>
            <w:hideMark/>
          </w:tcPr>
          <w:p w14:paraId="405DEA0E" w14:textId="1647E4E1"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b/>
                <w:bCs/>
                <w:sz w:val="24"/>
                <w:szCs w:val="24"/>
              </w:rPr>
              <w:t xml:space="preserve">Sedentary </w:t>
            </w:r>
            <w:r w:rsidR="004F56ED" w:rsidRPr="00FD73B4">
              <w:rPr>
                <w:rFonts w:ascii="Arial" w:eastAsia="Times New Roman" w:hAnsi="Arial" w:cs="Arial"/>
                <w:b/>
                <w:bCs/>
                <w:sz w:val="24"/>
                <w:szCs w:val="24"/>
              </w:rPr>
              <w:t>behavior</w:t>
            </w:r>
            <w:r w:rsidRPr="00FD73B4">
              <w:rPr>
                <w:rFonts w:ascii="Arial" w:eastAsia="Times New Roman" w:hAnsi="Arial" w:cs="Arial"/>
                <w:b/>
                <w:bCs/>
                <w:sz w:val="24"/>
                <w:szCs w:val="24"/>
              </w:rPr>
              <w:t xml:space="preserve"> and time use</w:t>
            </w:r>
          </w:p>
        </w:tc>
        <w:tc>
          <w:tcPr>
            <w:tcW w:w="0" w:type="auto"/>
            <w:vAlign w:val="center"/>
            <w:hideMark/>
          </w:tcPr>
          <w:p w14:paraId="6DE8E317" w14:textId="217025DE"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 xml:space="preserve">Prolonged sedentary </w:t>
            </w:r>
            <w:r w:rsidR="004F56ED" w:rsidRPr="00FD73B4">
              <w:rPr>
                <w:rFonts w:ascii="Arial" w:eastAsia="Times New Roman" w:hAnsi="Arial" w:cs="Arial"/>
                <w:sz w:val="24"/>
                <w:szCs w:val="24"/>
              </w:rPr>
              <w:t>behavior</w:t>
            </w:r>
          </w:p>
        </w:tc>
        <w:tc>
          <w:tcPr>
            <w:tcW w:w="0" w:type="auto"/>
            <w:vAlign w:val="center"/>
            <w:hideMark/>
          </w:tcPr>
          <w:p w14:paraId="1A5CD88D"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Dong et al. (2024); Miguet et al. (2021)</w:t>
            </w:r>
          </w:p>
        </w:tc>
      </w:tr>
      <w:tr w:rsidR="00176465" w:rsidRPr="00FD73B4" w14:paraId="38F6B269" w14:textId="77777777" w:rsidTr="00A1297E">
        <w:trPr>
          <w:tblCellSpacing w:w="15" w:type="dxa"/>
        </w:trPr>
        <w:tc>
          <w:tcPr>
            <w:tcW w:w="0" w:type="auto"/>
            <w:vAlign w:val="center"/>
            <w:hideMark/>
          </w:tcPr>
          <w:p w14:paraId="65779BF8" w14:textId="77777777" w:rsidR="00176465" w:rsidRPr="00FD73B4" w:rsidRDefault="00176465" w:rsidP="00A1297E">
            <w:pPr>
              <w:spacing w:after="0" w:line="240" w:lineRule="auto"/>
              <w:rPr>
                <w:rFonts w:ascii="Arial" w:eastAsia="Times New Roman" w:hAnsi="Arial" w:cs="Arial"/>
                <w:sz w:val="24"/>
                <w:szCs w:val="24"/>
              </w:rPr>
            </w:pPr>
          </w:p>
        </w:tc>
        <w:tc>
          <w:tcPr>
            <w:tcW w:w="0" w:type="auto"/>
            <w:vAlign w:val="center"/>
            <w:hideMark/>
          </w:tcPr>
          <w:p w14:paraId="38A76584"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Time reallocation and substitution effects</w:t>
            </w:r>
          </w:p>
        </w:tc>
        <w:tc>
          <w:tcPr>
            <w:tcW w:w="0" w:type="auto"/>
            <w:vAlign w:val="center"/>
            <w:hideMark/>
          </w:tcPr>
          <w:p w14:paraId="08EE4C6D"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Dong et al. (2024); Shi et al. (2025)</w:t>
            </w:r>
          </w:p>
        </w:tc>
      </w:tr>
      <w:tr w:rsidR="00176465" w:rsidRPr="00FD73B4" w14:paraId="6DD457C2" w14:textId="77777777" w:rsidTr="00A1297E">
        <w:trPr>
          <w:tblCellSpacing w:w="15" w:type="dxa"/>
        </w:trPr>
        <w:tc>
          <w:tcPr>
            <w:tcW w:w="0" w:type="auto"/>
            <w:vAlign w:val="center"/>
            <w:hideMark/>
          </w:tcPr>
          <w:p w14:paraId="6B27448D"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b/>
                <w:bCs/>
                <w:sz w:val="24"/>
                <w:szCs w:val="24"/>
              </w:rPr>
              <w:t>Lifestyle risk clustering and genetics</w:t>
            </w:r>
          </w:p>
        </w:tc>
        <w:tc>
          <w:tcPr>
            <w:tcW w:w="0" w:type="auto"/>
            <w:vAlign w:val="center"/>
            <w:hideMark/>
          </w:tcPr>
          <w:p w14:paraId="5C7DD054"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Combined lifestyle risk profiles</w:t>
            </w:r>
          </w:p>
        </w:tc>
        <w:tc>
          <w:tcPr>
            <w:tcW w:w="0" w:type="auto"/>
            <w:vAlign w:val="center"/>
            <w:hideMark/>
          </w:tcPr>
          <w:p w14:paraId="61AE1123"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Livingstone et al. (2021); Rutten-Jacobs et al. (2018)</w:t>
            </w:r>
          </w:p>
        </w:tc>
      </w:tr>
      <w:tr w:rsidR="00176465" w:rsidRPr="00FD73B4" w14:paraId="3450122F" w14:textId="77777777" w:rsidTr="00A1297E">
        <w:trPr>
          <w:tblCellSpacing w:w="15" w:type="dxa"/>
        </w:trPr>
        <w:tc>
          <w:tcPr>
            <w:tcW w:w="0" w:type="auto"/>
            <w:vAlign w:val="center"/>
            <w:hideMark/>
          </w:tcPr>
          <w:p w14:paraId="0637AAD6" w14:textId="77777777" w:rsidR="00176465" w:rsidRPr="00FD73B4" w:rsidRDefault="00176465" w:rsidP="00A1297E">
            <w:pPr>
              <w:spacing w:after="0" w:line="240" w:lineRule="auto"/>
              <w:rPr>
                <w:rFonts w:ascii="Arial" w:eastAsia="Times New Roman" w:hAnsi="Arial" w:cs="Arial"/>
                <w:sz w:val="24"/>
                <w:szCs w:val="24"/>
              </w:rPr>
            </w:pPr>
          </w:p>
        </w:tc>
        <w:tc>
          <w:tcPr>
            <w:tcW w:w="0" w:type="auto"/>
            <w:vAlign w:val="center"/>
            <w:hideMark/>
          </w:tcPr>
          <w:p w14:paraId="20A182E0"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Lifestyle–genetic interaction</w:t>
            </w:r>
          </w:p>
        </w:tc>
        <w:tc>
          <w:tcPr>
            <w:tcW w:w="0" w:type="auto"/>
            <w:vAlign w:val="center"/>
            <w:hideMark/>
          </w:tcPr>
          <w:p w14:paraId="6F268884"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Rutten-Jacobs et al. (2018); Livingstone et al. (2021)</w:t>
            </w:r>
          </w:p>
        </w:tc>
      </w:tr>
      <w:tr w:rsidR="00176465" w:rsidRPr="00FD73B4" w14:paraId="1A2D43B4" w14:textId="77777777" w:rsidTr="00A1297E">
        <w:trPr>
          <w:tblCellSpacing w:w="15" w:type="dxa"/>
        </w:trPr>
        <w:tc>
          <w:tcPr>
            <w:tcW w:w="0" w:type="auto"/>
            <w:vAlign w:val="center"/>
            <w:hideMark/>
          </w:tcPr>
          <w:p w14:paraId="7ED67401"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b/>
                <w:bCs/>
                <w:sz w:val="24"/>
                <w:szCs w:val="24"/>
              </w:rPr>
              <w:t>Psychosocial and environmental influences</w:t>
            </w:r>
          </w:p>
        </w:tc>
        <w:tc>
          <w:tcPr>
            <w:tcW w:w="0" w:type="auto"/>
            <w:vAlign w:val="center"/>
            <w:hideMark/>
          </w:tcPr>
          <w:p w14:paraId="042D4FE4" w14:textId="1B7058FC"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 xml:space="preserve">Lifestyle beliefs and </w:t>
            </w:r>
            <w:r w:rsidR="004F56ED" w:rsidRPr="00FD73B4">
              <w:rPr>
                <w:rFonts w:ascii="Arial" w:eastAsia="Times New Roman" w:hAnsi="Arial" w:cs="Arial"/>
                <w:sz w:val="24"/>
                <w:szCs w:val="24"/>
              </w:rPr>
              <w:t>behavioral</w:t>
            </w:r>
            <w:r w:rsidRPr="00FD73B4">
              <w:rPr>
                <w:rFonts w:ascii="Arial" w:eastAsia="Times New Roman" w:hAnsi="Arial" w:cs="Arial"/>
                <w:sz w:val="24"/>
                <w:szCs w:val="24"/>
              </w:rPr>
              <w:t xml:space="preserve"> barriers</w:t>
            </w:r>
          </w:p>
        </w:tc>
        <w:tc>
          <w:tcPr>
            <w:tcW w:w="0" w:type="auto"/>
            <w:vAlign w:val="center"/>
            <w:hideMark/>
          </w:tcPr>
          <w:p w14:paraId="595E8550"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Lawrence et al. (2010); Livingstone et al. (2021)</w:t>
            </w:r>
          </w:p>
        </w:tc>
      </w:tr>
      <w:tr w:rsidR="00176465" w:rsidRPr="00FD73B4" w14:paraId="5DB7F12F" w14:textId="77777777" w:rsidTr="00A1297E">
        <w:trPr>
          <w:tblCellSpacing w:w="15" w:type="dxa"/>
        </w:trPr>
        <w:tc>
          <w:tcPr>
            <w:tcW w:w="0" w:type="auto"/>
            <w:vAlign w:val="center"/>
            <w:hideMark/>
          </w:tcPr>
          <w:p w14:paraId="558B0A9C" w14:textId="77777777" w:rsidR="00176465" w:rsidRPr="00FD73B4" w:rsidRDefault="00176465" w:rsidP="00A1297E">
            <w:pPr>
              <w:spacing w:after="0" w:line="240" w:lineRule="auto"/>
              <w:rPr>
                <w:rFonts w:ascii="Arial" w:eastAsia="Times New Roman" w:hAnsi="Arial" w:cs="Arial"/>
                <w:sz w:val="24"/>
                <w:szCs w:val="24"/>
              </w:rPr>
            </w:pPr>
          </w:p>
        </w:tc>
        <w:tc>
          <w:tcPr>
            <w:tcW w:w="0" w:type="auto"/>
            <w:vAlign w:val="center"/>
            <w:hideMark/>
          </w:tcPr>
          <w:p w14:paraId="5222E1AE"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Environmental and contextual exposure</w:t>
            </w:r>
          </w:p>
        </w:tc>
        <w:tc>
          <w:tcPr>
            <w:tcW w:w="0" w:type="auto"/>
            <w:vAlign w:val="center"/>
            <w:hideMark/>
          </w:tcPr>
          <w:p w14:paraId="1F38B657" w14:textId="77777777" w:rsidR="00176465" w:rsidRPr="00FD73B4" w:rsidRDefault="00176465" w:rsidP="00A1297E">
            <w:pPr>
              <w:spacing w:after="0" w:line="240" w:lineRule="auto"/>
              <w:rPr>
                <w:rFonts w:ascii="Arial" w:eastAsia="Times New Roman" w:hAnsi="Arial" w:cs="Arial"/>
                <w:sz w:val="24"/>
                <w:szCs w:val="24"/>
              </w:rPr>
            </w:pPr>
            <w:r w:rsidRPr="00FD73B4">
              <w:rPr>
                <w:rFonts w:ascii="Arial" w:eastAsia="Times New Roman" w:hAnsi="Arial" w:cs="Arial"/>
                <w:sz w:val="24"/>
                <w:szCs w:val="24"/>
              </w:rPr>
              <w:t>Miguet et al. (2021); Lawrence et al. (2010)</w:t>
            </w:r>
          </w:p>
        </w:tc>
      </w:tr>
    </w:tbl>
    <w:p w14:paraId="582DB252" w14:textId="77777777" w:rsidR="00292705" w:rsidRDefault="00292705" w:rsidP="00176465">
      <w:pPr>
        <w:pStyle w:val="Heading2"/>
        <w:rPr>
          <w:rStyle w:val="Strong"/>
          <w:rFonts w:ascii="Arial" w:hAnsi="Arial" w:cs="Arial"/>
          <w:b/>
          <w:bCs/>
          <w:sz w:val="22"/>
          <w:szCs w:val="22"/>
        </w:rPr>
      </w:pPr>
    </w:p>
    <w:p w14:paraId="250BCBB3" w14:textId="1AE82DB1"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t>Theme 1: Diet Quality and Dietary Patterns</w:t>
      </w:r>
    </w:p>
    <w:p w14:paraId="50924CD8"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1.1: Healthy and balanced dietary patterns</w:t>
      </w:r>
    </w:p>
    <w:p w14:paraId="179AEADD" w14:textId="6D8C64E0" w:rsidR="00176465" w:rsidRPr="00FD73B4" w:rsidRDefault="00DB2564" w:rsidP="00176465">
      <w:pPr>
        <w:pStyle w:val="NormalWeb"/>
        <w:spacing w:line="360" w:lineRule="auto"/>
        <w:rPr>
          <w:rFonts w:ascii="Arial" w:hAnsi="Arial" w:cs="Arial"/>
          <w:sz w:val="22"/>
          <w:szCs w:val="22"/>
        </w:rPr>
      </w:pPr>
      <w:r w:rsidRPr="00FD73B4">
        <w:rPr>
          <w:rFonts w:ascii="Arial" w:hAnsi="Arial" w:cs="Arial"/>
          <w:sz w:val="22"/>
          <w:szCs w:val="22"/>
        </w:rPr>
        <w:t>According to</w:t>
      </w:r>
      <w:r w:rsidR="00176465" w:rsidRPr="00FD73B4">
        <w:rPr>
          <w:rFonts w:ascii="Arial" w:hAnsi="Arial" w:cs="Arial"/>
          <w:sz w:val="22"/>
          <w:szCs w:val="22"/>
        </w:rPr>
        <w:t xml:space="preserve"> the </w:t>
      </w:r>
      <w:r w:rsidR="004F56ED" w:rsidRPr="00FD73B4">
        <w:rPr>
          <w:rFonts w:ascii="Arial" w:hAnsi="Arial" w:cs="Arial"/>
          <w:sz w:val="22"/>
          <w:szCs w:val="22"/>
        </w:rPr>
        <w:t>studies included</w:t>
      </w:r>
      <w:r w:rsidR="00176465" w:rsidRPr="00FD73B4">
        <w:rPr>
          <w:rFonts w:ascii="Arial" w:hAnsi="Arial" w:cs="Arial"/>
          <w:sz w:val="22"/>
          <w:szCs w:val="22"/>
        </w:rPr>
        <w:t xml:space="preserve">, higher overall diet quality emerged as a consistent and robust protective factor against stroke incidence. Paterson et al. (2018) demonstrated that greater adherence to the Mediterranean diet was associated with a significantly lower risk of incident stroke, particularly among women and individuals with elevated cardiovascular risk. This dietary pattern, </w:t>
      </w:r>
      <w:r w:rsidR="004F56ED" w:rsidRPr="00FD73B4">
        <w:rPr>
          <w:rFonts w:ascii="Arial" w:hAnsi="Arial" w:cs="Arial"/>
          <w:sz w:val="22"/>
          <w:szCs w:val="22"/>
        </w:rPr>
        <w:t>characterized</w:t>
      </w:r>
      <w:r w:rsidR="00176465" w:rsidRPr="00FD73B4">
        <w:rPr>
          <w:rFonts w:ascii="Arial" w:hAnsi="Arial" w:cs="Arial"/>
          <w:sz w:val="22"/>
          <w:szCs w:val="22"/>
        </w:rPr>
        <w:t xml:space="preserve"> by high intakes of fruits, vegetables, whole grains, legumes, fish, and unsaturated fats, reflects a balanced nutritional profile rather than reliance on individual nutrients.</w:t>
      </w:r>
    </w:p>
    <w:p w14:paraId="2D30E572" w14:textId="7045ADED"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lastRenderedPageBreak/>
        <w:t xml:space="preserve">Similarly, Threapleton et al. (2015) reported that higher dietary fibre intake—especially cereal fibre—was inversely associated with total and </w:t>
      </w:r>
      <w:r w:rsidR="004F56ED" w:rsidRPr="00FD73B4">
        <w:rPr>
          <w:rFonts w:ascii="Arial" w:hAnsi="Arial" w:cs="Arial"/>
          <w:sz w:val="22"/>
          <w:szCs w:val="22"/>
        </w:rPr>
        <w:t>ischemic</w:t>
      </w:r>
      <w:r w:rsidRPr="00FD73B4">
        <w:rPr>
          <w:rFonts w:ascii="Arial" w:hAnsi="Arial" w:cs="Arial"/>
          <w:sz w:val="22"/>
          <w:szCs w:val="22"/>
        </w:rPr>
        <w:t xml:space="preserve"> stroke risk. The authors proposed plausible biological mechanisms, including improved lipid metabolism, enhanced </w:t>
      </w:r>
      <w:r w:rsidR="004F56ED" w:rsidRPr="00FD73B4">
        <w:rPr>
          <w:rFonts w:ascii="Arial" w:hAnsi="Arial" w:cs="Arial"/>
          <w:sz w:val="22"/>
          <w:szCs w:val="22"/>
        </w:rPr>
        <w:t>glycemic</w:t>
      </w:r>
      <w:r w:rsidRPr="00FD73B4">
        <w:rPr>
          <w:rFonts w:ascii="Arial" w:hAnsi="Arial" w:cs="Arial"/>
          <w:sz w:val="22"/>
          <w:szCs w:val="22"/>
        </w:rPr>
        <w:t xml:space="preserve"> control, and reduced systemic inflammation. These findings were further reinforced by Zhang et al. (2021), who used diet quality scores derived from UK Biobank data and found that individuals with higher overall diet quality experienced significantly reduced stroke incidence, even after extensive adjustment for sociodemographic, </w:t>
      </w:r>
      <w:r w:rsidR="004F56ED" w:rsidRPr="00FD73B4">
        <w:rPr>
          <w:rFonts w:ascii="Arial" w:hAnsi="Arial" w:cs="Arial"/>
          <w:sz w:val="22"/>
          <w:szCs w:val="22"/>
        </w:rPr>
        <w:t>behavioral</w:t>
      </w:r>
      <w:r w:rsidRPr="00FD73B4">
        <w:rPr>
          <w:rFonts w:ascii="Arial" w:hAnsi="Arial" w:cs="Arial"/>
          <w:sz w:val="22"/>
          <w:szCs w:val="22"/>
        </w:rPr>
        <w:t>, and clinical confounders.</w:t>
      </w:r>
    </w:p>
    <w:p w14:paraId="47DF12FE" w14:textId="2643D750"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Tong et al. (2019) also contributed to this body of evidence by showing that individuals consuming plant- and fish-based diets exhibited more </w:t>
      </w:r>
      <w:r w:rsidR="004F56ED" w:rsidRPr="00FD73B4">
        <w:rPr>
          <w:rFonts w:ascii="Arial" w:hAnsi="Arial" w:cs="Arial"/>
          <w:sz w:val="22"/>
          <w:szCs w:val="22"/>
        </w:rPr>
        <w:t>favorable</w:t>
      </w:r>
      <w:r w:rsidRPr="00FD73B4">
        <w:rPr>
          <w:rFonts w:ascii="Arial" w:hAnsi="Arial" w:cs="Arial"/>
          <w:sz w:val="22"/>
          <w:szCs w:val="22"/>
        </w:rPr>
        <w:t xml:space="preserve"> cardiovascular profiles than meat eaters, supporting the broader notion that balanced, nutrient-dense dietary patterns are protective. </w:t>
      </w:r>
      <w:r w:rsidR="00DB2564" w:rsidRPr="00FD73B4">
        <w:rPr>
          <w:rFonts w:ascii="Arial" w:hAnsi="Arial" w:cs="Arial"/>
          <w:sz w:val="22"/>
          <w:szCs w:val="22"/>
        </w:rPr>
        <w:t>Synthesizing</w:t>
      </w:r>
      <w:r w:rsidRPr="00FD73B4">
        <w:rPr>
          <w:rFonts w:ascii="Arial" w:hAnsi="Arial" w:cs="Arial"/>
          <w:sz w:val="22"/>
          <w:szCs w:val="22"/>
        </w:rPr>
        <w:t xml:space="preserve"> these studies, it becomes evident that cumulative dietary </w:t>
      </w:r>
      <w:r w:rsidR="004F56ED" w:rsidRPr="00FD73B4">
        <w:rPr>
          <w:rFonts w:ascii="Arial" w:hAnsi="Arial" w:cs="Arial"/>
          <w:sz w:val="22"/>
          <w:szCs w:val="22"/>
        </w:rPr>
        <w:t>behavior</w:t>
      </w:r>
      <w:r w:rsidRPr="00FD73B4">
        <w:rPr>
          <w:rFonts w:ascii="Arial" w:hAnsi="Arial" w:cs="Arial"/>
          <w:sz w:val="22"/>
          <w:szCs w:val="22"/>
        </w:rPr>
        <w:t xml:space="preserve"> exerts a stronger influence on stroke risk than isolated food groups or nutrients.</w:t>
      </w:r>
    </w:p>
    <w:p w14:paraId="53E8662D" w14:textId="0963E79A"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From a public health perspective, this synthesis supports dietary guidelines that </w:t>
      </w:r>
      <w:r w:rsidR="004F56ED" w:rsidRPr="00FD73B4">
        <w:rPr>
          <w:rFonts w:ascii="Arial" w:hAnsi="Arial" w:cs="Arial"/>
          <w:sz w:val="22"/>
          <w:szCs w:val="22"/>
        </w:rPr>
        <w:t>prioritize</w:t>
      </w:r>
      <w:r w:rsidRPr="00FD73B4">
        <w:rPr>
          <w:rFonts w:ascii="Arial" w:hAnsi="Arial" w:cs="Arial"/>
          <w:sz w:val="22"/>
          <w:szCs w:val="22"/>
        </w:rPr>
        <w:t xml:space="preserve"> overall diet quality rather than reductionist approaches. The convergence of findings across multiple large cohorts strengthens confidence in the protective role of balanced dietary patterns in stroke prevention.</w:t>
      </w:r>
    </w:p>
    <w:p w14:paraId="15A4A644" w14:textId="77777777" w:rsidR="00176465" w:rsidRPr="00292705" w:rsidRDefault="00176465" w:rsidP="00176465">
      <w:pPr>
        <w:pStyle w:val="Heading3"/>
        <w:rPr>
          <w:rFonts w:ascii="Arial" w:hAnsi="Arial" w:cs="Arial"/>
          <w:sz w:val="22"/>
          <w:szCs w:val="22"/>
        </w:rPr>
      </w:pPr>
      <w:r w:rsidRPr="00292705">
        <w:rPr>
          <w:rStyle w:val="Strong"/>
          <w:rFonts w:ascii="Arial" w:hAnsi="Arial" w:cs="Arial"/>
          <w:b/>
          <w:bCs/>
          <w:sz w:val="22"/>
          <w:szCs w:val="22"/>
        </w:rPr>
        <w:t>Sub-theme 1.2: Stroke subtype variation by diet</w:t>
      </w:r>
    </w:p>
    <w:p w14:paraId="688B30FA" w14:textId="297FC48E"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Despite the overall protective association between diet quality and stroke risk, several studies identified important variation in diet–stroke relationships by stroke subtype. Threapleton et al. (2015) observed that higher fibre intake was more strongly associated with reduced </w:t>
      </w:r>
      <w:r w:rsidR="004F56ED" w:rsidRPr="00FD73B4">
        <w:rPr>
          <w:rFonts w:ascii="Arial" w:hAnsi="Arial" w:cs="Arial"/>
          <w:sz w:val="22"/>
          <w:szCs w:val="22"/>
        </w:rPr>
        <w:t>ischemic</w:t>
      </w:r>
      <w:r w:rsidRPr="00FD73B4">
        <w:rPr>
          <w:rFonts w:ascii="Arial" w:hAnsi="Arial" w:cs="Arial"/>
          <w:sz w:val="22"/>
          <w:szCs w:val="22"/>
        </w:rPr>
        <w:t xml:space="preserve"> stroke risk than </w:t>
      </w:r>
      <w:r w:rsidR="00DB2564" w:rsidRPr="00FD73B4">
        <w:rPr>
          <w:rFonts w:ascii="Arial" w:hAnsi="Arial" w:cs="Arial"/>
          <w:sz w:val="22"/>
          <w:szCs w:val="22"/>
        </w:rPr>
        <w:t>hemorrhagic</w:t>
      </w:r>
      <w:r w:rsidRPr="00FD73B4">
        <w:rPr>
          <w:rFonts w:ascii="Arial" w:hAnsi="Arial" w:cs="Arial"/>
          <w:sz w:val="22"/>
          <w:szCs w:val="22"/>
        </w:rPr>
        <w:t xml:space="preserve"> stroke, suggesting differential biological pathways underpinning these outcomes. Similarly, Tong et al. (2019) reported that vegetarians experienced a higher incidence of </w:t>
      </w:r>
      <w:r w:rsidR="004F56ED" w:rsidRPr="00FD73B4">
        <w:rPr>
          <w:rFonts w:ascii="Arial" w:hAnsi="Arial" w:cs="Arial"/>
          <w:sz w:val="22"/>
          <w:szCs w:val="22"/>
        </w:rPr>
        <w:t>hemorrhagic</w:t>
      </w:r>
      <w:r w:rsidRPr="00FD73B4">
        <w:rPr>
          <w:rFonts w:ascii="Arial" w:hAnsi="Arial" w:cs="Arial"/>
          <w:sz w:val="22"/>
          <w:szCs w:val="22"/>
        </w:rPr>
        <w:t xml:space="preserve"> stroke despite lower rates of </w:t>
      </w:r>
      <w:r w:rsidR="004F56ED" w:rsidRPr="00FD73B4">
        <w:rPr>
          <w:rFonts w:ascii="Arial" w:hAnsi="Arial" w:cs="Arial"/>
          <w:sz w:val="22"/>
          <w:szCs w:val="22"/>
        </w:rPr>
        <w:t>ischemic</w:t>
      </w:r>
      <w:r w:rsidRPr="00FD73B4">
        <w:rPr>
          <w:rFonts w:ascii="Arial" w:hAnsi="Arial" w:cs="Arial"/>
          <w:sz w:val="22"/>
          <w:szCs w:val="22"/>
        </w:rPr>
        <w:t xml:space="preserve"> heart disease compared with meat eaters.</w:t>
      </w:r>
    </w:p>
    <w:p w14:paraId="3EE2E274" w14:textId="77777777"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Zhang et al. (2021) further demonstrated heterogeneity in diet–stroke associations across stroke subtypes, indicating that dietary exposures may influence vascular integrity, blood pressure regulation, and coagulation mechanisms differently. These findings collectively suggest that restrictive dietary patterns, while beneficial for some cardiovascular outcomes, may inadvertently increase vulnerability to certain stroke subtypes, potentially due to micronutrient deficiencies such as vitamin B12 or long-chain omega-3 fatty acids.</w:t>
      </w:r>
    </w:p>
    <w:p w14:paraId="21164ABE" w14:textId="32BB7C79" w:rsidR="00176465" w:rsidRPr="00FD73B4" w:rsidRDefault="004F56ED" w:rsidP="00176465">
      <w:pPr>
        <w:pStyle w:val="NormalWeb"/>
        <w:spacing w:line="360" w:lineRule="auto"/>
        <w:rPr>
          <w:rFonts w:ascii="Arial" w:hAnsi="Arial" w:cs="Arial"/>
          <w:sz w:val="22"/>
          <w:szCs w:val="22"/>
        </w:rPr>
      </w:pPr>
      <w:r w:rsidRPr="00FD73B4">
        <w:rPr>
          <w:rFonts w:ascii="Arial" w:hAnsi="Arial" w:cs="Arial"/>
          <w:sz w:val="22"/>
          <w:szCs w:val="22"/>
        </w:rPr>
        <w:lastRenderedPageBreak/>
        <w:t>Synthesizing</w:t>
      </w:r>
      <w:r w:rsidR="00176465" w:rsidRPr="00FD73B4">
        <w:rPr>
          <w:rFonts w:ascii="Arial" w:hAnsi="Arial" w:cs="Arial"/>
          <w:sz w:val="22"/>
          <w:szCs w:val="22"/>
        </w:rPr>
        <w:t xml:space="preserve"> this evidence highlights the complexity of dietary guidance for stroke prevention. While promoting healthy diets remains essential, these findings caution against overly restrictive dietary recommendations and </w:t>
      </w:r>
      <w:r w:rsidRPr="00FD73B4">
        <w:rPr>
          <w:rFonts w:ascii="Arial" w:hAnsi="Arial" w:cs="Arial"/>
          <w:sz w:val="22"/>
          <w:szCs w:val="22"/>
        </w:rPr>
        <w:t>emphasize</w:t>
      </w:r>
      <w:r w:rsidR="00176465" w:rsidRPr="00FD73B4">
        <w:rPr>
          <w:rFonts w:ascii="Arial" w:hAnsi="Arial" w:cs="Arial"/>
          <w:sz w:val="22"/>
          <w:szCs w:val="22"/>
        </w:rPr>
        <w:t xml:space="preserve"> the importance of nutritional balance to </w:t>
      </w:r>
      <w:r w:rsidRPr="00FD73B4">
        <w:rPr>
          <w:rFonts w:ascii="Arial" w:hAnsi="Arial" w:cs="Arial"/>
          <w:sz w:val="22"/>
          <w:szCs w:val="22"/>
        </w:rPr>
        <w:t>minimize</w:t>
      </w:r>
      <w:r w:rsidR="00176465" w:rsidRPr="00FD73B4">
        <w:rPr>
          <w:rFonts w:ascii="Arial" w:hAnsi="Arial" w:cs="Arial"/>
          <w:sz w:val="22"/>
          <w:szCs w:val="22"/>
        </w:rPr>
        <w:t xml:space="preserve"> unintended subtype-specific risks.</w:t>
      </w:r>
    </w:p>
    <w:p w14:paraId="6F3E2340" w14:textId="1996117F"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t xml:space="preserve">Theme 2: Physical Activity and Movement </w:t>
      </w:r>
      <w:r w:rsidR="004F56ED" w:rsidRPr="00FD73B4">
        <w:rPr>
          <w:rStyle w:val="Strong"/>
          <w:rFonts w:ascii="Arial" w:hAnsi="Arial" w:cs="Arial"/>
          <w:b/>
          <w:bCs/>
          <w:sz w:val="22"/>
          <w:szCs w:val="22"/>
        </w:rPr>
        <w:t>Behaviors</w:t>
      </w:r>
    </w:p>
    <w:p w14:paraId="3DDB5259"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2.1: Moderate-to-vigorous physical activity</w:t>
      </w:r>
    </w:p>
    <w:p w14:paraId="21F3032A" w14:textId="5EEEA8E6"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Engagement in moderate-to-vigorous physical activity (MVPA) was consistently associated with reduced stroke risk across the included studies. Miguet et al. (2021) demonstrated that higher levels of physical activity were inversely associated with stroke incidence, independent of other lifestyle </w:t>
      </w:r>
      <w:r w:rsidR="004F56ED" w:rsidRPr="00FD73B4">
        <w:rPr>
          <w:rFonts w:ascii="Arial" w:hAnsi="Arial" w:cs="Arial"/>
          <w:sz w:val="22"/>
          <w:szCs w:val="22"/>
        </w:rPr>
        <w:t>behaviors</w:t>
      </w:r>
      <w:r w:rsidRPr="00FD73B4">
        <w:rPr>
          <w:rFonts w:ascii="Arial" w:hAnsi="Arial" w:cs="Arial"/>
          <w:sz w:val="22"/>
          <w:szCs w:val="22"/>
        </w:rPr>
        <w:t>. Shi et al. (2025), using accelerometer-measured activity data, similarly found that individuals meeting recommended MVPA thresholds experienced significantly lower stroke risk.</w:t>
      </w:r>
    </w:p>
    <w:p w14:paraId="02CD2C24" w14:textId="77777777"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Importantly, Shi et al. (2025) reported that individuals engaging in so-called “weekend warrior” activity patterns derived comparable stroke protection to those whose activity was evenly distributed throughout the week. Dong et al. (2024) further supported the protective role of MVPA, showing that reallocating sedentary time to higher-intensity activity was associated with meaningful reductions in stroke incidence.</w:t>
      </w:r>
    </w:p>
    <w:p w14:paraId="1423184E" w14:textId="4E0E24F2" w:rsidR="00176465" w:rsidRPr="00FD73B4" w:rsidRDefault="004F56ED" w:rsidP="00176465">
      <w:pPr>
        <w:pStyle w:val="NormalWeb"/>
        <w:spacing w:line="360" w:lineRule="auto"/>
        <w:rPr>
          <w:rFonts w:ascii="Arial" w:hAnsi="Arial" w:cs="Arial"/>
          <w:sz w:val="22"/>
          <w:szCs w:val="22"/>
        </w:rPr>
      </w:pPr>
      <w:r w:rsidRPr="00FD73B4">
        <w:rPr>
          <w:rFonts w:ascii="Arial" w:hAnsi="Arial" w:cs="Arial"/>
          <w:sz w:val="22"/>
          <w:szCs w:val="22"/>
        </w:rPr>
        <w:t>Synthesizing</w:t>
      </w:r>
      <w:r w:rsidR="00176465" w:rsidRPr="00FD73B4">
        <w:rPr>
          <w:rFonts w:ascii="Arial" w:hAnsi="Arial" w:cs="Arial"/>
          <w:sz w:val="22"/>
          <w:szCs w:val="22"/>
        </w:rPr>
        <w:t xml:space="preserve"> these findings challenges traditional assumptions that daily structured exercise is essential for stroke prevention. Instead, the evidence suggests that achieving sufficient overall MVPA volume may be more important than activity frequency, with significant implications for the design of inclusive and feasible physical activity guidelines.</w:t>
      </w:r>
    </w:p>
    <w:p w14:paraId="216816CC" w14:textId="77777777" w:rsidR="00176465" w:rsidRPr="00FD73B4" w:rsidRDefault="00176465" w:rsidP="00176465">
      <w:pPr>
        <w:pStyle w:val="Heading3"/>
        <w:spacing w:line="360" w:lineRule="auto"/>
        <w:rPr>
          <w:rFonts w:ascii="Arial" w:hAnsi="Arial" w:cs="Arial"/>
          <w:sz w:val="22"/>
          <w:szCs w:val="22"/>
        </w:rPr>
      </w:pPr>
      <w:r w:rsidRPr="00FD73B4">
        <w:rPr>
          <w:rStyle w:val="Strong"/>
          <w:rFonts w:ascii="Arial" w:hAnsi="Arial" w:cs="Arial"/>
          <w:b/>
          <w:bCs/>
          <w:sz w:val="22"/>
          <w:szCs w:val="22"/>
        </w:rPr>
        <w:t>Sub-theme 2.2: Activity pattern distribution</w:t>
      </w:r>
    </w:p>
    <w:p w14:paraId="313F4BE7" w14:textId="1566E61B"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Beyond total activity volume, the temporal distribution of physical activity was examined in several studies. Shi et al. (2025) found that the distribution of activity across the week did not significantly influence stroke risk once recommended MVPA levels were achieved. Dong et al. (2024) similarly </w:t>
      </w:r>
      <w:r w:rsidR="004F56ED" w:rsidRPr="00FD73B4">
        <w:rPr>
          <w:rFonts w:ascii="Arial" w:eastAsia="Times New Roman" w:hAnsi="Arial" w:cs="Arial"/>
        </w:rPr>
        <w:t>emphasized</w:t>
      </w:r>
      <w:r w:rsidRPr="00FD73B4">
        <w:rPr>
          <w:rFonts w:ascii="Arial" w:eastAsia="Times New Roman" w:hAnsi="Arial" w:cs="Arial"/>
        </w:rPr>
        <w:t xml:space="preserve"> total movement accumulation rather than rigid scheduling as the key determinant of stroke risk reduction.</w:t>
      </w:r>
    </w:p>
    <w:p w14:paraId="644FB4CF" w14:textId="437B5671"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These findings suggest that prescriptive recommendations focusing on daily activity may be unnecessarily restrictive and may limit adherence among individuals with occupational, </w:t>
      </w:r>
      <w:r w:rsidRPr="00FD73B4">
        <w:rPr>
          <w:rFonts w:ascii="Arial" w:eastAsia="Times New Roman" w:hAnsi="Arial" w:cs="Arial"/>
        </w:rPr>
        <w:lastRenderedPageBreak/>
        <w:t xml:space="preserve">caregiving, or time constraints. From a synthesis perspective, flexible activity recommendations that </w:t>
      </w:r>
      <w:r w:rsidR="004F56ED" w:rsidRPr="00FD73B4">
        <w:rPr>
          <w:rFonts w:ascii="Arial" w:eastAsia="Times New Roman" w:hAnsi="Arial" w:cs="Arial"/>
        </w:rPr>
        <w:t>prioritize</w:t>
      </w:r>
      <w:r w:rsidRPr="00FD73B4">
        <w:rPr>
          <w:rFonts w:ascii="Arial" w:eastAsia="Times New Roman" w:hAnsi="Arial" w:cs="Arial"/>
        </w:rPr>
        <w:t xml:space="preserve"> total movement rather than frequency may enhance population-level uptake and sustainability. Moreover, such flexibility aligns with real-world </w:t>
      </w:r>
      <w:r w:rsidR="004F56ED" w:rsidRPr="00FD73B4">
        <w:rPr>
          <w:rFonts w:ascii="Arial" w:eastAsia="Times New Roman" w:hAnsi="Arial" w:cs="Arial"/>
        </w:rPr>
        <w:t>behavioral</w:t>
      </w:r>
      <w:r w:rsidRPr="00FD73B4">
        <w:rPr>
          <w:rFonts w:ascii="Arial" w:eastAsia="Times New Roman" w:hAnsi="Arial" w:cs="Arial"/>
        </w:rPr>
        <w:t xml:space="preserve"> patterns and may reduce perceived barriers to engagement, particularly among socioeconomically disadvantaged groups. This evidence supports the reframing of physical activity guidance to </w:t>
      </w:r>
      <w:r w:rsidR="004F56ED" w:rsidRPr="00FD73B4">
        <w:rPr>
          <w:rFonts w:ascii="Arial" w:eastAsia="Times New Roman" w:hAnsi="Arial" w:cs="Arial"/>
        </w:rPr>
        <w:t>emphasize</w:t>
      </w:r>
      <w:r w:rsidRPr="00FD73B4">
        <w:rPr>
          <w:rFonts w:ascii="Arial" w:eastAsia="Times New Roman" w:hAnsi="Arial" w:cs="Arial"/>
        </w:rPr>
        <w:t xml:space="preserve"> achievable targets rather than </w:t>
      </w:r>
      <w:r w:rsidR="004F56ED" w:rsidRPr="00FD73B4">
        <w:rPr>
          <w:rFonts w:ascii="Arial" w:eastAsia="Times New Roman" w:hAnsi="Arial" w:cs="Arial"/>
        </w:rPr>
        <w:t>idealized</w:t>
      </w:r>
      <w:r w:rsidRPr="00FD73B4">
        <w:rPr>
          <w:rFonts w:ascii="Arial" w:eastAsia="Times New Roman" w:hAnsi="Arial" w:cs="Arial"/>
        </w:rPr>
        <w:t xml:space="preserve"> routines.</w:t>
      </w:r>
    </w:p>
    <w:p w14:paraId="60D84582" w14:textId="2FA9EB37"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t xml:space="preserve">Theme 3: Sedentary </w:t>
      </w:r>
      <w:r w:rsidR="004F56ED" w:rsidRPr="00FD73B4">
        <w:rPr>
          <w:rStyle w:val="Strong"/>
          <w:rFonts w:ascii="Arial" w:hAnsi="Arial" w:cs="Arial"/>
          <w:b/>
          <w:bCs/>
          <w:sz w:val="22"/>
          <w:szCs w:val="22"/>
        </w:rPr>
        <w:t>Behavior</w:t>
      </w:r>
      <w:r w:rsidRPr="00FD73B4">
        <w:rPr>
          <w:rStyle w:val="Strong"/>
          <w:rFonts w:ascii="Arial" w:hAnsi="Arial" w:cs="Arial"/>
          <w:b/>
          <w:bCs/>
          <w:sz w:val="22"/>
          <w:szCs w:val="22"/>
        </w:rPr>
        <w:t xml:space="preserve"> and Time Use</w:t>
      </w:r>
    </w:p>
    <w:p w14:paraId="63EF8409" w14:textId="79610EAF"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 xml:space="preserve">Sub-theme 3.1: Prolonged sedentary </w:t>
      </w:r>
      <w:r w:rsidR="004F56ED" w:rsidRPr="00FD73B4">
        <w:rPr>
          <w:rStyle w:val="Strong"/>
          <w:rFonts w:ascii="Arial" w:hAnsi="Arial" w:cs="Arial"/>
          <w:b/>
          <w:bCs/>
          <w:sz w:val="22"/>
          <w:szCs w:val="22"/>
        </w:rPr>
        <w:t>behavior</w:t>
      </w:r>
    </w:p>
    <w:p w14:paraId="76A9381D" w14:textId="1BD18DDA"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Sedentary </w:t>
      </w:r>
      <w:r w:rsidR="004F56ED" w:rsidRPr="00FD73B4">
        <w:rPr>
          <w:rFonts w:ascii="Arial" w:eastAsia="Times New Roman" w:hAnsi="Arial" w:cs="Arial"/>
        </w:rPr>
        <w:t>behavior</w:t>
      </w:r>
      <w:r w:rsidRPr="00FD73B4">
        <w:rPr>
          <w:rFonts w:ascii="Arial" w:eastAsia="Times New Roman" w:hAnsi="Arial" w:cs="Arial"/>
        </w:rPr>
        <w:t xml:space="preserve"> emerged as a distinct and independent risk factor for stroke. Dong et al. (2024) demonstrated that prolonged sedentary time increased stroke risk regardless of whether individuals met physical activity guidelines, indicating that sedentary </w:t>
      </w:r>
      <w:r w:rsidR="004F56ED" w:rsidRPr="00FD73B4">
        <w:rPr>
          <w:rFonts w:ascii="Arial" w:eastAsia="Times New Roman" w:hAnsi="Arial" w:cs="Arial"/>
        </w:rPr>
        <w:t>behavior</w:t>
      </w:r>
      <w:r w:rsidRPr="00FD73B4">
        <w:rPr>
          <w:rFonts w:ascii="Arial" w:eastAsia="Times New Roman" w:hAnsi="Arial" w:cs="Arial"/>
        </w:rPr>
        <w:t xml:space="preserve"> operates through pathways separate from physical inactivity. Miguet et al. (2021) also reported adverse associations between inactivity-related </w:t>
      </w:r>
      <w:r w:rsidR="004F56ED" w:rsidRPr="00FD73B4">
        <w:rPr>
          <w:rFonts w:ascii="Arial" w:eastAsia="Times New Roman" w:hAnsi="Arial" w:cs="Arial"/>
        </w:rPr>
        <w:t>behaviors</w:t>
      </w:r>
      <w:r w:rsidRPr="00FD73B4">
        <w:rPr>
          <w:rFonts w:ascii="Arial" w:eastAsia="Times New Roman" w:hAnsi="Arial" w:cs="Arial"/>
        </w:rPr>
        <w:t xml:space="preserve"> and stroke incidence.</w:t>
      </w:r>
    </w:p>
    <w:p w14:paraId="54DAB17C" w14:textId="3280704C"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These findings are particularly important, as they challenge the assumption that physical activity alone is sufficient to offset the harms of prolonged sitting. </w:t>
      </w:r>
      <w:r w:rsidR="004F56ED" w:rsidRPr="00FD73B4">
        <w:rPr>
          <w:rFonts w:ascii="Arial" w:eastAsia="Times New Roman" w:hAnsi="Arial" w:cs="Arial"/>
        </w:rPr>
        <w:t>Synthesizing</w:t>
      </w:r>
      <w:r w:rsidRPr="00FD73B4">
        <w:rPr>
          <w:rFonts w:ascii="Arial" w:eastAsia="Times New Roman" w:hAnsi="Arial" w:cs="Arial"/>
        </w:rPr>
        <w:t xml:space="preserve"> this evidence underscores the need to </w:t>
      </w:r>
      <w:r w:rsidR="004F56ED" w:rsidRPr="00FD73B4">
        <w:rPr>
          <w:rFonts w:ascii="Arial" w:eastAsia="Times New Roman" w:hAnsi="Arial" w:cs="Arial"/>
        </w:rPr>
        <w:t>conceptualize</w:t>
      </w:r>
      <w:r w:rsidRPr="00FD73B4">
        <w:rPr>
          <w:rFonts w:ascii="Arial" w:eastAsia="Times New Roman" w:hAnsi="Arial" w:cs="Arial"/>
        </w:rPr>
        <w:t xml:space="preserve"> sedentary </w:t>
      </w:r>
      <w:r w:rsidR="004F56ED" w:rsidRPr="00FD73B4">
        <w:rPr>
          <w:rFonts w:ascii="Arial" w:eastAsia="Times New Roman" w:hAnsi="Arial" w:cs="Arial"/>
        </w:rPr>
        <w:t>behavior</w:t>
      </w:r>
      <w:r w:rsidRPr="00FD73B4">
        <w:rPr>
          <w:rFonts w:ascii="Arial" w:eastAsia="Times New Roman" w:hAnsi="Arial" w:cs="Arial"/>
        </w:rPr>
        <w:t xml:space="preserve"> as a separate </w:t>
      </w:r>
      <w:r w:rsidR="004F56ED" w:rsidRPr="00FD73B4">
        <w:rPr>
          <w:rFonts w:ascii="Arial" w:eastAsia="Times New Roman" w:hAnsi="Arial" w:cs="Arial"/>
        </w:rPr>
        <w:t>behavioral</w:t>
      </w:r>
      <w:r w:rsidRPr="00FD73B4">
        <w:rPr>
          <w:rFonts w:ascii="Arial" w:eastAsia="Times New Roman" w:hAnsi="Arial" w:cs="Arial"/>
        </w:rPr>
        <w:t xml:space="preserve"> target within stroke prevention strategies. Moreover, the evidence suggests that interventions focusing solely on increasing physical activity may overlook a substantial proportion of stroke risk attributable to excessive sedentary time. Addressing prolonged sitting through </w:t>
      </w:r>
      <w:r w:rsidR="004F56ED" w:rsidRPr="00FD73B4">
        <w:rPr>
          <w:rFonts w:ascii="Arial" w:eastAsia="Times New Roman" w:hAnsi="Arial" w:cs="Arial"/>
        </w:rPr>
        <w:t>behavioral</w:t>
      </w:r>
      <w:r w:rsidRPr="00FD73B4">
        <w:rPr>
          <w:rFonts w:ascii="Arial" w:eastAsia="Times New Roman" w:hAnsi="Arial" w:cs="Arial"/>
        </w:rPr>
        <w:t xml:space="preserve"> and environmental modifications may therefore be critical to effective prevention.</w:t>
      </w:r>
    </w:p>
    <w:p w14:paraId="46CADD0C"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3.2: Time reallocation and substitution effects</w:t>
      </w:r>
    </w:p>
    <w:p w14:paraId="6F8EE335" w14:textId="252EBA2E"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Using </w:t>
      </w:r>
      <w:r w:rsidR="004F56ED" w:rsidRPr="00FD73B4">
        <w:rPr>
          <w:rFonts w:ascii="Arial" w:eastAsia="Times New Roman" w:hAnsi="Arial" w:cs="Arial"/>
        </w:rPr>
        <w:t>is temporal</w:t>
      </w:r>
      <w:r w:rsidRPr="00FD73B4">
        <w:rPr>
          <w:rFonts w:ascii="Arial" w:eastAsia="Times New Roman" w:hAnsi="Arial" w:cs="Arial"/>
        </w:rPr>
        <w:t xml:space="preserve"> substitution modelling, Dong et al. (2024) demonstrated that reallocating sedentary time to light or vigorous physical activity, or to adequate sleep, was associated with significant reductions in stroke risk. Shi et al. (2025) supported this time-use perspective, showing that overall movement composition was more influential than rigid activity timing.</w:t>
      </w:r>
    </w:p>
    <w:p w14:paraId="57AF5DE4" w14:textId="3416A38A"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From a synthesis perspective, time-reallocation approaches are particularly promising, as they focus on realistic </w:t>
      </w:r>
      <w:r w:rsidR="004F56ED" w:rsidRPr="00FD73B4">
        <w:rPr>
          <w:rFonts w:ascii="Arial" w:eastAsia="Times New Roman" w:hAnsi="Arial" w:cs="Arial"/>
        </w:rPr>
        <w:t>behavioral</w:t>
      </w:r>
      <w:r w:rsidRPr="00FD73B4">
        <w:rPr>
          <w:rFonts w:ascii="Arial" w:eastAsia="Times New Roman" w:hAnsi="Arial" w:cs="Arial"/>
        </w:rPr>
        <w:t xml:space="preserve"> substitutions rather than complete elimination of sedentary </w:t>
      </w:r>
      <w:r w:rsidR="004F56ED" w:rsidRPr="00FD73B4">
        <w:rPr>
          <w:rFonts w:ascii="Arial" w:eastAsia="Times New Roman" w:hAnsi="Arial" w:cs="Arial"/>
        </w:rPr>
        <w:t>behavior</w:t>
      </w:r>
      <w:r w:rsidRPr="00FD73B4">
        <w:rPr>
          <w:rFonts w:ascii="Arial" w:eastAsia="Times New Roman" w:hAnsi="Arial" w:cs="Arial"/>
        </w:rPr>
        <w:t xml:space="preserve">. This aligns with contemporary </w:t>
      </w:r>
      <w:r w:rsidR="004F56ED" w:rsidRPr="00FD73B4">
        <w:rPr>
          <w:rFonts w:ascii="Arial" w:eastAsia="Times New Roman" w:hAnsi="Arial" w:cs="Arial"/>
        </w:rPr>
        <w:t>behavioral</w:t>
      </w:r>
      <w:r w:rsidRPr="00FD73B4">
        <w:rPr>
          <w:rFonts w:ascii="Arial" w:eastAsia="Times New Roman" w:hAnsi="Arial" w:cs="Arial"/>
        </w:rPr>
        <w:t xml:space="preserve"> science and may enhance intervention feasibility and adherence. Furthermore, such approaches acknowledge the constraints of daily life, enabling individuals to make incremental changes without substantial lifestyle disruption. As </w:t>
      </w:r>
      <w:r w:rsidRPr="00FD73B4">
        <w:rPr>
          <w:rFonts w:ascii="Arial" w:eastAsia="Times New Roman" w:hAnsi="Arial" w:cs="Arial"/>
        </w:rPr>
        <w:lastRenderedPageBreak/>
        <w:t>a result, time-substitution strategies may be more sustainable and scalable within population-level stroke prevention initiatives.</w:t>
      </w:r>
    </w:p>
    <w:p w14:paraId="7DB1D48F" w14:textId="77777777"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t>Theme 4: Lifestyle Risk Clustering and Genetics</w:t>
      </w:r>
    </w:p>
    <w:p w14:paraId="2A345EE6"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4.1: Combined lifestyle risk profiles</w:t>
      </w:r>
    </w:p>
    <w:p w14:paraId="3629553A" w14:textId="262CD482"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Livingstone et al. (2021) demonstrated that unhealthy lifestyle </w:t>
      </w:r>
      <w:r w:rsidR="004F56ED" w:rsidRPr="00FD73B4">
        <w:rPr>
          <w:rFonts w:ascii="Arial" w:eastAsia="Times New Roman" w:hAnsi="Arial" w:cs="Arial"/>
        </w:rPr>
        <w:t>behaviors</w:t>
      </w:r>
      <w:r w:rsidRPr="00FD73B4">
        <w:rPr>
          <w:rFonts w:ascii="Arial" w:eastAsia="Times New Roman" w:hAnsi="Arial" w:cs="Arial"/>
        </w:rPr>
        <w:t xml:space="preserve"> frequently cluster, and that individuals with multiple adverse </w:t>
      </w:r>
      <w:r w:rsidR="004F56ED" w:rsidRPr="00FD73B4">
        <w:rPr>
          <w:rFonts w:ascii="Arial" w:eastAsia="Times New Roman" w:hAnsi="Arial" w:cs="Arial"/>
        </w:rPr>
        <w:t>behaviors</w:t>
      </w:r>
      <w:r w:rsidRPr="00FD73B4">
        <w:rPr>
          <w:rFonts w:ascii="Arial" w:eastAsia="Times New Roman" w:hAnsi="Arial" w:cs="Arial"/>
        </w:rPr>
        <w:t xml:space="preserve"> experienced substantially higher stroke risk than those with isolated risk factors. Rutten-Jacobs et al. (2018) similarly reported that cumulative lifestyle risk exerted a stronger influence on stroke incidence than individual </w:t>
      </w:r>
      <w:r w:rsidR="004F56ED" w:rsidRPr="00FD73B4">
        <w:rPr>
          <w:rFonts w:ascii="Arial" w:eastAsia="Times New Roman" w:hAnsi="Arial" w:cs="Arial"/>
        </w:rPr>
        <w:t>behaviors</w:t>
      </w:r>
      <w:r w:rsidRPr="00FD73B4">
        <w:rPr>
          <w:rFonts w:ascii="Arial" w:eastAsia="Times New Roman" w:hAnsi="Arial" w:cs="Arial"/>
        </w:rPr>
        <w:t xml:space="preserve"> alone.</w:t>
      </w:r>
    </w:p>
    <w:p w14:paraId="6AB76A55" w14:textId="2B13171F" w:rsidR="00176465" w:rsidRPr="00FD73B4" w:rsidRDefault="004F56ED"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Synthesizing</w:t>
      </w:r>
      <w:r w:rsidR="00176465" w:rsidRPr="00FD73B4">
        <w:rPr>
          <w:rFonts w:ascii="Arial" w:eastAsia="Times New Roman" w:hAnsi="Arial" w:cs="Arial"/>
        </w:rPr>
        <w:t xml:space="preserve"> these findings highlights the cumulative and synergistic nature of lifestyle risk. This evidence exposes the limitations of single-</w:t>
      </w:r>
      <w:r w:rsidRPr="00FD73B4">
        <w:rPr>
          <w:rFonts w:ascii="Arial" w:eastAsia="Times New Roman" w:hAnsi="Arial" w:cs="Arial"/>
        </w:rPr>
        <w:t>behavior</w:t>
      </w:r>
      <w:r w:rsidR="00176465" w:rsidRPr="00FD73B4">
        <w:rPr>
          <w:rFonts w:ascii="Arial" w:eastAsia="Times New Roman" w:hAnsi="Arial" w:cs="Arial"/>
        </w:rPr>
        <w:t xml:space="preserve"> interventions and supports comprehensive, multi-</w:t>
      </w:r>
      <w:r w:rsidRPr="00FD73B4">
        <w:rPr>
          <w:rFonts w:ascii="Arial" w:eastAsia="Times New Roman" w:hAnsi="Arial" w:cs="Arial"/>
        </w:rPr>
        <w:t>behavioral</w:t>
      </w:r>
      <w:r w:rsidR="00176465" w:rsidRPr="00FD73B4">
        <w:rPr>
          <w:rFonts w:ascii="Arial" w:eastAsia="Times New Roman" w:hAnsi="Arial" w:cs="Arial"/>
        </w:rPr>
        <w:t xml:space="preserve"> approaches to stroke prevention. Moreover, it suggests that interventions addressing multiple co-occurring </w:t>
      </w:r>
      <w:r w:rsidRPr="00FD73B4">
        <w:rPr>
          <w:rFonts w:ascii="Arial" w:eastAsia="Times New Roman" w:hAnsi="Arial" w:cs="Arial"/>
        </w:rPr>
        <w:t>behaviors</w:t>
      </w:r>
      <w:r w:rsidR="00176465" w:rsidRPr="00FD73B4">
        <w:rPr>
          <w:rFonts w:ascii="Arial" w:eastAsia="Times New Roman" w:hAnsi="Arial" w:cs="Arial"/>
        </w:rPr>
        <w:t xml:space="preserve"> may yield greater population-level benefits than strategies targeting </w:t>
      </w:r>
      <w:r w:rsidRPr="00FD73B4">
        <w:rPr>
          <w:rFonts w:ascii="Arial" w:eastAsia="Times New Roman" w:hAnsi="Arial" w:cs="Arial"/>
        </w:rPr>
        <w:t>behaviors</w:t>
      </w:r>
      <w:r w:rsidR="00176465" w:rsidRPr="00FD73B4">
        <w:rPr>
          <w:rFonts w:ascii="Arial" w:eastAsia="Times New Roman" w:hAnsi="Arial" w:cs="Arial"/>
        </w:rPr>
        <w:t xml:space="preserve"> in isolation. Such integrated approaches may also better reflect real-world </w:t>
      </w:r>
      <w:r w:rsidRPr="00FD73B4">
        <w:rPr>
          <w:rFonts w:ascii="Arial" w:eastAsia="Times New Roman" w:hAnsi="Arial" w:cs="Arial"/>
        </w:rPr>
        <w:t>behavioral</w:t>
      </w:r>
      <w:r w:rsidR="00176465" w:rsidRPr="00FD73B4">
        <w:rPr>
          <w:rFonts w:ascii="Arial" w:eastAsia="Times New Roman" w:hAnsi="Arial" w:cs="Arial"/>
        </w:rPr>
        <w:t xml:space="preserve"> patterns, enhancing both effectiveness and sustainability.</w:t>
      </w:r>
    </w:p>
    <w:p w14:paraId="19773E09"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4.2: Lifestyle–genetic interaction</w:t>
      </w:r>
    </w:p>
    <w:p w14:paraId="0E939C1D" w14:textId="58CD94FC"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Both Rutten-Jacobs et al. (2018) and Livingstone et al. (2021) demonstrated that adherence to healthy lifestyle </w:t>
      </w:r>
      <w:r w:rsidR="004F56ED" w:rsidRPr="00FD73B4">
        <w:rPr>
          <w:rFonts w:ascii="Arial" w:hAnsi="Arial" w:cs="Arial"/>
          <w:sz w:val="22"/>
          <w:szCs w:val="22"/>
        </w:rPr>
        <w:t>behaviors</w:t>
      </w:r>
      <w:r w:rsidRPr="00FD73B4">
        <w:rPr>
          <w:rFonts w:ascii="Arial" w:hAnsi="Arial" w:cs="Arial"/>
          <w:sz w:val="22"/>
          <w:szCs w:val="22"/>
        </w:rPr>
        <w:t xml:space="preserve"> significantly reduced stroke risk across all genetic risk categories. Notably, individuals with high genetic susceptibility who maintained healthy lifestyles had lower stroke risk than individuals with low genetic risk but unhealthy </w:t>
      </w:r>
      <w:r w:rsidR="004F56ED" w:rsidRPr="00FD73B4">
        <w:rPr>
          <w:rFonts w:ascii="Arial" w:hAnsi="Arial" w:cs="Arial"/>
          <w:sz w:val="22"/>
          <w:szCs w:val="22"/>
        </w:rPr>
        <w:t>behaviors</w:t>
      </w:r>
      <w:r w:rsidRPr="00FD73B4">
        <w:rPr>
          <w:rFonts w:ascii="Arial" w:hAnsi="Arial" w:cs="Arial"/>
          <w:sz w:val="22"/>
          <w:szCs w:val="22"/>
        </w:rPr>
        <w:t>.</w:t>
      </w:r>
    </w:p>
    <w:p w14:paraId="4FD8CAE4" w14:textId="19B6E2A4"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This synthesis directly challenges genetic determinism and reinforces the importance of modifiable </w:t>
      </w:r>
      <w:r w:rsidR="004F56ED" w:rsidRPr="00FD73B4">
        <w:rPr>
          <w:rFonts w:ascii="Arial" w:hAnsi="Arial" w:cs="Arial"/>
          <w:sz w:val="22"/>
          <w:szCs w:val="22"/>
        </w:rPr>
        <w:t>behaviors</w:t>
      </w:r>
      <w:r w:rsidRPr="00FD73B4">
        <w:rPr>
          <w:rFonts w:ascii="Arial" w:hAnsi="Arial" w:cs="Arial"/>
          <w:sz w:val="22"/>
          <w:szCs w:val="22"/>
        </w:rPr>
        <w:t xml:space="preserve"> in stroke prevention. Furthermore, these findings suggest that genetic information should be used to motivate, rather than replace, lifestyle-based prevention strategies. They also provide a strong ethical and practical justification for population-wide lifestyle interventions rather than narrowly focused, genetically targeted approaches alone. Additionally, the evidence supports integrating genetic risk communication within public health initiatives to enhance engagement without exacerbating stigma or health inequalities.</w:t>
      </w:r>
    </w:p>
    <w:p w14:paraId="4CB7EDC2" w14:textId="77777777" w:rsidR="00292705" w:rsidRDefault="00292705" w:rsidP="00176465">
      <w:pPr>
        <w:pStyle w:val="Heading2"/>
        <w:rPr>
          <w:rStyle w:val="Strong"/>
          <w:rFonts w:ascii="Arial" w:hAnsi="Arial" w:cs="Arial"/>
          <w:b/>
          <w:bCs/>
          <w:sz w:val="22"/>
          <w:szCs w:val="22"/>
        </w:rPr>
      </w:pPr>
    </w:p>
    <w:p w14:paraId="0E83C628" w14:textId="77777777" w:rsidR="00292705" w:rsidRDefault="00292705" w:rsidP="00176465">
      <w:pPr>
        <w:pStyle w:val="Heading2"/>
        <w:rPr>
          <w:rStyle w:val="Strong"/>
          <w:rFonts w:ascii="Arial" w:hAnsi="Arial" w:cs="Arial"/>
          <w:b/>
          <w:bCs/>
          <w:sz w:val="22"/>
          <w:szCs w:val="22"/>
        </w:rPr>
      </w:pPr>
    </w:p>
    <w:p w14:paraId="4AEC7C2C" w14:textId="472917D3"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lastRenderedPageBreak/>
        <w:t>Theme 5: Psychosocial and Environmental Influences</w:t>
      </w:r>
    </w:p>
    <w:p w14:paraId="6D647AAD" w14:textId="480FF774"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 xml:space="preserve">Sub-theme 5.1: Lifestyle beliefs and </w:t>
      </w:r>
      <w:r w:rsidR="004F56ED" w:rsidRPr="00FD73B4">
        <w:rPr>
          <w:rStyle w:val="Strong"/>
          <w:rFonts w:ascii="Arial" w:hAnsi="Arial" w:cs="Arial"/>
          <w:b/>
          <w:bCs/>
          <w:sz w:val="22"/>
          <w:szCs w:val="22"/>
        </w:rPr>
        <w:t>behavioral</w:t>
      </w:r>
      <w:r w:rsidRPr="00FD73B4">
        <w:rPr>
          <w:rStyle w:val="Strong"/>
          <w:rFonts w:ascii="Arial" w:hAnsi="Arial" w:cs="Arial"/>
          <w:b/>
          <w:bCs/>
          <w:sz w:val="22"/>
          <w:szCs w:val="22"/>
        </w:rPr>
        <w:t xml:space="preserve"> barriers</w:t>
      </w:r>
    </w:p>
    <w:p w14:paraId="42C31EC2" w14:textId="6E5D1E06" w:rsidR="00176465" w:rsidRPr="00FD73B4" w:rsidRDefault="00176465" w:rsidP="00176465">
      <w:pPr>
        <w:pStyle w:val="NormalWeb"/>
        <w:spacing w:line="360" w:lineRule="auto"/>
        <w:rPr>
          <w:rFonts w:ascii="Arial" w:hAnsi="Arial" w:cs="Arial"/>
          <w:sz w:val="22"/>
          <w:szCs w:val="22"/>
        </w:rPr>
      </w:pPr>
      <w:r w:rsidRPr="00FD73B4">
        <w:rPr>
          <w:rFonts w:ascii="Arial" w:hAnsi="Arial" w:cs="Arial"/>
          <w:sz w:val="22"/>
          <w:szCs w:val="22"/>
        </w:rPr>
        <w:t xml:space="preserve">The qualitative study by Lawrence et al. (2010) provided critical insight into psychosocial barriers that hinder lifestyle modification following stroke. Participants described confusion due to inconsistent health advice, limited family support, and psychological challenges such as depression and reduced motivation. Livingstone et al. (2021) further highlighted the role of </w:t>
      </w:r>
      <w:r w:rsidR="004F56ED" w:rsidRPr="00FD73B4">
        <w:rPr>
          <w:rFonts w:ascii="Arial" w:hAnsi="Arial" w:cs="Arial"/>
          <w:sz w:val="22"/>
          <w:szCs w:val="22"/>
        </w:rPr>
        <w:t>behavioral</w:t>
      </w:r>
      <w:r w:rsidRPr="00FD73B4">
        <w:rPr>
          <w:rFonts w:ascii="Arial" w:hAnsi="Arial" w:cs="Arial"/>
          <w:sz w:val="22"/>
          <w:szCs w:val="22"/>
        </w:rPr>
        <w:t xml:space="preserve"> and contextual factors in shaping adherence to healthy lifestyles at a population level.</w:t>
      </w:r>
    </w:p>
    <w:p w14:paraId="527FBF22" w14:textId="1B1913CF" w:rsidR="00176465" w:rsidRPr="00FD73B4" w:rsidRDefault="004F56ED" w:rsidP="00176465">
      <w:pPr>
        <w:pStyle w:val="NormalWeb"/>
        <w:spacing w:line="360" w:lineRule="auto"/>
        <w:rPr>
          <w:rFonts w:ascii="Arial" w:hAnsi="Arial" w:cs="Arial"/>
          <w:sz w:val="22"/>
          <w:szCs w:val="22"/>
        </w:rPr>
      </w:pPr>
      <w:r w:rsidRPr="00FD73B4">
        <w:rPr>
          <w:rFonts w:ascii="Arial" w:hAnsi="Arial" w:cs="Arial"/>
          <w:sz w:val="22"/>
          <w:szCs w:val="22"/>
        </w:rPr>
        <w:t>Synthesizing</w:t>
      </w:r>
      <w:r w:rsidR="00176465" w:rsidRPr="00FD73B4">
        <w:rPr>
          <w:rFonts w:ascii="Arial" w:hAnsi="Arial" w:cs="Arial"/>
          <w:sz w:val="22"/>
          <w:szCs w:val="22"/>
        </w:rPr>
        <w:t xml:space="preserve"> these findings helps explain the gap between epidemiological evidence and real-world intervention effectiveness. Addressing psychosocial barriers is therefore essential to translating lifestyle evidence into practice. Moreover, the evidence suggests that interventions must incorporate </w:t>
      </w:r>
      <w:r w:rsidRPr="00FD73B4">
        <w:rPr>
          <w:rFonts w:ascii="Arial" w:hAnsi="Arial" w:cs="Arial"/>
          <w:sz w:val="22"/>
          <w:szCs w:val="22"/>
        </w:rPr>
        <w:t>behavioral</w:t>
      </w:r>
      <w:r w:rsidR="00176465" w:rsidRPr="00FD73B4">
        <w:rPr>
          <w:rFonts w:ascii="Arial" w:hAnsi="Arial" w:cs="Arial"/>
          <w:sz w:val="22"/>
          <w:szCs w:val="22"/>
        </w:rPr>
        <w:t xml:space="preserve"> support, clear communication, and social reinforcement to improve engagement. Without addressing these underlying barriers, even well-designed lifestyle interventions may fail to achieve sustained </w:t>
      </w:r>
      <w:r w:rsidRPr="00FD73B4">
        <w:rPr>
          <w:rFonts w:ascii="Arial" w:hAnsi="Arial" w:cs="Arial"/>
          <w:sz w:val="22"/>
          <w:szCs w:val="22"/>
        </w:rPr>
        <w:t>behavior</w:t>
      </w:r>
      <w:r w:rsidR="00176465" w:rsidRPr="00FD73B4">
        <w:rPr>
          <w:rFonts w:ascii="Arial" w:hAnsi="Arial" w:cs="Arial"/>
          <w:sz w:val="22"/>
          <w:szCs w:val="22"/>
        </w:rPr>
        <w:t xml:space="preserve"> change.</w:t>
      </w:r>
    </w:p>
    <w:p w14:paraId="09D46035" w14:textId="77777777" w:rsidR="00176465" w:rsidRPr="00FD73B4" w:rsidRDefault="00176465" w:rsidP="00176465">
      <w:pPr>
        <w:pStyle w:val="Heading3"/>
        <w:rPr>
          <w:rFonts w:ascii="Arial" w:hAnsi="Arial" w:cs="Arial"/>
          <w:sz w:val="22"/>
          <w:szCs w:val="22"/>
        </w:rPr>
      </w:pPr>
      <w:r w:rsidRPr="00FD73B4">
        <w:rPr>
          <w:rStyle w:val="Strong"/>
          <w:rFonts w:ascii="Arial" w:hAnsi="Arial" w:cs="Arial"/>
          <w:b/>
          <w:bCs/>
          <w:sz w:val="22"/>
          <w:szCs w:val="22"/>
        </w:rPr>
        <w:t>Sub-theme 5.2: Environmental and contextual exposure</w:t>
      </w:r>
    </w:p>
    <w:p w14:paraId="337B9776" w14:textId="13284CBB" w:rsidR="00176465" w:rsidRPr="00FD73B4" w:rsidRDefault="00176465"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Miguet et al. (2021) reported that excessive outdoor exposure was associated with an increased risk of stroke, potentially mediated by environmental stressors such as air pollution, temperature extremes, and prolonged exposure to adverse weather conditions. Using large-scale cohort data, the study suggested that environmental context may modify the relationship between lifestyle </w:t>
      </w:r>
      <w:r w:rsidR="004F56ED" w:rsidRPr="00FD73B4">
        <w:rPr>
          <w:rFonts w:ascii="Arial" w:eastAsia="Times New Roman" w:hAnsi="Arial" w:cs="Arial"/>
        </w:rPr>
        <w:t>behaviors</w:t>
      </w:r>
      <w:r w:rsidRPr="00FD73B4">
        <w:rPr>
          <w:rFonts w:ascii="Arial" w:eastAsia="Times New Roman" w:hAnsi="Arial" w:cs="Arial"/>
        </w:rPr>
        <w:t xml:space="preserve"> and vascular outcomes, indicating that outdoor time is not inherently protective in all circumstances. Lawrence et al. (2010) similarly </w:t>
      </w:r>
      <w:r w:rsidR="004F56ED" w:rsidRPr="00FD73B4">
        <w:rPr>
          <w:rFonts w:ascii="Arial" w:eastAsia="Times New Roman" w:hAnsi="Arial" w:cs="Arial"/>
        </w:rPr>
        <w:t>emphasized</w:t>
      </w:r>
      <w:r w:rsidRPr="00FD73B4">
        <w:rPr>
          <w:rFonts w:ascii="Arial" w:eastAsia="Times New Roman" w:hAnsi="Arial" w:cs="Arial"/>
        </w:rPr>
        <w:t xml:space="preserve"> the influence of environmental and contextual factors on lifestyle </w:t>
      </w:r>
      <w:r w:rsidR="004F56ED" w:rsidRPr="00FD73B4">
        <w:rPr>
          <w:rFonts w:ascii="Arial" w:eastAsia="Times New Roman" w:hAnsi="Arial" w:cs="Arial"/>
        </w:rPr>
        <w:t>behaviors</w:t>
      </w:r>
      <w:r w:rsidRPr="00FD73B4">
        <w:rPr>
          <w:rFonts w:ascii="Arial" w:eastAsia="Times New Roman" w:hAnsi="Arial" w:cs="Arial"/>
        </w:rPr>
        <w:t xml:space="preserve">, highlighting how </w:t>
      </w:r>
      <w:r w:rsidR="004F56ED" w:rsidRPr="00FD73B4">
        <w:rPr>
          <w:rFonts w:ascii="Arial" w:eastAsia="Times New Roman" w:hAnsi="Arial" w:cs="Arial"/>
        </w:rPr>
        <w:t>neighborhood</w:t>
      </w:r>
      <w:r w:rsidRPr="00FD73B4">
        <w:rPr>
          <w:rFonts w:ascii="Arial" w:eastAsia="Times New Roman" w:hAnsi="Arial" w:cs="Arial"/>
        </w:rPr>
        <w:t xml:space="preserve"> characteristics, access to safe outdoor spaces, and environmental stressors can shape individuals’ capacity to engage in health-promoting activities.</w:t>
      </w:r>
    </w:p>
    <w:p w14:paraId="276E6B47" w14:textId="789E8B9F" w:rsidR="00176465" w:rsidRPr="00FD73B4" w:rsidRDefault="004F56ED" w:rsidP="00176465">
      <w:pPr>
        <w:spacing w:before="100" w:beforeAutospacing="1" w:after="100" w:afterAutospacing="1" w:line="360" w:lineRule="auto"/>
        <w:rPr>
          <w:rFonts w:ascii="Arial" w:eastAsia="Times New Roman" w:hAnsi="Arial" w:cs="Arial"/>
        </w:rPr>
      </w:pPr>
      <w:r w:rsidRPr="00FD73B4">
        <w:rPr>
          <w:rFonts w:ascii="Arial" w:eastAsia="Times New Roman" w:hAnsi="Arial" w:cs="Arial"/>
        </w:rPr>
        <w:t>Synthesizing</w:t>
      </w:r>
      <w:r w:rsidR="00176465" w:rsidRPr="00FD73B4">
        <w:rPr>
          <w:rFonts w:ascii="Arial" w:eastAsia="Times New Roman" w:hAnsi="Arial" w:cs="Arial"/>
        </w:rPr>
        <w:t xml:space="preserve"> these findings challenges simplistic assumptions that increased outdoor exposure is uniformly beneficial for cardiovascular and cerebrovascular health. Instead, the evidence underscores the need for context-sensitive public health guidance that accounts for environmental quality, urban design, and climate-related risks. Such an approach is particularly relevant in densely populated or polluted settings, where environmental exposures may undermine the benefits of otherwise healthy behaviors.</w:t>
      </w:r>
    </w:p>
    <w:p w14:paraId="52163B5D" w14:textId="77777777" w:rsidR="00176465" w:rsidRPr="00FD73B4" w:rsidRDefault="00176465" w:rsidP="00176465">
      <w:pPr>
        <w:pStyle w:val="Heading2"/>
        <w:rPr>
          <w:rFonts w:ascii="Arial" w:hAnsi="Arial" w:cs="Arial"/>
          <w:sz w:val="22"/>
          <w:szCs w:val="22"/>
        </w:rPr>
      </w:pPr>
      <w:r w:rsidRPr="00FD73B4">
        <w:rPr>
          <w:rStyle w:val="Strong"/>
          <w:rFonts w:ascii="Arial" w:hAnsi="Arial" w:cs="Arial"/>
          <w:b/>
          <w:bCs/>
          <w:sz w:val="22"/>
          <w:szCs w:val="22"/>
        </w:rPr>
        <w:lastRenderedPageBreak/>
        <w:t>5.6 Chapter Summary</w:t>
      </w:r>
    </w:p>
    <w:p w14:paraId="39F03DF2" w14:textId="709E315D" w:rsidR="00176465" w:rsidRPr="00FD73B4" w:rsidRDefault="00176465" w:rsidP="00176465">
      <w:pPr>
        <w:spacing w:before="100" w:beforeAutospacing="1" w:after="100" w:afterAutospacing="1" w:line="360" w:lineRule="auto"/>
        <w:outlineLvl w:val="1"/>
        <w:rPr>
          <w:rFonts w:ascii="Arial" w:eastAsia="Times New Roman" w:hAnsi="Arial" w:cs="Arial"/>
          <w:sz w:val="24"/>
          <w:szCs w:val="24"/>
        </w:rPr>
      </w:pPr>
      <w:r w:rsidRPr="00FD73B4">
        <w:rPr>
          <w:rFonts w:ascii="Arial" w:hAnsi="Arial" w:cs="Arial"/>
        </w:rPr>
        <w:t>This chapter synthesized evidence from ten UK-based studies using a structured thematic analysis approach. Five overarching themes and multiple evidence-linked sub-themes were identified, demonstrating diet quality, physical activity, sedentary behavior, lifestyle risk clustering, genetic susceptibility, and psychosocial and environmental contexts collectively shape stroke risk. The synthesis indicates that modifiable lifestyle behaviors exert substantial protective effects, even among genetically high-risk individuals, while contextual and behavioral barriers influence intervention feasibility. Importantly, the findings highlight the need for integrated, multi-behavioral prevention strategies that account for both individual and environmental determinants of health. Together, these insights provide a robust and conceptually coherent foundation for the critical discussion, policy considerations, and public health implications explored in Chapter 6.</w:t>
      </w:r>
    </w:p>
    <w:p w14:paraId="6433B871" w14:textId="15511597" w:rsidR="00DA4A3D" w:rsidRPr="00FD73B4" w:rsidRDefault="00DA4A3D" w:rsidP="00176465">
      <w:pPr>
        <w:spacing w:line="360" w:lineRule="auto"/>
        <w:rPr>
          <w:rFonts w:ascii="Arial" w:hAnsi="Arial" w:cs="Arial"/>
        </w:rPr>
      </w:pPr>
    </w:p>
    <w:p w14:paraId="62B608E3" w14:textId="77777777" w:rsidR="00DA4A3D" w:rsidRPr="00FD73B4" w:rsidRDefault="00DA4A3D">
      <w:pPr>
        <w:rPr>
          <w:rFonts w:ascii="Arial" w:hAnsi="Arial" w:cs="Arial"/>
        </w:rPr>
      </w:pPr>
      <w:r w:rsidRPr="00FD73B4">
        <w:rPr>
          <w:rFonts w:ascii="Arial" w:hAnsi="Arial" w:cs="Arial"/>
        </w:rPr>
        <w:br w:type="page"/>
      </w:r>
    </w:p>
    <w:p w14:paraId="4D8C6A48" w14:textId="77777777" w:rsidR="00DA4A3D" w:rsidRPr="00292705" w:rsidRDefault="00DA4A3D" w:rsidP="00617220">
      <w:pPr>
        <w:spacing w:before="100" w:beforeAutospacing="1" w:after="100" w:afterAutospacing="1" w:line="360" w:lineRule="auto"/>
        <w:jc w:val="center"/>
        <w:rPr>
          <w:rFonts w:ascii="Arial" w:eastAsia="Times New Roman" w:hAnsi="Arial" w:cs="Arial"/>
          <w:sz w:val="24"/>
          <w:szCs w:val="24"/>
        </w:rPr>
      </w:pPr>
      <w:r w:rsidRPr="00292705">
        <w:rPr>
          <w:rFonts w:ascii="Arial" w:eastAsia="Times New Roman" w:hAnsi="Arial" w:cs="Arial"/>
          <w:b/>
          <w:bCs/>
          <w:kern w:val="36"/>
          <w:sz w:val="24"/>
          <w:szCs w:val="24"/>
        </w:rPr>
        <w:lastRenderedPageBreak/>
        <w:t>CHAPTER 6: DISCUSSION</w:t>
      </w:r>
    </w:p>
    <w:p w14:paraId="2CFABD91" w14:textId="77777777" w:rsidR="00617220" w:rsidRPr="00FD73B4" w:rsidRDefault="00617220" w:rsidP="00DA4A3D">
      <w:pPr>
        <w:spacing w:before="100" w:beforeAutospacing="1" w:after="100" w:afterAutospacing="1" w:line="360" w:lineRule="auto"/>
        <w:outlineLvl w:val="1"/>
        <w:rPr>
          <w:rFonts w:ascii="Arial" w:eastAsia="Times New Roman" w:hAnsi="Arial" w:cs="Arial"/>
          <w:b/>
          <w:bCs/>
        </w:rPr>
      </w:pPr>
    </w:p>
    <w:p w14:paraId="18D2B56E" w14:textId="5E9FA145" w:rsidR="00DA4A3D" w:rsidRPr="00FD73B4" w:rsidRDefault="00DA4A3D" w:rsidP="00DA4A3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6.1 Introduction to the Chapter</w:t>
      </w:r>
    </w:p>
    <w:p w14:paraId="66870DCE" w14:textId="60EA745C"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 this chapter, critically discuss the findings of this systematic literature review in relation to existing research, theoretical frameworks, and current public health practice. The discussion is structured around the key themes identified in Chapter 5, allowing for systematic comparison between the review findings and the wider evidence base on lifestyle-related stroke </w:t>
      </w:r>
      <w:r w:rsidR="00617220" w:rsidRPr="00FD73B4">
        <w:rPr>
          <w:rFonts w:ascii="Arial" w:eastAsia="Times New Roman" w:hAnsi="Arial" w:cs="Arial"/>
        </w:rPr>
        <w:t>prevention. Examine</w:t>
      </w:r>
      <w:r w:rsidRPr="00FD73B4">
        <w:rPr>
          <w:rFonts w:ascii="Arial" w:eastAsia="Times New Roman" w:hAnsi="Arial" w:cs="Arial"/>
        </w:rPr>
        <w:t xml:space="preserve"> areas of convergence and divergence, explore potential explanations for unexpected findings, and critically reflect on the strengths and limitations of both the included studies and the review methodology. This chapter aims to demonstrate how the findings contribute to knowledge and inform future research, policy, and practice.</w:t>
      </w:r>
    </w:p>
    <w:p w14:paraId="64AC29F3" w14:textId="77777777" w:rsidR="00DA4A3D" w:rsidRPr="00FD73B4" w:rsidRDefault="00DA4A3D" w:rsidP="00DA4A3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6.2 Discussion of Key Findings </w:t>
      </w:r>
    </w:p>
    <w:p w14:paraId="3BD23D46"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6.2.1 Diet quality as a cornerstone of stroke prevention</w:t>
      </w:r>
    </w:p>
    <w:p w14:paraId="0B8572C9" w14:textId="7777777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One of the strongest and most consistent findings of this review is the association between higher overall diet quality and reduced stroke risk. Studies included in this review demonstrated that individuals adhering to healthier dietary patterns experienced significantly lower stroke incidence (Zhang et al., 2021; Paterson et al., 2018). This finding is highly consistent with the broader epidemiological literature, which identifies poor diet as a leading modifiable risk factor for stroke globally (GBD 2019 Risk Factors Collaborators, 2020).</w:t>
      </w:r>
    </w:p>
    <w:p w14:paraId="19914005" w14:textId="255B73BE"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emphasis on overall diet quality rather than individual nutrients aligns with contemporary nutritional science, which </w:t>
      </w:r>
      <w:r w:rsidR="004F56ED" w:rsidRPr="00FD73B4">
        <w:rPr>
          <w:rFonts w:ascii="Arial" w:eastAsia="Times New Roman" w:hAnsi="Arial" w:cs="Arial"/>
        </w:rPr>
        <w:t>recognizes</w:t>
      </w:r>
      <w:r w:rsidRPr="00FD73B4">
        <w:rPr>
          <w:rFonts w:ascii="Arial" w:eastAsia="Times New Roman" w:hAnsi="Arial" w:cs="Arial"/>
        </w:rPr>
        <w:t xml:space="preserve"> that foods are consumed as part of complex dietary patterns (Mozaffarian, 2016). The findings support theoretical perspectives such as the socioecological model, which </w:t>
      </w:r>
      <w:r w:rsidR="00617220" w:rsidRPr="00FD73B4">
        <w:rPr>
          <w:rFonts w:ascii="Arial" w:eastAsia="Times New Roman" w:hAnsi="Arial" w:cs="Arial"/>
        </w:rPr>
        <w:t>emphasize</w:t>
      </w:r>
      <w:r w:rsidRPr="00FD73B4">
        <w:rPr>
          <w:rFonts w:ascii="Arial" w:eastAsia="Times New Roman" w:hAnsi="Arial" w:cs="Arial"/>
        </w:rPr>
        <w:t xml:space="preserve"> sustained </w:t>
      </w:r>
      <w:r w:rsidR="004F56ED" w:rsidRPr="00FD73B4">
        <w:rPr>
          <w:rFonts w:ascii="Arial" w:eastAsia="Times New Roman" w:hAnsi="Arial" w:cs="Arial"/>
        </w:rPr>
        <w:t>behavioral</w:t>
      </w:r>
      <w:r w:rsidRPr="00FD73B4">
        <w:rPr>
          <w:rFonts w:ascii="Arial" w:eastAsia="Times New Roman" w:hAnsi="Arial" w:cs="Arial"/>
        </w:rPr>
        <w:t xml:space="preserve"> patterns shaped by social and environmental contexts rather than isolated dietary choices. Importantly, the UK-based nature of the evidence strengthens its relevance to national dietary guidelines and stroke prevention strategies.</w:t>
      </w:r>
    </w:p>
    <w:p w14:paraId="7451BFBA" w14:textId="77777777" w:rsidR="00DA4A3D" w:rsidRPr="00FD73B4" w:rsidRDefault="00DA4A3D" w:rsidP="00DA4A3D">
      <w:pPr>
        <w:spacing w:after="0" w:line="360" w:lineRule="auto"/>
        <w:rPr>
          <w:rFonts w:ascii="Arial" w:eastAsia="Times New Roman" w:hAnsi="Arial" w:cs="Arial"/>
        </w:rPr>
      </w:pPr>
    </w:p>
    <w:p w14:paraId="7F354072"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6.2.2 Mediterranean dietary patterns and population relevance</w:t>
      </w:r>
    </w:p>
    <w:p w14:paraId="38F65B9D" w14:textId="717C1436"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protective association between Mediterranean diet adherence and stroke incidence reported by Paterson et al. (2018) is particularly noteworthy. This finding aligns with robust international evidence demonstrating the cardiovascular and cerebrovascular benefits of Mediterranean-style diets (Estruch et al., 2018; Sofi et al., 2014). However, its confirmation within </w:t>
      </w:r>
      <w:r w:rsidR="004F56ED" w:rsidRPr="00FD73B4">
        <w:rPr>
          <w:rFonts w:ascii="Arial" w:eastAsia="Times New Roman" w:hAnsi="Arial" w:cs="Arial"/>
        </w:rPr>
        <w:t>the UK</w:t>
      </w:r>
      <w:r w:rsidRPr="00FD73B4">
        <w:rPr>
          <w:rFonts w:ascii="Arial" w:eastAsia="Times New Roman" w:hAnsi="Arial" w:cs="Arial"/>
        </w:rPr>
        <w:t xml:space="preserve"> population is significant, as dietary patterns and food environments differ substantially from Mediterranean regions.</w:t>
      </w:r>
    </w:p>
    <w:p w14:paraId="5E2555CC" w14:textId="0D98678F"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From a public health perspective, this finding suggests that the principles of the Mediterranean diet—rather than strict cultural replication—are transferable to non-Mediterranean settings. This supports current UK guidance promoting increased intake of fruits, vegetables, whole grains, and unsaturated fats. The observed sex-specific effects also raise important questions about biological and </w:t>
      </w:r>
      <w:r w:rsidR="004F56ED" w:rsidRPr="00FD73B4">
        <w:rPr>
          <w:rFonts w:ascii="Arial" w:eastAsia="Times New Roman" w:hAnsi="Arial" w:cs="Arial"/>
        </w:rPr>
        <w:t>behavioral</w:t>
      </w:r>
      <w:r w:rsidRPr="00FD73B4">
        <w:rPr>
          <w:rFonts w:ascii="Arial" w:eastAsia="Times New Roman" w:hAnsi="Arial" w:cs="Arial"/>
        </w:rPr>
        <w:t xml:space="preserve"> differences that warrant further investigation.</w:t>
      </w:r>
    </w:p>
    <w:p w14:paraId="5539D1CC"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6.2.3 Complexity and risk within restrictive dietary patterns</w:t>
      </w:r>
    </w:p>
    <w:p w14:paraId="2632646A" w14:textId="067C37AE"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While most dietary findings were protective, this review also identified important complexity. Tong et al. (2019) reported an increased risk of </w:t>
      </w:r>
      <w:r w:rsidR="004F56ED" w:rsidRPr="00FD73B4">
        <w:rPr>
          <w:rFonts w:ascii="Arial" w:eastAsia="Times New Roman" w:hAnsi="Arial" w:cs="Arial"/>
        </w:rPr>
        <w:t>hemorrhagic</w:t>
      </w:r>
      <w:r w:rsidRPr="00FD73B4">
        <w:rPr>
          <w:rFonts w:ascii="Arial" w:eastAsia="Times New Roman" w:hAnsi="Arial" w:cs="Arial"/>
        </w:rPr>
        <w:t xml:space="preserve"> stroke among vegetarians, despite lower </w:t>
      </w:r>
      <w:r w:rsidR="004F56ED" w:rsidRPr="00FD73B4">
        <w:rPr>
          <w:rFonts w:ascii="Arial" w:eastAsia="Times New Roman" w:hAnsi="Arial" w:cs="Arial"/>
        </w:rPr>
        <w:t>ischemic</w:t>
      </w:r>
      <w:r w:rsidRPr="00FD73B4">
        <w:rPr>
          <w:rFonts w:ascii="Arial" w:eastAsia="Times New Roman" w:hAnsi="Arial" w:cs="Arial"/>
        </w:rPr>
        <w:t xml:space="preserve"> heart disease risk. This finding appears counterintuitive and challenges the assumption that plant-based diets are universally protective.</w:t>
      </w:r>
    </w:p>
    <w:p w14:paraId="76430029" w14:textId="37F1B832"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Similar concerns have been raised in previous research regarding potential micronutrient deficiencies associated with restrictive diets, particularly vitamin B12, iodine, and long-chain omega-3 fatty acids (Appleby and Key, 2016). These nutrients play roles in vascular integrity and neurological function, which may be particularly relevant to </w:t>
      </w:r>
      <w:r w:rsidR="004F56ED" w:rsidRPr="00FD73B4">
        <w:rPr>
          <w:rFonts w:ascii="Arial" w:eastAsia="Times New Roman" w:hAnsi="Arial" w:cs="Arial"/>
        </w:rPr>
        <w:t>hemorrhagic</w:t>
      </w:r>
      <w:r w:rsidRPr="00FD73B4">
        <w:rPr>
          <w:rFonts w:ascii="Arial" w:eastAsia="Times New Roman" w:hAnsi="Arial" w:cs="Arial"/>
        </w:rPr>
        <w:t xml:space="preserve"> stroke risk. This finding underscores the importance of dietary adequacy and balance, suggesting that public health messaging should avoid overly simplistic promotion of exclusionary diets without appropriate nutritional support.</w:t>
      </w:r>
    </w:p>
    <w:p w14:paraId="178BBF86"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6.2.4 Dietary fibre as a mechanistic link to stroke reduction</w:t>
      </w:r>
    </w:p>
    <w:p w14:paraId="673F2948" w14:textId="75EFC59E"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consistent association between higher dietary fibre intake and reduced stroke risk observed in this review (Threapleton et al., 2015) aligns strongly with meta-analytic evidence (Aune et al., 2017). Fibre may reduce stroke risk through multiple biological pathways, including improved </w:t>
      </w:r>
      <w:r w:rsidRPr="00FD73B4">
        <w:rPr>
          <w:rFonts w:ascii="Arial" w:eastAsia="Times New Roman" w:hAnsi="Arial" w:cs="Arial"/>
        </w:rPr>
        <w:lastRenderedPageBreak/>
        <w:t xml:space="preserve">lipid metabolism, reduced systemic inflammation, enhanced insulin sensitivity, and </w:t>
      </w:r>
      <w:r w:rsidR="004F56ED" w:rsidRPr="00FD73B4">
        <w:rPr>
          <w:rFonts w:ascii="Arial" w:eastAsia="Times New Roman" w:hAnsi="Arial" w:cs="Arial"/>
        </w:rPr>
        <w:t>favorable</w:t>
      </w:r>
      <w:r w:rsidRPr="00FD73B4">
        <w:rPr>
          <w:rFonts w:ascii="Arial" w:eastAsia="Times New Roman" w:hAnsi="Arial" w:cs="Arial"/>
        </w:rPr>
        <w:t xml:space="preserve"> effects on gut microbiota (Reynolds et al., 2019).</w:t>
      </w:r>
    </w:p>
    <w:p w14:paraId="7D1F926F" w14:textId="009B39EC"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prominence of cereal fibre in reducing </w:t>
      </w:r>
      <w:r w:rsidR="004F56ED" w:rsidRPr="00FD73B4">
        <w:rPr>
          <w:rFonts w:ascii="Arial" w:eastAsia="Times New Roman" w:hAnsi="Arial" w:cs="Arial"/>
        </w:rPr>
        <w:t>ischemic</w:t>
      </w:r>
      <w:r w:rsidRPr="00FD73B4">
        <w:rPr>
          <w:rFonts w:ascii="Arial" w:eastAsia="Times New Roman" w:hAnsi="Arial" w:cs="Arial"/>
        </w:rPr>
        <w:t xml:space="preserve"> stroke risk is particularly relevant to UK dietary patterns, where whole-grain consumption remains below recommended levels. These findings reinforce the public health importance of promoting fibre-rich foods as a practical and achievable strategy for stroke prevention.</w:t>
      </w:r>
    </w:p>
    <w:p w14:paraId="53A47E50" w14:textId="4B13C40F"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 xml:space="preserve">6.2.5 Physical activity as a flexible but essential protective </w:t>
      </w:r>
      <w:r w:rsidR="004F56ED" w:rsidRPr="00FD73B4">
        <w:rPr>
          <w:rFonts w:ascii="Arial" w:eastAsia="Times New Roman" w:hAnsi="Arial" w:cs="Arial"/>
          <w:b/>
          <w:bCs/>
        </w:rPr>
        <w:t>behavior</w:t>
      </w:r>
    </w:p>
    <w:p w14:paraId="688E9A21" w14:textId="7777777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Physical activity emerged as a robust protective factor against stroke across the included studies. Both self-reported and accelerometer-derived data demonstrated that engagement in moderate-to-vigorous physical activity (MVPA) was associated with reduced stroke incidence (Miguet et al., 2021; Shi et al., 2025). This finding is consistent with longstanding evidence and supports current WHO and UK Chief Medical Officers’ guidelines (UK CMO, 2019).</w:t>
      </w:r>
    </w:p>
    <w:p w14:paraId="41BBC060" w14:textId="723EED2B"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A particularly important contribution </w:t>
      </w:r>
      <w:r w:rsidR="004F56ED" w:rsidRPr="00FD73B4">
        <w:rPr>
          <w:rFonts w:ascii="Arial" w:eastAsia="Times New Roman" w:hAnsi="Arial" w:cs="Arial"/>
        </w:rPr>
        <w:t>to</w:t>
      </w:r>
      <w:r w:rsidRPr="00FD73B4">
        <w:rPr>
          <w:rFonts w:ascii="Arial" w:eastAsia="Times New Roman" w:hAnsi="Arial" w:cs="Arial"/>
        </w:rPr>
        <w:t xml:space="preserve"> this review is the finding that activity </w:t>
      </w:r>
      <w:r w:rsidRPr="00FD73B4">
        <w:rPr>
          <w:rFonts w:ascii="Arial" w:eastAsia="Times New Roman" w:hAnsi="Arial" w:cs="Arial"/>
          <w:i/>
          <w:iCs/>
        </w:rPr>
        <w:t>pattern</w:t>
      </w:r>
      <w:r w:rsidRPr="00FD73B4">
        <w:rPr>
          <w:rFonts w:ascii="Arial" w:eastAsia="Times New Roman" w:hAnsi="Arial" w:cs="Arial"/>
        </w:rPr>
        <w:t xml:space="preserve"> may be less important than total activity volume. Shi et al. (2025) demonstrated that “weekend warrior” patterns conferred similar stroke risk reduction to regularly distributed activity. This challenges traditional assumptions embedded in health promotion messaging and supports more flexible, inclusive approaches that may improve population-level adherence.</w:t>
      </w:r>
    </w:p>
    <w:p w14:paraId="77E82C9B" w14:textId="09B80929"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 xml:space="preserve">6.2.6 Sedentary </w:t>
      </w:r>
      <w:r w:rsidR="004F56ED" w:rsidRPr="00FD73B4">
        <w:rPr>
          <w:rFonts w:ascii="Arial" w:eastAsia="Times New Roman" w:hAnsi="Arial" w:cs="Arial"/>
          <w:b/>
          <w:bCs/>
        </w:rPr>
        <w:t>behavior</w:t>
      </w:r>
      <w:r w:rsidRPr="00FD73B4">
        <w:rPr>
          <w:rFonts w:ascii="Arial" w:eastAsia="Times New Roman" w:hAnsi="Arial" w:cs="Arial"/>
          <w:b/>
          <w:bCs/>
        </w:rPr>
        <w:t xml:space="preserve"> as an independent and underestimated risk</w:t>
      </w:r>
    </w:p>
    <w:p w14:paraId="210437A3" w14:textId="6692D41A"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 contrast to physical activity, sedentary </w:t>
      </w:r>
      <w:r w:rsidR="004F56ED" w:rsidRPr="00FD73B4">
        <w:rPr>
          <w:rFonts w:ascii="Arial" w:eastAsia="Times New Roman" w:hAnsi="Arial" w:cs="Arial"/>
        </w:rPr>
        <w:t>behavior</w:t>
      </w:r>
      <w:r w:rsidRPr="00FD73B4">
        <w:rPr>
          <w:rFonts w:ascii="Arial" w:eastAsia="Times New Roman" w:hAnsi="Arial" w:cs="Arial"/>
        </w:rPr>
        <w:t xml:space="preserve"> was identified as an independent risk factor for stroke. Dong et al. (2024) demonstrated that prolonged sedentary time increased stroke risk even among individuals meeting physical activity guidelines. This finding is consistent with emerging evidence that sedentary </w:t>
      </w:r>
      <w:r w:rsidR="004F56ED" w:rsidRPr="00FD73B4">
        <w:rPr>
          <w:rFonts w:ascii="Arial" w:eastAsia="Times New Roman" w:hAnsi="Arial" w:cs="Arial"/>
        </w:rPr>
        <w:t>behavior</w:t>
      </w:r>
      <w:r w:rsidRPr="00FD73B4">
        <w:rPr>
          <w:rFonts w:ascii="Arial" w:eastAsia="Times New Roman" w:hAnsi="Arial" w:cs="Arial"/>
        </w:rPr>
        <w:t xml:space="preserve"> exerts harmful metabolic effects independent of exercise (Ekelund et al., 2016).</w:t>
      </w:r>
    </w:p>
    <w:p w14:paraId="39D72F79" w14:textId="3E0FFDAC"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use of </w:t>
      </w:r>
      <w:r w:rsidR="004F56ED" w:rsidRPr="00FD73B4">
        <w:rPr>
          <w:rFonts w:ascii="Arial" w:eastAsia="Times New Roman" w:hAnsi="Arial" w:cs="Arial"/>
        </w:rPr>
        <w:t>is temporal</w:t>
      </w:r>
      <w:r w:rsidRPr="00FD73B4">
        <w:rPr>
          <w:rFonts w:ascii="Arial" w:eastAsia="Times New Roman" w:hAnsi="Arial" w:cs="Arial"/>
        </w:rPr>
        <w:t xml:space="preserve"> substitution modelling adds substantial value by demonstrating that replacing sedentary time with light activity, vigorous activity, or adequate sleep can meaningfully reduce stroke risk. This supports a time-use perspective of health </w:t>
      </w:r>
      <w:r w:rsidR="004F56ED" w:rsidRPr="00FD73B4">
        <w:rPr>
          <w:rFonts w:ascii="Arial" w:eastAsia="Times New Roman" w:hAnsi="Arial" w:cs="Arial"/>
        </w:rPr>
        <w:t>behavior</w:t>
      </w:r>
      <w:r w:rsidRPr="00FD73B4">
        <w:rPr>
          <w:rFonts w:ascii="Arial" w:eastAsia="Times New Roman" w:hAnsi="Arial" w:cs="Arial"/>
        </w:rPr>
        <w:t xml:space="preserve"> and highlights the need for public health strategies that promote “sitting less” alongside “moving more”.</w:t>
      </w:r>
    </w:p>
    <w:p w14:paraId="0F4504D5" w14:textId="77777777" w:rsidR="00DA4A3D" w:rsidRPr="00FD73B4" w:rsidRDefault="00DA4A3D" w:rsidP="00DA4A3D">
      <w:pPr>
        <w:spacing w:after="0" w:line="360" w:lineRule="auto"/>
        <w:rPr>
          <w:rFonts w:ascii="Arial" w:eastAsia="Times New Roman" w:hAnsi="Arial" w:cs="Arial"/>
        </w:rPr>
      </w:pPr>
    </w:p>
    <w:p w14:paraId="65D72AFB"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6.2.7 Lifestyle clustering and cumulative exposure</w:t>
      </w:r>
    </w:p>
    <w:p w14:paraId="0A98C397" w14:textId="7D482F36"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review provides strong evidence that lifestyle </w:t>
      </w:r>
      <w:r w:rsidR="0068298B" w:rsidRPr="00FD73B4">
        <w:rPr>
          <w:rFonts w:ascii="Arial" w:eastAsia="Times New Roman" w:hAnsi="Arial" w:cs="Arial"/>
        </w:rPr>
        <w:t>behaviors</w:t>
      </w:r>
      <w:r w:rsidRPr="00FD73B4">
        <w:rPr>
          <w:rFonts w:ascii="Arial" w:eastAsia="Times New Roman" w:hAnsi="Arial" w:cs="Arial"/>
        </w:rPr>
        <w:t xml:space="preserve"> cluster and that cumulative exposure to unhealthy </w:t>
      </w:r>
      <w:r w:rsidR="0068298B" w:rsidRPr="00FD73B4">
        <w:rPr>
          <w:rFonts w:ascii="Arial" w:eastAsia="Times New Roman" w:hAnsi="Arial" w:cs="Arial"/>
        </w:rPr>
        <w:t>behaviors</w:t>
      </w:r>
      <w:r w:rsidRPr="00FD73B4">
        <w:rPr>
          <w:rFonts w:ascii="Arial" w:eastAsia="Times New Roman" w:hAnsi="Arial" w:cs="Arial"/>
        </w:rPr>
        <w:t xml:space="preserve"> substantially increases stroke risk (Livingstone et al., 2021). This finding is consistent with </w:t>
      </w:r>
      <w:r w:rsidR="0068298B" w:rsidRPr="00FD73B4">
        <w:rPr>
          <w:rFonts w:ascii="Arial" w:eastAsia="Times New Roman" w:hAnsi="Arial" w:cs="Arial"/>
        </w:rPr>
        <w:t>behavioral</w:t>
      </w:r>
      <w:r w:rsidRPr="00FD73B4">
        <w:rPr>
          <w:rFonts w:ascii="Arial" w:eastAsia="Times New Roman" w:hAnsi="Arial" w:cs="Arial"/>
        </w:rPr>
        <w:t xml:space="preserve"> epidemiology research demonstrating synergistic effects of lifestyle risk factors (Spring et al., 2012).</w:t>
      </w:r>
    </w:p>
    <w:p w14:paraId="21943A9E" w14:textId="0A695AF8"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From a theoretical standpoint, this supports the application of integrated </w:t>
      </w:r>
      <w:r w:rsidR="0068298B" w:rsidRPr="00FD73B4">
        <w:rPr>
          <w:rFonts w:ascii="Arial" w:eastAsia="Times New Roman" w:hAnsi="Arial" w:cs="Arial"/>
        </w:rPr>
        <w:t>behavior</w:t>
      </w:r>
      <w:r w:rsidRPr="00FD73B4">
        <w:rPr>
          <w:rFonts w:ascii="Arial" w:eastAsia="Times New Roman" w:hAnsi="Arial" w:cs="Arial"/>
        </w:rPr>
        <w:t xml:space="preserve"> change frameworks such as the COM-B model, which </w:t>
      </w:r>
      <w:r w:rsidR="0068298B" w:rsidRPr="00FD73B4">
        <w:rPr>
          <w:rFonts w:ascii="Arial" w:eastAsia="Times New Roman" w:hAnsi="Arial" w:cs="Arial"/>
        </w:rPr>
        <w:t>recognizes</w:t>
      </w:r>
      <w:r w:rsidRPr="00FD73B4">
        <w:rPr>
          <w:rFonts w:ascii="Arial" w:eastAsia="Times New Roman" w:hAnsi="Arial" w:cs="Arial"/>
        </w:rPr>
        <w:t xml:space="preserve"> that </w:t>
      </w:r>
      <w:r w:rsidR="0068298B" w:rsidRPr="00FD73B4">
        <w:rPr>
          <w:rFonts w:ascii="Arial" w:eastAsia="Times New Roman" w:hAnsi="Arial" w:cs="Arial"/>
        </w:rPr>
        <w:t>behaviors</w:t>
      </w:r>
      <w:r w:rsidRPr="00FD73B4">
        <w:rPr>
          <w:rFonts w:ascii="Arial" w:eastAsia="Times New Roman" w:hAnsi="Arial" w:cs="Arial"/>
        </w:rPr>
        <w:t xml:space="preserve"> share underlying determinants including motivation, opportunity, and capability (Michie et al., 2011). It also highlights the limitations of single-</w:t>
      </w:r>
      <w:r w:rsidR="0068298B" w:rsidRPr="00FD73B4">
        <w:rPr>
          <w:rFonts w:ascii="Arial" w:eastAsia="Times New Roman" w:hAnsi="Arial" w:cs="Arial"/>
        </w:rPr>
        <w:t>behavior</w:t>
      </w:r>
      <w:r w:rsidRPr="00FD73B4">
        <w:rPr>
          <w:rFonts w:ascii="Arial" w:eastAsia="Times New Roman" w:hAnsi="Arial" w:cs="Arial"/>
        </w:rPr>
        <w:t xml:space="preserve"> interventions and reinforces the need for multi-component prevention strategies.</w:t>
      </w:r>
    </w:p>
    <w:p w14:paraId="74AFB54E"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6.2.8 Gene–lifestyle interaction and public health implications</w:t>
      </w:r>
    </w:p>
    <w:p w14:paraId="13CB65A1" w14:textId="2F6CCBBF"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One of the most compelling findings of this review is the evidence that healthy lifestyle </w:t>
      </w:r>
      <w:r w:rsidR="0068298B" w:rsidRPr="00FD73B4">
        <w:rPr>
          <w:rFonts w:ascii="Arial" w:eastAsia="Times New Roman" w:hAnsi="Arial" w:cs="Arial"/>
        </w:rPr>
        <w:t>behaviors</w:t>
      </w:r>
      <w:r w:rsidRPr="00FD73B4">
        <w:rPr>
          <w:rFonts w:ascii="Arial" w:eastAsia="Times New Roman" w:hAnsi="Arial" w:cs="Arial"/>
        </w:rPr>
        <w:t xml:space="preserve"> can substantially mitigate genetic risk for stroke (Rutten-Jacobs et al., 2018). Individuals with high genetic susceptibility who adhered to healthy lifestyles had lower stroke risk than individuals with low genetic risk but unhealthy </w:t>
      </w:r>
      <w:r w:rsidR="0068298B" w:rsidRPr="00FD73B4">
        <w:rPr>
          <w:rFonts w:ascii="Arial" w:eastAsia="Times New Roman" w:hAnsi="Arial" w:cs="Arial"/>
        </w:rPr>
        <w:t>behaviors</w:t>
      </w:r>
      <w:r w:rsidRPr="00FD73B4">
        <w:rPr>
          <w:rFonts w:ascii="Arial" w:eastAsia="Times New Roman" w:hAnsi="Arial" w:cs="Arial"/>
        </w:rPr>
        <w:t>.</w:t>
      </w:r>
    </w:p>
    <w:p w14:paraId="7D06815D" w14:textId="7777777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This finding aligns with similar evidence in cardiovascular disease prevention (Khera et al., 2016) and challenges deterministic interpretations of genetic risk. From a policy perspective, it supports population-wide lifestyle interventions rather than stratified approaches based solely on genetic profiling, which may inadvertently widen health inequalities.</w:t>
      </w:r>
    </w:p>
    <w:p w14:paraId="2A327335"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6.2.9 Psychosocial barriers and real-world feasibility</w:t>
      </w:r>
    </w:p>
    <w:p w14:paraId="6C7A8281" w14:textId="7777777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qualitative findings from Lawrence et al. (2010) provide critical insight into why lifestyle interventions may fail despite strong epidemiological evidence. Participants described confusion due to inconsistent advice, limited family involvement, and psychological challenges following stroke.</w:t>
      </w:r>
    </w:p>
    <w:p w14:paraId="32ED8F4B" w14:textId="501DD318"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These findings align with </w:t>
      </w:r>
      <w:r w:rsidR="0068298B" w:rsidRPr="00FD73B4">
        <w:rPr>
          <w:rFonts w:ascii="Arial" w:eastAsia="Times New Roman" w:hAnsi="Arial" w:cs="Arial"/>
        </w:rPr>
        <w:t>behavior</w:t>
      </w:r>
      <w:r w:rsidRPr="00FD73B4">
        <w:rPr>
          <w:rFonts w:ascii="Arial" w:eastAsia="Times New Roman" w:hAnsi="Arial" w:cs="Arial"/>
        </w:rPr>
        <w:t xml:space="preserve"> change theory, particularly the COM-B and theory of planned </w:t>
      </w:r>
      <w:r w:rsidR="0068298B" w:rsidRPr="00FD73B4">
        <w:rPr>
          <w:rFonts w:ascii="Arial" w:eastAsia="Times New Roman" w:hAnsi="Arial" w:cs="Arial"/>
        </w:rPr>
        <w:t>behavior</w:t>
      </w:r>
      <w:r w:rsidRPr="00FD73B4">
        <w:rPr>
          <w:rFonts w:ascii="Arial" w:eastAsia="Times New Roman" w:hAnsi="Arial" w:cs="Arial"/>
        </w:rPr>
        <w:t xml:space="preserve"> frameworks, which </w:t>
      </w:r>
      <w:r w:rsidR="0068298B" w:rsidRPr="00FD73B4">
        <w:rPr>
          <w:rFonts w:ascii="Arial" w:eastAsia="Times New Roman" w:hAnsi="Arial" w:cs="Arial"/>
        </w:rPr>
        <w:t>emphasize</w:t>
      </w:r>
      <w:r w:rsidRPr="00FD73B4">
        <w:rPr>
          <w:rFonts w:ascii="Arial" w:eastAsia="Times New Roman" w:hAnsi="Arial" w:cs="Arial"/>
        </w:rPr>
        <w:t xml:space="preserve"> self-efficacy, perceived control, and social support (Ajzen, 1991; Michie et al., 2011). The inclusion of qualitative evidence strengthens this review </w:t>
      </w:r>
      <w:r w:rsidRPr="00FD73B4">
        <w:rPr>
          <w:rFonts w:ascii="Arial" w:eastAsia="Times New Roman" w:hAnsi="Arial" w:cs="Arial"/>
        </w:rPr>
        <w:lastRenderedPageBreak/>
        <w:t>by grounding epidemiological findings in lived experience and highlighting the importance of supportive, family-centred interventions.</w:t>
      </w:r>
    </w:p>
    <w:p w14:paraId="12816BA3"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6.2.10 Environmental context and unintended risk</w:t>
      </w:r>
    </w:p>
    <w:p w14:paraId="0A0B1353" w14:textId="3678B8C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Environmental exposure emerged as a complex and less intuitive determinant of stroke risk. Miguet et al. (2021) found that excessive time spent outdoors was associated with increased stroke risk, potentially due to air pollution, heat exposure, or socioeconomic confounding. While this contrasts with evidence on the benefits of green space exposure, it highlights the importance of contextual factors and cautions against overly </w:t>
      </w:r>
      <w:r w:rsidR="0068298B" w:rsidRPr="00FD73B4">
        <w:rPr>
          <w:rFonts w:ascii="Arial" w:eastAsia="Times New Roman" w:hAnsi="Arial" w:cs="Arial"/>
        </w:rPr>
        <w:t>generalized</w:t>
      </w:r>
      <w:r w:rsidRPr="00FD73B4">
        <w:rPr>
          <w:rFonts w:ascii="Arial" w:eastAsia="Times New Roman" w:hAnsi="Arial" w:cs="Arial"/>
        </w:rPr>
        <w:t xml:space="preserve"> assumptions.</w:t>
      </w:r>
    </w:p>
    <w:p w14:paraId="65F11916" w14:textId="3EF8DA19"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finding aligns with ecological models of health, which </w:t>
      </w:r>
      <w:r w:rsidR="0068298B" w:rsidRPr="00FD73B4">
        <w:rPr>
          <w:rFonts w:ascii="Arial" w:eastAsia="Times New Roman" w:hAnsi="Arial" w:cs="Arial"/>
        </w:rPr>
        <w:t>emphasize</w:t>
      </w:r>
      <w:r w:rsidRPr="00FD73B4">
        <w:rPr>
          <w:rFonts w:ascii="Arial" w:eastAsia="Times New Roman" w:hAnsi="Arial" w:cs="Arial"/>
        </w:rPr>
        <w:t xml:space="preserve"> the interaction between individuals and their environments, and underscores the need for context-sensitive public health guidance.</w:t>
      </w:r>
    </w:p>
    <w:p w14:paraId="0B23972F" w14:textId="77777777" w:rsidR="00DA4A3D" w:rsidRPr="00FD73B4" w:rsidRDefault="00DA4A3D" w:rsidP="00DA4A3D">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6.2.11 Critical reflection on the evidence base</w:t>
      </w:r>
    </w:p>
    <w:p w14:paraId="6F6BB007" w14:textId="263F3334"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Despite the overall consistency of findings, several limitations within the evidence base must be acknowledged. The predominance of observational designs limits causal inference, and self-reported dietary and lifestyle measures introduce potential recall bias. Additionally, UK Biobank participants are healthier and less socioeconomically deprived than the general population, which may limit </w:t>
      </w:r>
      <w:r w:rsidR="0068298B" w:rsidRPr="00FD73B4">
        <w:rPr>
          <w:rFonts w:ascii="Arial" w:eastAsia="Times New Roman" w:hAnsi="Arial" w:cs="Arial"/>
        </w:rPr>
        <w:t>generalizability</w:t>
      </w:r>
      <w:r w:rsidRPr="00FD73B4">
        <w:rPr>
          <w:rFonts w:ascii="Arial" w:eastAsia="Times New Roman" w:hAnsi="Arial" w:cs="Arial"/>
        </w:rPr>
        <w:t xml:space="preserve"> (Fry et al., 2017). These limitations highlight the need for cautious interpretation and further longitudinal and interventional research.</w:t>
      </w:r>
    </w:p>
    <w:p w14:paraId="4D644CEE" w14:textId="77777777" w:rsidR="00DA4A3D" w:rsidRPr="00FD73B4" w:rsidRDefault="00DA4A3D" w:rsidP="00DA4A3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6.3 Strengths and Limitations of the Review </w:t>
      </w:r>
    </w:p>
    <w:p w14:paraId="1BE81FEE" w14:textId="77777777"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A major strength of this review is its rigorous systematic methodology, guided by PRISMA standards and supported by critical appraisal using CASP and JBI tools. The exclusive focus on UK-based studies enhances contextual relevance and policy applicability. The use of thematic synthesis allowed integration of diverse quantitative and qualitative evidence, facilitating a nuanced and theory-informed interpretation of findings.</w:t>
      </w:r>
    </w:p>
    <w:p w14:paraId="331D9C4B" w14:textId="360CC8D2"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However, several limitations should be acknowledged. Restricting inclusion to UK-based studies limits international </w:t>
      </w:r>
      <w:r w:rsidR="0068298B" w:rsidRPr="00FD73B4">
        <w:rPr>
          <w:rFonts w:ascii="Arial" w:eastAsia="Times New Roman" w:hAnsi="Arial" w:cs="Arial"/>
        </w:rPr>
        <w:t>generalizability</w:t>
      </w:r>
      <w:r w:rsidRPr="00FD73B4">
        <w:rPr>
          <w:rFonts w:ascii="Arial" w:eastAsia="Times New Roman" w:hAnsi="Arial" w:cs="Arial"/>
        </w:rPr>
        <w:t xml:space="preserve">. The reliance on observational evidence limits causal inference, and heterogeneity in exposure measurement constrained direct comparison across studies. Potential publication bias and residual confounding may also have influenced findings. </w:t>
      </w:r>
      <w:r w:rsidRPr="00FD73B4">
        <w:rPr>
          <w:rFonts w:ascii="Arial" w:eastAsia="Times New Roman" w:hAnsi="Arial" w:cs="Arial"/>
        </w:rPr>
        <w:lastRenderedPageBreak/>
        <w:t>Nevertheless, these limitations are inherent to the existing evidence base and do not undermine the overall contribution of the review.</w:t>
      </w:r>
    </w:p>
    <w:p w14:paraId="65EB7417" w14:textId="77777777" w:rsidR="00DA4A3D" w:rsidRPr="00FD73B4" w:rsidRDefault="00DA4A3D" w:rsidP="00DA4A3D">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6.4 Chapter Summary </w:t>
      </w:r>
    </w:p>
    <w:p w14:paraId="14D173B8" w14:textId="76EBA2CF" w:rsidR="00DA4A3D" w:rsidRPr="00FD73B4" w:rsidRDefault="00DA4A3D" w:rsidP="00DA4A3D">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 this chapter, I critically discussed the findings of this systematic literature review in relation to existing evidence, theory, and public health practice. The discussion demonstrated that diet quality, physical activity, sedentary </w:t>
      </w:r>
      <w:r w:rsidR="0068298B" w:rsidRPr="00FD73B4">
        <w:rPr>
          <w:rFonts w:ascii="Arial" w:eastAsia="Times New Roman" w:hAnsi="Arial" w:cs="Arial"/>
        </w:rPr>
        <w:t>behavior</w:t>
      </w:r>
      <w:r w:rsidRPr="00FD73B4">
        <w:rPr>
          <w:rFonts w:ascii="Arial" w:eastAsia="Times New Roman" w:hAnsi="Arial" w:cs="Arial"/>
        </w:rPr>
        <w:t>, lifestyle clustering, genetic susceptibility, psychosocial factors, and environmental context collectively shape stroke risk. While the findings largely align with established research, they also reveal important complexities and contextual considerations. This chapter provides a robust foundation for the conclusions and recommendations presented in the final chapter.</w:t>
      </w:r>
    </w:p>
    <w:p w14:paraId="2D5E4A31" w14:textId="67087EC0" w:rsidR="00DA4A3D" w:rsidRPr="00FD73B4" w:rsidRDefault="00DA4A3D" w:rsidP="00176465">
      <w:pPr>
        <w:spacing w:line="360" w:lineRule="auto"/>
        <w:rPr>
          <w:rFonts w:ascii="Arial" w:hAnsi="Arial" w:cs="Arial"/>
        </w:rPr>
      </w:pPr>
    </w:p>
    <w:p w14:paraId="4BF38788" w14:textId="77777777" w:rsidR="00DA4A3D" w:rsidRPr="00FD73B4" w:rsidRDefault="00DA4A3D">
      <w:pPr>
        <w:rPr>
          <w:rFonts w:ascii="Arial" w:hAnsi="Arial" w:cs="Arial"/>
        </w:rPr>
      </w:pPr>
      <w:r w:rsidRPr="00FD73B4">
        <w:rPr>
          <w:rFonts w:ascii="Arial" w:hAnsi="Arial" w:cs="Arial"/>
        </w:rPr>
        <w:br w:type="page"/>
      </w:r>
    </w:p>
    <w:p w14:paraId="31B48A62" w14:textId="77777777" w:rsidR="0060140F" w:rsidRPr="00292705" w:rsidRDefault="0060140F" w:rsidP="00617220">
      <w:pPr>
        <w:spacing w:before="100" w:beforeAutospacing="1" w:after="100" w:afterAutospacing="1" w:line="360" w:lineRule="auto"/>
        <w:jc w:val="center"/>
        <w:outlineLvl w:val="0"/>
        <w:rPr>
          <w:rFonts w:ascii="Arial" w:eastAsia="Times New Roman" w:hAnsi="Arial" w:cs="Arial"/>
          <w:b/>
          <w:bCs/>
          <w:kern w:val="36"/>
          <w:sz w:val="24"/>
          <w:szCs w:val="24"/>
        </w:rPr>
      </w:pPr>
      <w:r w:rsidRPr="00292705">
        <w:rPr>
          <w:rFonts w:ascii="Arial" w:eastAsia="Times New Roman" w:hAnsi="Arial" w:cs="Arial"/>
          <w:b/>
          <w:bCs/>
          <w:kern w:val="36"/>
          <w:sz w:val="24"/>
          <w:szCs w:val="24"/>
        </w:rPr>
        <w:lastRenderedPageBreak/>
        <w:t>CHAPTER 7: RECOMMENDATIONS AND CONCLUSION</w:t>
      </w:r>
    </w:p>
    <w:p w14:paraId="762D9662" w14:textId="77777777" w:rsidR="0060140F" w:rsidRPr="00FD73B4" w:rsidRDefault="0060140F" w:rsidP="0060140F">
      <w:pPr>
        <w:spacing w:after="0" w:line="360" w:lineRule="auto"/>
        <w:rPr>
          <w:rFonts w:ascii="Arial" w:eastAsia="Times New Roman" w:hAnsi="Arial" w:cs="Arial"/>
        </w:rPr>
      </w:pPr>
    </w:p>
    <w:p w14:paraId="4DEF2410" w14:textId="77777777" w:rsidR="0060140F" w:rsidRPr="00FD73B4" w:rsidRDefault="0060140F" w:rsidP="0060140F">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7.1 Introduction to the Chapter </w:t>
      </w:r>
    </w:p>
    <w:p w14:paraId="6A475A65" w14:textId="0CC96067"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 this final chapter, I present the recommendations and overall conclusion of this systematic literature review. Drawing exclusively on the findings </w:t>
      </w:r>
      <w:r w:rsidR="0068298B" w:rsidRPr="00FD73B4">
        <w:rPr>
          <w:rFonts w:ascii="Arial" w:eastAsia="Times New Roman" w:hAnsi="Arial" w:cs="Arial"/>
        </w:rPr>
        <w:t>synthesized</w:t>
      </w:r>
      <w:r w:rsidRPr="00FD73B4">
        <w:rPr>
          <w:rFonts w:ascii="Arial" w:eastAsia="Times New Roman" w:hAnsi="Arial" w:cs="Arial"/>
        </w:rPr>
        <w:t xml:space="preserve"> in Chapters 5 and 6, the chapter outlines the implications of the review for public health practice, policy, and future research related to lifestyle-based stroke prevention among adults in the United Kingdom. Detailed and evidence-informed recommendations are provided, structured into clear sub-sections to reflect best practice in flagship SLR dissertations. The chapter concludes by restating the research topic and question, </w:t>
      </w:r>
      <w:r w:rsidR="0068298B" w:rsidRPr="00FD73B4">
        <w:rPr>
          <w:rFonts w:ascii="Arial" w:eastAsia="Times New Roman" w:hAnsi="Arial" w:cs="Arial"/>
        </w:rPr>
        <w:t>summarizing</w:t>
      </w:r>
      <w:r w:rsidRPr="00FD73B4">
        <w:rPr>
          <w:rFonts w:ascii="Arial" w:eastAsia="Times New Roman" w:hAnsi="Arial" w:cs="Arial"/>
        </w:rPr>
        <w:t xml:space="preserve"> the main findings, highlighting their significance, and reflecting on the overall contribution of this study.</w:t>
      </w:r>
    </w:p>
    <w:p w14:paraId="61F1C027" w14:textId="77777777" w:rsidR="0060140F" w:rsidRPr="00FD73B4" w:rsidRDefault="0060140F" w:rsidP="0060140F">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7.2 Implications of the Findings </w:t>
      </w:r>
    </w:p>
    <w:p w14:paraId="1265881D"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7.2.1 Implications for stroke prevention and public health</w:t>
      </w:r>
    </w:p>
    <w:p w14:paraId="5C23823F" w14:textId="1EE16CCE"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findings of this review have important implications for stroke prevention within the UK public health context. The evidence demonstrates that modifiable lifestyle </w:t>
      </w:r>
      <w:r w:rsidR="0068298B" w:rsidRPr="00FD73B4">
        <w:rPr>
          <w:rFonts w:ascii="Arial" w:eastAsia="Times New Roman" w:hAnsi="Arial" w:cs="Arial"/>
        </w:rPr>
        <w:t>behaviors</w:t>
      </w:r>
      <w:r w:rsidRPr="00FD73B4">
        <w:rPr>
          <w:rFonts w:ascii="Arial" w:eastAsia="Times New Roman" w:hAnsi="Arial" w:cs="Arial"/>
        </w:rPr>
        <w:t xml:space="preserve">—particularly diet quality, physical activity, sedentary </w:t>
      </w:r>
      <w:r w:rsidR="0068298B" w:rsidRPr="00FD73B4">
        <w:rPr>
          <w:rFonts w:ascii="Arial" w:eastAsia="Times New Roman" w:hAnsi="Arial" w:cs="Arial"/>
        </w:rPr>
        <w:t>behavior</w:t>
      </w:r>
      <w:r w:rsidRPr="00FD73B4">
        <w:rPr>
          <w:rFonts w:ascii="Arial" w:eastAsia="Times New Roman" w:hAnsi="Arial" w:cs="Arial"/>
        </w:rPr>
        <w:t xml:space="preserve">, and </w:t>
      </w:r>
      <w:r w:rsidR="0068298B" w:rsidRPr="00FD73B4">
        <w:rPr>
          <w:rFonts w:ascii="Arial" w:eastAsia="Times New Roman" w:hAnsi="Arial" w:cs="Arial"/>
        </w:rPr>
        <w:t>behavioral</w:t>
      </w:r>
      <w:r w:rsidRPr="00FD73B4">
        <w:rPr>
          <w:rFonts w:ascii="Arial" w:eastAsia="Times New Roman" w:hAnsi="Arial" w:cs="Arial"/>
        </w:rPr>
        <w:t xml:space="preserve"> clustering—play a central role in influencing stroke risk. This reinforces the view that </w:t>
      </w:r>
      <w:r w:rsidR="0068298B" w:rsidRPr="00FD73B4">
        <w:rPr>
          <w:rFonts w:ascii="Arial" w:eastAsia="Times New Roman" w:hAnsi="Arial" w:cs="Arial"/>
        </w:rPr>
        <w:t>strokes are</w:t>
      </w:r>
      <w:r w:rsidRPr="00FD73B4">
        <w:rPr>
          <w:rFonts w:ascii="Arial" w:eastAsia="Times New Roman" w:hAnsi="Arial" w:cs="Arial"/>
        </w:rPr>
        <w:t>, to a significant extent, preventable through sustained lifestyle modification.</w:t>
      </w:r>
    </w:p>
    <w:p w14:paraId="59489030"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7.2.2 Implications for equity and population-wide approaches</w:t>
      </w:r>
    </w:p>
    <w:p w14:paraId="4FD07174" w14:textId="6D96A7ED"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finding that healthy lifestyle </w:t>
      </w:r>
      <w:r w:rsidR="0068298B" w:rsidRPr="00FD73B4">
        <w:rPr>
          <w:rFonts w:ascii="Arial" w:eastAsia="Times New Roman" w:hAnsi="Arial" w:cs="Arial"/>
        </w:rPr>
        <w:t>behaviors</w:t>
      </w:r>
      <w:r w:rsidRPr="00FD73B4">
        <w:rPr>
          <w:rFonts w:ascii="Arial" w:eastAsia="Times New Roman" w:hAnsi="Arial" w:cs="Arial"/>
        </w:rPr>
        <w:t xml:space="preserve"> mitigate stroke risk even among individuals with high genetic susceptibility highlights the importance of population-wide prevention strategies rather than genetically targeted approaches alone. This has implications for reducing health inequalities, as lifestyle-based interventions can be implemented broadly across communities when appropriately supported and tailored.</w:t>
      </w:r>
    </w:p>
    <w:p w14:paraId="36E63E8D" w14:textId="77777777" w:rsidR="00617220" w:rsidRPr="00FD73B4" w:rsidRDefault="00617220" w:rsidP="0060140F">
      <w:pPr>
        <w:spacing w:before="100" w:beforeAutospacing="1" w:after="100" w:afterAutospacing="1" w:line="360" w:lineRule="auto"/>
        <w:outlineLvl w:val="1"/>
        <w:rPr>
          <w:rFonts w:ascii="Arial" w:eastAsia="Times New Roman" w:hAnsi="Arial" w:cs="Arial"/>
        </w:rPr>
      </w:pPr>
    </w:p>
    <w:p w14:paraId="5789F343" w14:textId="77777777" w:rsidR="00617220" w:rsidRPr="00FD73B4" w:rsidRDefault="00617220" w:rsidP="0060140F">
      <w:pPr>
        <w:spacing w:before="100" w:beforeAutospacing="1" w:after="100" w:afterAutospacing="1" w:line="360" w:lineRule="auto"/>
        <w:outlineLvl w:val="1"/>
        <w:rPr>
          <w:rFonts w:ascii="Arial" w:eastAsia="Times New Roman" w:hAnsi="Arial" w:cs="Arial"/>
        </w:rPr>
      </w:pPr>
    </w:p>
    <w:p w14:paraId="52331241" w14:textId="39FA6F3B" w:rsidR="0060140F" w:rsidRPr="00FD73B4" w:rsidRDefault="0060140F" w:rsidP="0060140F">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lastRenderedPageBreak/>
        <w:t xml:space="preserve">7.3 Recommendations for Practice </w:t>
      </w:r>
    </w:p>
    <w:p w14:paraId="0C503802"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7.3.1 Recommendations for healthcare professionals</w:t>
      </w:r>
    </w:p>
    <w:p w14:paraId="7C8169E2" w14:textId="3462EEC2"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Healthcare professionals should </w:t>
      </w:r>
      <w:r w:rsidR="0068298B" w:rsidRPr="00FD73B4">
        <w:rPr>
          <w:rFonts w:ascii="Arial" w:eastAsia="Times New Roman" w:hAnsi="Arial" w:cs="Arial"/>
        </w:rPr>
        <w:t>prioritize</w:t>
      </w:r>
      <w:r w:rsidRPr="00FD73B4">
        <w:rPr>
          <w:rFonts w:ascii="Arial" w:eastAsia="Times New Roman" w:hAnsi="Arial" w:cs="Arial"/>
        </w:rPr>
        <w:t xml:space="preserve"> the promotion of overall diet quality rather than focusing solely on individual nutrients or restrictive dietary patterns. Dietary advice should </w:t>
      </w:r>
      <w:r w:rsidR="0068298B" w:rsidRPr="00FD73B4">
        <w:rPr>
          <w:rFonts w:ascii="Arial" w:eastAsia="Times New Roman" w:hAnsi="Arial" w:cs="Arial"/>
        </w:rPr>
        <w:t>emphasize</w:t>
      </w:r>
      <w:r w:rsidRPr="00FD73B4">
        <w:rPr>
          <w:rFonts w:ascii="Arial" w:eastAsia="Times New Roman" w:hAnsi="Arial" w:cs="Arial"/>
        </w:rPr>
        <w:t xml:space="preserve"> balanced, fibre-rich diets and ensure nutritional adequacy, particularly for individuals following vegetarian or plant-based diets. Clinicians should also </w:t>
      </w:r>
      <w:r w:rsidR="0068298B" w:rsidRPr="00FD73B4">
        <w:rPr>
          <w:rFonts w:ascii="Arial" w:eastAsia="Times New Roman" w:hAnsi="Arial" w:cs="Arial"/>
        </w:rPr>
        <w:t>recognize</w:t>
      </w:r>
      <w:r w:rsidRPr="00FD73B4">
        <w:rPr>
          <w:rFonts w:ascii="Arial" w:eastAsia="Times New Roman" w:hAnsi="Arial" w:cs="Arial"/>
        </w:rPr>
        <w:t xml:space="preserve"> the importance of reducing sedentary </w:t>
      </w:r>
      <w:r w:rsidR="0068298B" w:rsidRPr="00FD73B4">
        <w:rPr>
          <w:rFonts w:ascii="Arial" w:eastAsia="Times New Roman" w:hAnsi="Arial" w:cs="Arial"/>
        </w:rPr>
        <w:t>behavior</w:t>
      </w:r>
      <w:r w:rsidRPr="00FD73B4">
        <w:rPr>
          <w:rFonts w:ascii="Arial" w:eastAsia="Times New Roman" w:hAnsi="Arial" w:cs="Arial"/>
        </w:rPr>
        <w:t xml:space="preserve"> alongside promoting physical activity.</w:t>
      </w:r>
    </w:p>
    <w:p w14:paraId="0BC7F60C" w14:textId="1EEC8229"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 xml:space="preserve">7.3.2 Recommendations for public health </w:t>
      </w:r>
      <w:r w:rsidR="0068298B" w:rsidRPr="00FD73B4">
        <w:rPr>
          <w:rFonts w:ascii="Arial" w:eastAsia="Times New Roman" w:hAnsi="Arial" w:cs="Arial"/>
          <w:b/>
          <w:bCs/>
        </w:rPr>
        <w:t>programs</w:t>
      </w:r>
    </w:p>
    <w:p w14:paraId="1136D00D" w14:textId="22AC0A46"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Public health interventions should adopt flexible physical activity messaging, acknowledging that achieving recommended activity levels—regardless of weekly distribution—confers meaningful protective benefits. Stroke prevention </w:t>
      </w:r>
      <w:r w:rsidR="0068298B" w:rsidRPr="00FD73B4">
        <w:rPr>
          <w:rFonts w:ascii="Arial" w:eastAsia="Times New Roman" w:hAnsi="Arial" w:cs="Arial"/>
        </w:rPr>
        <w:t>programs</w:t>
      </w:r>
      <w:r w:rsidRPr="00FD73B4">
        <w:rPr>
          <w:rFonts w:ascii="Arial" w:eastAsia="Times New Roman" w:hAnsi="Arial" w:cs="Arial"/>
        </w:rPr>
        <w:t xml:space="preserve"> should address clusters of lifestyle </w:t>
      </w:r>
      <w:r w:rsidR="0068298B" w:rsidRPr="00FD73B4">
        <w:rPr>
          <w:rFonts w:ascii="Arial" w:eastAsia="Times New Roman" w:hAnsi="Arial" w:cs="Arial"/>
        </w:rPr>
        <w:t>behaviors</w:t>
      </w:r>
      <w:r w:rsidRPr="00FD73B4">
        <w:rPr>
          <w:rFonts w:ascii="Arial" w:eastAsia="Times New Roman" w:hAnsi="Arial" w:cs="Arial"/>
        </w:rPr>
        <w:t xml:space="preserve"> through integrated interventions rather than isolated </w:t>
      </w:r>
      <w:r w:rsidR="0068298B" w:rsidRPr="00FD73B4">
        <w:rPr>
          <w:rFonts w:ascii="Arial" w:eastAsia="Times New Roman" w:hAnsi="Arial" w:cs="Arial"/>
        </w:rPr>
        <w:t>behavior</w:t>
      </w:r>
      <w:r w:rsidRPr="00FD73B4">
        <w:rPr>
          <w:rFonts w:ascii="Arial" w:eastAsia="Times New Roman" w:hAnsi="Arial" w:cs="Arial"/>
        </w:rPr>
        <w:t xml:space="preserve"> change strategies.</w:t>
      </w:r>
    </w:p>
    <w:p w14:paraId="7ED84435"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7.3.3 Recommendations for supportive and person-centred care</w:t>
      </w:r>
    </w:p>
    <w:p w14:paraId="49BD9C04" w14:textId="51DA5E06"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Interventions should incorporate psychosocial support, involve family members where appropriate, and provide consistent, clear guidance to enhance motivation, adherence, and long-term </w:t>
      </w:r>
      <w:r w:rsidR="0068298B" w:rsidRPr="00FD73B4">
        <w:rPr>
          <w:rFonts w:ascii="Arial" w:eastAsia="Times New Roman" w:hAnsi="Arial" w:cs="Arial"/>
        </w:rPr>
        <w:t>behavior</w:t>
      </w:r>
      <w:r w:rsidRPr="00FD73B4">
        <w:rPr>
          <w:rFonts w:ascii="Arial" w:eastAsia="Times New Roman" w:hAnsi="Arial" w:cs="Arial"/>
        </w:rPr>
        <w:t xml:space="preserve"> change.</w:t>
      </w:r>
    </w:p>
    <w:p w14:paraId="33889863" w14:textId="77777777" w:rsidR="0060140F" w:rsidRPr="00FD73B4" w:rsidRDefault="0060140F" w:rsidP="0060140F">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7.4 Recommendations for Future Research (≈170 words)</w:t>
      </w:r>
    </w:p>
    <w:p w14:paraId="1A4ACF3B"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7.4.1 Methodological recommendations</w:t>
      </w:r>
    </w:p>
    <w:p w14:paraId="42FCC5ED" w14:textId="4A30836B"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Future research should </w:t>
      </w:r>
      <w:r w:rsidR="00292705" w:rsidRPr="00FD73B4">
        <w:rPr>
          <w:rFonts w:ascii="Arial" w:eastAsia="Times New Roman" w:hAnsi="Arial" w:cs="Arial"/>
        </w:rPr>
        <w:t>prioritize</w:t>
      </w:r>
      <w:r w:rsidRPr="00FD73B4">
        <w:rPr>
          <w:rFonts w:ascii="Arial" w:eastAsia="Times New Roman" w:hAnsi="Arial" w:cs="Arial"/>
        </w:rPr>
        <w:t xml:space="preserve"> longitudinal and interventional designs to strengthen causal inference regarding lifestyle </w:t>
      </w:r>
      <w:r w:rsidR="00292705" w:rsidRPr="00FD73B4">
        <w:rPr>
          <w:rFonts w:ascii="Arial" w:eastAsia="Times New Roman" w:hAnsi="Arial" w:cs="Arial"/>
        </w:rPr>
        <w:t>behaviors</w:t>
      </w:r>
      <w:r w:rsidRPr="00FD73B4">
        <w:rPr>
          <w:rFonts w:ascii="Arial" w:eastAsia="Times New Roman" w:hAnsi="Arial" w:cs="Arial"/>
        </w:rPr>
        <w:t xml:space="preserve"> and stroke risk. This is particularly important for sedentary </w:t>
      </w:r>
      <w:r w:rsidR="00292705" w:rsidRPr="00FD73B4">
        <w:rPr>
          <w:rFonts w:ascii="Arial" w:eastAsia="Times New Roman" w:hAnsi="Arial" w:cs="Arial"/>
        </w:rPr>
        <w:t>behavior</w:t>
      </w:r>
      <w:r w:rsidRPr="00FD73B4">
        <w:rPr>
          <w:rFonts w:ascii="Arial" w:eastAsia="Times New Roman" w:hAnsi="Arial" w:cs="Arial"/>
        </w:rPr>
        <w:t xml:space="preserve"> and time-use substitution, where evidence is emerging but remains limited.</w:t>
      </w:r>
    </w:p>
    <w:p w14:paraId="7641F77A"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7.4.2 Subgroup and contextual research</w:t>
      </w:r>
    </w:p>
    <w:p w14:paraId="5BBFF01D" w14:textId="77777777"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Further research should explore sex-specific and subgroup differences in lifestyle-related stroke risk, as identified in this review, to inform more tailored prevention strategies. Greater attention should also be paid to socioeconomically disadvantaged populations.</w:t>
      </w:r>
    </w:p>
    <w:p w14:paraId="6D6B7ED8"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7.4.3 Implementation-focused research</w:t>
      </w:r>
    </w:p>
    <w:p w14:paraId="4FEE1D67" w14:textId="1B51F120"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Additional qualitative and mixed-methods research is recommended to better understand psychosocial, cultural, and environmental barriers to lifestyle change. Future studies should also evaluate how integrated, multi-</w:t>
      </w:r>
      <w:r w:rsidR="0068298B" w:rsidRPr="00FD73B4">
        <w:rPr>
          <w:rFonts w:ascii="Arial" w:eastAsia="Times New Roman" w:hAnsi="Arial" w:cs="Arial"/>
        </w:rPr>
        <w:t>behavior</w:t>
      </w:r>
      <w:r w:rsidRPr="00FD73B4">
        <w:rPr>
          <w:rFonts w:ascii="Arial" w:eastAsia="Times New Roman" w:hAnsi="Arial" w:cs="Arial"/>
        </w:rPr>
        <w:t xml:space="preserve"> interventions can be effectively implemented in real-world healthcare and community settings.</w:t>
      </w:r>
    </w:p>
    <w:p w14:paraId="588DF444" w14:textId="77777777" w:rsidR="0060140F" w:rsidRPr="00FD73B4" w:rsidRDefault="0060140F" w:rsidP="0060140F">
      <w:pPr>
        <w:spacing w:before="100" w:beforeAutospacing="1" w:after="100" w:afterAutospacing="1" w:line="360" w:lineRule="auto"/>
        <w:outlineLvl w:val="1"/>
        <w:rPr>
          <w:rFonts w:ascii="Arial" w:eastAsia="Times New Roman" w:hAnsi="Arial" w:cs="Arial"/>
          <w:b/>
          <w:bCs/>
        </w:rPr>
      </w:pPr>
      <w:r w:rsidRPr="00FD73B4">
        <w:rPr>
          <w:rFonts w:ascii="Arial" w:eastAsia="Times New Roman" w:hAnsi="Arial" w:cs="Arial"/>
          <w:b/>
          <w:bCs/>
        </w:rPr>
        <w:t xml:space="preserve">7.5 Conclusion </w:t>
      </w:r>
    </w:p>
    <w:p w14:paraId="58E0C339"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7.5.1 Restatement of the research topic and question</w:t>
      </w:r>
    </w:p>
    <w:p w14:paraId="41AE3879" w14:textId="2D1371BC"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This systematic literature review explored the impact of lifestyle behaviours on stroke incidence among adults in the United Kingdom. The review was guided by the research question: </w:t>
      </w:r>
      <w:r w:rsidRPr="00FD73B4">
        <w:rPr>
          <w:rFonts w:ascii="Arial" w:eastAsia="Times New Roman" w:hAnsi="Arial" w:cs="Arial"/>
          <w:i/>
          <w:iCs/>
        </w:rPr>
        <w:t xml:space="preserve">How do lifestyle </w:t>
      </w:r>
      <w:r w:rsidR="0068298B" w:rsidRPr="00FD73B4">
        <w:rPr>
          <w:rFonts w:ascii="Arial" w:eastAsia="Times New Roman" w:hAnsi="Arial" w:cs="Arial"/>
          <w:i/>
          <w:iCs/>
        </w:rPr>
        <w:t>behaviors</w:t>
      </w:r>
      <w:r w:rsidRPr="00FD73B4">
        <w:rPr>
          <w:rFonts w:ascii="Arial" w:eastAsia="Times New Roman" w:hAnsi="Arial" w:cs="Arial"/>
          <w:i/>
          <w:iCs/>
        </w:rPr>
        <w:t xml:space="preserve">, including diet, physical activity, sedentary </w:t>
      </w:r>
      <w:r w:rsidR="0068298B" w:rsidRPr="00FD73B4">
        <w:rPr>
          <w:rFonts w:ascii="Arial" w:eastAsia="Times New Roman" w:hAnsi="Arial" w:cs="Arial"/>
          <w:i/>
          <w:iCs/>
        </w:rPr>
        <w:t>behavior</w:t>
      </w:r>
      <w:r w:rsidRPr="00FD73B4">
        <w:rPr>
          <w:rFonts w:ascii="Arial" w:eastAsia="Times New Roman" w:hAnsi="Arial" w:cs="Arial"/>
          <w:i/>
          <w:iCs/>
        </w:rPr>
        <w:t>, and related factors, influence the risk of stroke among UK adults?</w:t>
      </w:r>
    </w:p>
    <w:p w14:paraId="53B960D5"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7.5.2 Summary of main findings</w:t>
      </w:r>
    </w:p>
    <w:p w14:paraId="09C4B448" w14:textId="0CFC1DFB"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Through a rigorous systematic review and thematic synthesis of ten UK-based studies, this review identified that modifiable lifestyle </w:t>
      </w:r>
      <w:r w:rsidR="0068298B" w:rsidRPr="00FD73B4">
        <w:rPr>
          <w:rFonts w:ascii="Arial" w:eastAsia="Times New Roman" w:hAnsi="Arial" w:cs="Arial"/>
        </w:rPr>
        <w:t>behaviors</w:t>
      </w:r>
      <w:r w:rsidRPr="00FD73B4">
        <w:rPr>
          <w:rFonts w:ascii="Arial" w:eastAsia="Times New Roman" w:hAnsi="Arial" w:cs="Arial"/>
        </w:rPr>
        <w:t xml:space="preserve"> play a decisive role in shaping stroke risk. Higher overall diet quality, balanced dietary patterns, increased physical activity, and reduced sedentary </w:t>
      </w:r>
      <w:r w:rsidR="0068298B" w:rsidRPr="00FD73B4">
        <w:rPr>
          <w:rFonts w:ascii="Arial" w:eastAsia="Times New Roman" w:hAnsi="Arial" w:cs="Arial"/>
        </w:rPr>
        <w:t>behavior</w:t>
      </w:r>
      <w:r w:rsidRPr="00FD73B4">
        <w:rPr>
          <w:rFonts w:ascii="Arial" w:eastAsia="Times New Roman" w:hAnsi="Arial" w:cs="Arial"/>
        </w:rPr>
        <w:t xml:space="preserve"> were consistently associated with lower stroke incidence. Conversely, clustering of unhealthy </w:t>
      </w:r>
      <w:r w:rsidR="0068298B" w:rsidRPr="00FD73B4">
        <w:rPr>
          <w:rFonts w:ascii="Arial" w:eastAsia="Times New Roman" w:hAnsi="Arial" w:cs="Arial"/>
        </w:rPr>
        <w:t>behaviors</w:t>
      </w:r>
      <w:r w:rsidRPr="00FD73B4">
        <w:rPr>
          <w:rFonts w:ascii="Arial" w:eastAsia="Times New Roman" w:hAnsi="Arial" w:cs="Arial"/>
        </w:rPr>
        <w:t xml:space="preserve"> substantially increased stroke risk. Importantly, adherence to healthy lifestyles mitigated stroke risk even among individuals with high genetic susceptibility.</w:t>
      </w:r>
    </w:p>
    <w:p w14:paraId="5A44ED05" w14:textId="6DBF7680"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The review also highlighted important complexities, including subtype-specific dietary risks and the influence of psychosocial and environmental factors on the feasibility of lifestyle change. These findings demonstrate that while lifestyle modification is highly effective, its success depends on </w:t>
      </w:r>
      <w:r w:rsidR="0068298B" w:rsidRPr="00FD73B4">
        <w:rPr>
          <w:rFonts w:ascii="Arial" w:eastAsia="Times New Roman" w:hAnsi="Arial" w:cs="Arial"/>
        </w:rPr>
        <w:t>behavioral</w:t>
      </w:r>
      <w:r w:rsidRPr="00FD73B4">
        <w:rPr>
          <w:rFonts w:ascii="Arial" w:eastAsia="Times New Roman" w:hAnsi="Arial" w:cs="Arial"/>
        </w:rPr>
        <w:t xml:space="preserve"> context, support, and sustainability.</w:t>
      </w:r>
    </w:p>
    <w:p w14:paraId="2145C1DE"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t>7.5.3 Significance and contribution of the study</w:t>
      </w:r>
    </w:p>
    <w:p w14:paraId="0C2B2E74" w14:textId="77777777"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The significance of this review lies in its synthesis of high-quality, UK-specific evidence, offering findings that are directly relevant to national public health policy and practice. By integrating quantitative and qualitative evidence, the review provides a nuanced understanding of both the effectiveness and the challenges of lifestyle-based stroke prevention.</w:t>
      </w:r>
    </w:p>
    <w:p w14:paraId="6FA1D295" w14:textId="77777777" w:rsidR="0060140F" w:rsidRPr="00FD73B4" w:rsidRDefault="0060140F" w:rsidP="0060140F">
      <w:pPr>
        <w:spacing w:before="100" w:beforeAutospacing="1" w:after="100" w:afterAutospacing="1" w:line="360" w:lineRule="auto"/>
        <w:outlineLvl w:val="2"/>
        <w:rPr>
          <w:rFonts w:ascii="Arial" w:eastAsia="Times New Roman" w:hAnsi="Arial" w:cs="Arial"/>
          <w:b/>
          <w:bCs/>
        </w:rPr>
      </w:pPr>
      <w:r w:rsidRPr="00FD73B4">
        <w:rPr>
          <w:rFonts w:ascii="Arial" w:eastAsia="Times New Roman" w:hAnsi="Arial" w:cs="Arial"/>
          <w:b/>
          <w:bCs/>
        </w:rPr>
        <w:lastRenderedPageBreak/>
        <w:t>7.5.4 Concluding statement</w:t>
      </w:r>
    </w:p>
    <w:p w14:paraId="2E18920B" w14:textId="4AA50DDD" w:rsidR="0060140F" w:rsidRPr="00FD73B4" w:rsidRDefault="0060140F" w:rsidP="0060140F">
      <w:pPr>
        <w:spacing w:before="100" w:beforeAutospacing="1" w:after="100" w:afterAutospacing="1" w:line="360" w:lineRule="auto"/>
        <w:rPr>
          <w:rFonts w:ascii="Arial" w:eastAsia="Times New Roman" w:hAnsi="Arial" w:cs="Arial"/>
        </w:rPr>
      </w:pPr>
      <w:r w:rsidRPr="00FD73B4">
        <w:rPr>
          <w:rFonts w:ascii="Arial" w:eastAsia="Times New Roman" w:hAnsi="Arial" w:cs="Arial"/>
        </w:rPr>
        <w:t xml:space="preserve">In conclusion, this review demonstrates that stroke prevention in the UK should </w:t>
      </w:r>
      <w:r w:rsidR="009F55EE" w:rsidRPr="00FD73B4">
        <w:rPr>
          <w:rFonts w:ascii="Arial" w:eastAsia="Times New Roman" w:hAnsi="Arial" w:cs="Arial"/>
        </w:rPr>
        <w:t>prioritize</w:t>
      </w:r>
      <w:r w:rsidRPr="00FD73B4">
        <w:rPr>
          <w:rFonts w:ascii="Arial" w:eastAsia="Times New Roman" w:hAnsi="Arial" w:cs="Arial"/>
        </w:rPr>
        <w:t xml:space="preserve"> integrated, flexible, and person-centred lifestyle interventions. The findings reinforce that stroke is largely preventable through modifiable </w:t>
      </w:r>
      <w:r w:rsidR="009F55EE" w:rsidRPr="00FD73B4">
        <w:rPr>
          <w:rFonts w:ascii="Arial" w:eastAsia="Times New Roman" w:hAnsi="Arial" w:cs="Arial"/>
        </w:rPr>
        <w:t>behaviors</w:t>
      </w:r>
      <w:r w:rsidRPr="00FD73B4">
        <w:rPr>
          <w:rFonts w:ascii="Arial" w:eastAsia="Times New Roman" w:hAnsi="Arial" w:cs="Arial"/>
        </w:rPr>
        <w:t xml:space="preserve"> and that effective prevention requires consideration of cumulative risk, </w:t>
      </w:r>
      <w:r w:rsidR="009F55EE" w:rsidRPr="00FD73B4">
        <w:rPr>
          <w:rFonts w:ascii="Arial" w:eastAsia="Times New Roman" w:hAnsi="Arial" w:cs="Arial"/>
        </w:rPr>
        <w:t>behavioral</w:t>
      </w:r>
      <w:r w:rsidRPr="00FD73B4">
        <w:rPr>
          <w:rFonts w:ascii="Arial" w:eastAsia="Times New Roman" w:hAnsi="Arial" w:cs="Arial"/>
        </w:rPr>
        <w:t xml:space="preserve"> feasibility, and contextual factors. This study provides a robust foundation for informing practice, guiding future research, and supporting the development of effective public health strategies aimed at reducing the burden of stroke.</w:t>
      </w:r>
    </w:p>
    <w:p w14:paraId="7FA789D5" w14:textId="76F3E555" w:rsidR="009F55EE" w:rsidRPr="00FD73B4" w:rsidRDefault="009F55EE" w:rsidP="0060140F">
      <w:pPr>
        <w:spacing w:line="360" w:lineRule="auto"/>
        <w:rPr>
          <w:rFonts w:ascii="Arial" w:hAnsi="Arial" w:cs="Arial"/>
        </w:rPr>
      </w:pPr>
    </w:p>
    <w:p w14:paraId="05B1F4AE" w14:textId="77777777" w:rsidR="009F55EE" w:rsidRPr="00FD73B4" w:rsidRDefault="009F55EE">
      <w:pPr>
        <w:rPr>
          <w:rFonts w:ascii="Arial" w:hAnsi="Arial" w:cs="Arial"/>
        </w:rPr>
      </w:pPr>
      <w:r w:rsidRPr="00FD73B4">
        <w:rPr>
          <w:rFonts w:ascii="Arial" w:hAnsi="Arial" w:cs="Arial"/>
        </w:rPr>
        <w:br w:type="page"/>
      </w:r>
    </w:p>
    <w:p w14:paraId="2853A851" w14:textId="77777777" w:rsidR="009F55EE" w:rsidRPr="00292705" w:rsidRDefault="009F55EE" w:rsidP="00292705">
      <w:pPr>
        <w:pStyle w:val="ListParagraph"/>
        <w:spacing w:after="0" w:line="360" w:lineRule="auto"/>
        <w:jc w:val="center"/>
        <w:rPr>
          <w:rFonts w:ascii="Arial" w:eastAsia="Times New Roman" w:hAnsi="Arial" w:cs="Arial"/>
          <w:b/>
          <w:bCs/>
          <w:sz w:val="24"/>
          <w:szCs w:val="24"/>
        </w:rPr>
      </w:pPr>
      <w:r w:rsidRPr="00292705">
        <w:rPr>
          <w:rFonts w:ascii="Arial" w:eastAsia="Times New Roman" w:hAnsi="Arial" w:cs="Arial"/>
          <w:b/>
          <w:bCs/>
          <w:sz w:val="24"/>
          <w:szCs w:val="24"/>
        </w:rPr>
        <w:lastRenderedPageBreak/>
        <w:t>References:</w:t>
      </w:r>
    </w:p>
    <w:p w14:paraId="6F754335" w14:textId="77777777" w:rsidR="009F55EE" w:rsidRPr="00FD73B4" w:rsidRDefault="009F55EE" w:rsidP="009F55EE">
      <w:pPr>
        <w:pStyle w:val="ListParagraph"/>
        <w:spacing w:line="360" w:lineRule="auto"/>
        <w:ind w:left="1080"/>
        <w:rPr>
          <w:rFonts w:ascii="Arial" w:hAnsi="Arial" w:cs="Arial"/>
        </w:rPr>
      </w:pPr>
    </w:p>
    <w:p w14:paraId="2C6CE2BA" w14:textId="74A81688"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Ahn, S., Son, E., Mogos, M., Muchira, J., Sheng, Y., Park, C., … &amp; Lee, L. (2025). Patterns of lifestyle risk behaviors for cardiovascular disease in family caregivers: a latent class analysis. </w:t>
      </w:r>
      <w:r w:rsidRPr="00FD73B4">
        <w:rPr>
          <w:rFonts w:ascii="Arial" w:hAnsi="Arial" w:cs="Arial"/>
          <w:i/>
          <w:iCs/>
        </w:rPr>
        <w:t>Frontiers in Public Health</w:t>
      </w:r>
      <w:r w:rsidRPr="00FD73B4">
        <w:rPr>
          <w:rFonts w:ascii="Arial" w:hAnsi="Arial" w:cs="Arial"/>
        </w:rPr>
        <w:t xml:space="preserve">, 13. </w:t>
      </w:r>
      <w:hyperlink r:id="rId9" w:history="1">
        <w:r w:rsidRPr="00FD73B4">
          <w:rPr>
            <w:rStyle w:val="Hyperlink"/>
            <w:rFonts w:ascii="Arial" w:hAnsi="Arial" w:cs="Arial"/>
          </w:rPr>
          <w:t>https://doi.org/10.3389/fpubh.2025.1593898</w:t>
        </w:r>
      </w:hyperlink>
    </w:p>
    <w:p w14:paraId="6842C5FF"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Alageel, S., Gulliford, M., McDermott, L., &amp; Wright, A. (2018). Implementing multiple health behaviour change interventions for cardiovascular risk reduction in primary care: a qualitative study. </w:t>
      </w:r>
      <w:r w:rsidRPr="00FD73B4">
        <w:rPr>
          <w:rFonts w:ascii="Arial" w:eastAsia="Times New Roman" w:hAnsi="Arial" w:cs="Arial"/>
          <w:i/>
          <w:iCs/>
        </w:rPr>
        <w:t>BMC Family Practice</w:t>
      </w:r>
      <w:r w:rsidRPr="00FD73B4">
        <w:rPr>
          <w:rFonts w:ascii="Arial" w:eastAsia="Times New Roman" w:hAnsi="Arial" w:cs="Arial"/>
        </w:rPr>
        <w:t xml:space="preserve">, 19(1). </w:t>
      </w:r>
      <w:hyperlink r:id="rId10" w:history="1">
        <w:r w:rsidRPr="00FD73B4">
          <w:rPr>
            <w:rStyle w:val="Hyperlink"/>
            <w:rFonts w:ascii="Arial" w:hAnsi="Arial" w:cs="Arial"/>
          </w:rPr>
          <w:t>https://doi.org/10.1186/s12875-018-0860-0</w:t>
        </w:r>
      </w:hyperlink>
    </w:p>
    <w:p w14:paraId="64B2ABF7"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Avan, A., Digaleh, H., Napoli, M., Stranges, S., Behrouz, R., Shojaeianbabaei, G., … &amp; Azarpazhooh, M. (2019). Socioeconomic status and stroke incidence, prevalence, mortality, and worldwide burden: an ecological analysis from the Global Burden of Disease Study 2017. </w:t>
      </w:r>
      <w:r w:rsidRPr="00FD73B4">
        <w:rPr>
          <w:rFonts w:ascii="Arial" w:hAnsi="Arial" w:cs="Arial"/>
          <w:i/>
          <w:iCs/>
        </w:rPr>
        <w:t>BMC Medicine</w:t>
      </w:r>
      <w:r w:rsidRPr="00FD73B4">
        <w:rPr>
          <w:rFonts w:ascii="Arial" w:hAnsi="Arial" w:cs="Arial"/>
        </w:rPr>
        <w:t xml:space="preserve">, 17(1). </w:t>
      </w:r>
      <w:hyperlink r:id="rId11" w:history="1">
        <w:r w:rsidRPr="00FD73B4">
          <w:rPr>
            <w:rStyle w:val="Hyperlink"/>
            <w:rFonts w:ascii="Arial" w:hAnsi="Arial" w:cs="Arial"/>
          </w:rPr>
          <w:t>https://doi.org/10.1186/s12916-019-1397-3</w:t>
        </w:r>
      </w:hyperlink>
    </w:p>
    <w:p w14:paraId="357C04E3"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Barnett-Page, E. and Thomas, J. (2009). Methods for the synthesis of qualitative research: a critical review. </w:t>
      </w:r>
      <w:r w:rsidRPr="00FD73B4">
        <w:rPr>
          <w:rFonts w:ascii="Arial" w:eastAsia="Times New Roman" w:hAnsi="Arial" w:cs="Arial"/>
          <w:i/>
          <w:iCs/>
        </w:rPr>
        <w:t>BMC Medical Research Methodology</w:t>
      </w:r>
      <w:r w:rsidRPr="00FD73B4">
        <w:rPr>
          <w:rFonts w:ascii="Arial" w:eastAsia="Times New Roman" w:hAnsi="Arial" w:cs="Arial"/>
        </w:rPr>
        <w:t xml:space="preserve">, 9(1). </w:t>
      </w:r>
      <w:hyperlink r:id="rId12" w:history="1">
        <w:r w:rsidRPr="00FD73B4">
          <w:rPr>
            <w:rStyle w:val="Hyperlink"/>
            <w:rFonts w:ascii="Arial" w:hAnsi="Arial" w:cs="Arial"/>
          </w:rPr>
          <w:t>https://doi.org/10.1186/1471-2288-9-59</w:t>
        </w:r>
      </w:hyperlink>
    </w:p>
    <w:p w14:paraId="71D4505A"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Birch, J., Petty, R., Hooper, L., Bauld, L., Rosenberg, G., &amp; Vohra, J. (2018). Clustering of behavioural risk factors for health in UK adults in 2016: a cross-sectional survey. </w:t>
      </w:r>
      <w:r w:rsidRPr="00FD73B4">
        <w:rPr>
          <w:rFonts w:ascii="Arial" w:hAnsi="Arial" w:cs="Arial"/>
          <w:i/>
          <w:iCs/>
        </w:rPr>
        <w:t>Journal of Public Health</w:t>
      </w:r>
      <w:r w:rsidRPr="00FD73B4">
        <w:rPr>
          <w:rFonts w:ascii="Arial" w:hAnsi="Arial" w:cs="Arial"/>
        </w:rPr>
        <w:t xml:space="preserve">, 41(3), e226-e236. </w:t>
      </w:r>
      <w:hyperlink r:id="rId13" w:history="1">
        <w:r w:rsidRPr="00FD73B4">
          <w:rPr>
            <w:rStyle w:val="Hyperlink"/>
            <w:rFonts w:ascii="Arial" w:hAnsi="Arial" w:cs="Arial"/>
          </w:rPr>
          <w:t>https://doi.org/10.1093/pubmed/fdy144</w:t>
        </w:r>
      </w:hyperlink>
    </w:p>
    <w:p w14:paraId="791B8F5E"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Bull, F., Al-Ansari, S., Biddle, S., Borodulin, K., Buman, M., Cardon, G., … &amp; Willumsen, J. (2020). World Health Organization 2020 guidelines on physical activity and sedentary behaviour. </w:t>
      </w:r>
      <w:r w:rsidRPr="00FD73B4">
        <w:rPr>
          <w:rFonts w:ascii="Arial" w:eastAsia="Times New Roman" w:hAnsi="Arial" w:cs="Arial"/>
          <w:i/>
          <w:iCs/>
        </w:rPr>
        <w:t>British Journal of Sports Medicine</w:t>
      </w:r>
      <w:r w:rsidRPr="00FD73B4">
        <w:rPr>
          <w:rFonts w:ascii="Arial" w:eastAsia="Times New Roman" w:hAnsi="Arial" w:cs="Arial"/>
        </w:rPr>
        <w:t xml:space="preserve">, 54(24), 1451-1462. </w:t>
      </w:r>
      <w:hyperlink r:id="rId14" w:history="1">
        <w:r w:rsidRPr="00FD73B4">
          <w:rPr>
            <w:rStyle w:val="Hyperlink"/>
            <w:rFonts w:ascii="Arial" w:hAnsi="Arial" w:cs="Arial"/>
          </w:rPr>
          <w:t>https://doi.org/10.1136/bjsports-2020-102955</w:t>
        </w:r>
      </w:hyperlink>
    </w:p>
    <w:p w14:paraId="315800F6"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Celis</w:t>
      </w:r>
      <w:r w:rsidRPr="00FD73B4">
        <w:rPr>
          <w:rFonts w:ascii="Cambria Math" w:eastAsia="Times New Roman" w:hAnsi="Cambria Math" w:cs="Cambria Math"/>
        </w:rPr>
        <w:t>‐</w:t>
      </w:r>
      <w:r w:rsidRPr="00FD73B4">
        <w:rPr>
          <w:rFonts w:ascii="Arial" w:eastAsia="Times New Roman" w:hAnsi="Arial" w:cs="Arial"/>
        </w:rPr>
        <w:t>Morales, C., Pérez</w:t>
      </w:r>
      <w:r w:rsidRPr="00FD73B4">
        <w:rPr>
          <w:rFonts w:ascii="Cambria Math" w:eastAsia="Times New Roman" w:hAnsi="Cambria Math" w:cs="Cambria Math"/>
        </w:rPr>
        <w:t>‐</w:t>
      </w:r>
      <w:r w:rsidRPr="00FD73B4">
        <w:rPr>
          <w:rFonts w:ascii="Arial" w:eastAsia="Times New Roman" w:hAnsi="Arial" w:cs="Arial"/>
        </w:rPr>
        <w:t>Bravo, F., Ibáñez, L., Salas, C., Bailey, M., &amp; Gill, J. (2012). Objective vs. Self-Reported Physical Activity and Sedentary Time: Effects of Measurement Method on Relationships with Risk Biomarkers</w:t>
      </w:r>
      <w:r w:rsidRPr="00FD73B4">
        <w:rPr>
          <w:rFonts w:ascii="Arial" w:eastAsia="Times New Roman" w:hAnsi="Arial" w:cs="Arial"/>
          <w:i/>
          <w:iCs/>
        </w:rPr>
        <w:t>. Plos One</w:t>
      </w:r>
      <w:r w:rsidRPr="00FD73B4">
        <w:rPr>
          <w:rFonts w:ascii="Arial" w:eastAsia="Times New Roman" w:hAnsi="Arial" w:cs="Arial"/>
        </w:rPr>
        <w:t xml:space="preserve">, 7(5), e36345. </w:t>
      </w:r>
      <w:hyperlink r:id="rId15" w:history="1">
        <w:r w:rsidRPr="00FD73B4">
          <w:rPr>
            <w:rStyle w:val="Hyperlink"/>
            <w:rFonts w:ascii="Arial" w:hAnsi="Arial" w:cs="Arial"/>
          </w:rPr>
          <w:t>https://doi.org/10.1371/journal.pone.0036345</w:t>
        </w:r>
      </w:hyperlink>
    </w:p>
    <w:p w14:paraId="1829A1EE"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Chandrabose, M., Rachele, J., Gunn, L., Kavanagh, A., Owen, N., Turrell, G., … &amp; Sugiyama, T. (2018). Built environment and cardio</w:t>
      </w:r>
      <w:r w:rsidRPr="00FD73B4">
        <w:rPr>
          <w:rFonts w:ascii="Cambria Math" w:eastAsia="Times New Roman" w:hAnsi="Cambria Math" w:cs="Cambria Math"/>
        </w:rPr>
        <w:t>‐</w:t>
      </w:r>
      <w:r w:rsidRPr="00FD73B4">
        <w:rPr>
          <w:rFonts w:ascii="Arial" w:eastAsia="Times New Roman" w:hAnsi="Arial" w:cs="Arial"/>
        </w:rPr>
        <w:t>metabolic health: systematic review and meta</w:t>
      </w:r>
      <w:r w:rsidRPr="00FD73B4">
        <w:rPr>
          <w:rFonts w:ascii="Cambria Math" w:eastAsia="Times New Roman" w:hAnsi="Cambria Math" w:cs="Cambria Math"/>
        </w:rPr>
        <w:t>‐</w:t>
      </w:r>
      <w:r w:rsidRPr="00FD73B4">
        <w:rPr>
          <w:rFonts w:ascii="Arial" w:eastAsia="Times New Roman" w:hAnsi="Arial" w:cs="Arial"/>
        </w:rPr>
        <w:t xml:space="preserve">analysis of longitudinal studies. </w:t>
      </w:r>
      <w:r w:rsidRPr="00FD73B4">
        <w:rPr>
          <w:rFonts w:ascii="Arial" w:eastAsia="Times New Roman" w:hAnsi="Arial" w:cs="Arial"/>
          <w:i/>
          <w:iCs/>
        </w:rPr>
        <w:t>Obesity Reviews</w:t>
      </w:r>
      <w:r w:rsidRPr="00FD73B4">
        <w:rPr>
          <w:rFonts w:ascii="Arial" w:eastAsia="Times New Roman" w:hAnsi="Arial" w:cs="Arial"/>
        </w:rPr>
        <w:t xml:space="preserve">, 20(1), 41-54. </w:t>
      </w:r>
      <w:hyperlink r:id="rId16" w:history="1">
        <w:r w:rsidRPr="00FD73B4">
          <w:rPr>
            <w:rStyle w:val="Hyperlink"/>
            <w:rFonts w:ascii="Arial" w:hAnsi="Arial" w:cs="Arial"/>
          </w:rPr>
          <w:t>https://doi.org/10.1111/obr.12759</w:t>
        </w:r>
      </w:hyperlink>
    </w:p>
    <w:p w14:paraId="1035E2A8"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lastRenderedPageBreak/>
        <w:t xml:space="preserve">Chen, G., Lv, D., Pang, Z., Dong, J., &amp; Liu, Q. (2012). Dietary fiber intake and stroke risk: a meta-analysis of prospective cohort studies. </w:t>
      </w:r>
      <w:r w:rsidRPr="00FD73B4">
        <w:rPr>
          <w:rFonts w:ascii="Arial" w:eastAsia="Times New Roman" w:hAnsi="Arial" w:cs="Arial"/>
          <w:i/>
          <w:iCs/>
        </w:rPr>
        <w:t>European Journal of Clinical Nutrition</w:t>
      </w:r>
      <w:r w:rsidRPr="00FD73B4">
        <w:rPr>
          <w:rFonts w:ascii="Arial" w:eastAsia="Times New Roman" w:hAnsi="Arial" w:cs="Arial"/>
        </w:rPr>
        <w:t xml:space="preserve">, 67(1), 96-100. </w:t>
      </w:r>
      <w:hyperlink r:id="rId17" w:history="1">
        <w:r w:rsidRPr="00FD73B4">
          <w:rPr>
            <w:rStyle w:val="Hyperlink"/>
            <w:rFonts w:ascii="Arial" w:hAnsi="Arial" w:cs="Arial"/>
          </w:rPr>
          <w:t>https://doi.org/10.1038/ejcn.2012.158</w:t>
        </w:r>
      </w:hyperlink>
    </w:p>
    <w:p w14:paraId="7E450D89"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Chiuve, S., Rexrode, K., Spiegelman, D., Logroscino, G., Manson, J., &amp; Rimm, E. (2008). Primary Prevention of Stroke by Healthy Lifestyle. </w:t>
      </w:r>
      <w:r w:rsidRPr="00FD73B4">
        <w:rPr>
          <w:rFonts w:ascii="Arial" w:eastAsia="Times New Roman" w:hAnsi="Arial" w:cs="Arial"/>
          <w:i/>
          <w:iCs/>
        </w:rPr>
        <w:t>Circulation</w:t>
      </w:r>
      <w:r w:rsidRPr="00FD73B4">
        <w:rPr>
          <w:rFonts w:ascii="Arial" w:eastAsia="Times New Roman" w:hAnsi="Arial" w:cs="Arial"/>
        </w:rPr>
        <w:t xml:space="preserve">, 118(9), 947-954. </w:t>
      </w:r>
      <w:hyperlink r:id="rId18" w:history="1">
        <w:r w:rsidRPr="00FD73B4">
          <w:rPr>
            <w:rStyle w:val="Hyperlink"/>
            <w:rFonts w:ascii="Arial" w:hAnsi="Arial" w:cs="Arial"/>
          </w:rPr>
          <w:t>https://doi.org/10.1161/circulationaha.108.781062</w:t>
        </w:r>
      </w:hyperlink>
    </w:p>
    <w:p w14:paraId="3A253E0D"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Chomistek, A., Manson, J., Stefanick, M., Lü, B., Sands</w:t>
      </w:r>
      <w:r w:rsidRPr="00FD73B4">
        <w:rPr>
          <w:rFonts w:ascii="Cambria Math" w:eastAsia="Times New Roman" w:hAnsi="Cambria Math" w:cs="Cambria Math"/>
        </w:rPr>
        <w:t>‐</w:t>
      </w:r>
      <w:r w:rsidRPr="00FD73B4">
        <w:rPr>
          <w:rFonts w:ascii="Arial" w:eastAsia="Times New Roman" w:hAnsi="Arial" w:cs="Arial"/>
        </w:rPr>
        <w:t xml:space="preserve">Lincoln, M., Going, S., … &amp; Eaton, C. (2013). Relationship of Sedentary Behavior and Physical Activity to Incident Cardiovascular Disease. </w:t>
      </w:r>
      <w:r w:rsidRPr="00FD73B4">
        <w:rPr>
          <w:rFonts w:ascii="Arial" w:eastAsia="Times New Roman" w:hAnsi="Arial" w:cs="Arial"/>
          <w:i/>
          <w:iCs/>
        </w:rPr>
        <w:t>Journal of the American College of Cardiology</w:t>
      </w:r>
      <w:r w:rsidRPr="00FD73B4">
        <w:rPr>
          <w:rFonts w:ascii="Arial" w:eastAsia="Times New Roman" w:hAnsi="Arial" w:cs="Arial"/>
        </w:rPr>
        <w:t xml:space="preserve">, 61(23), 2346-2354. </w:t>
      </w:r>
      <w:hyperlink r:id="rId19" w:history="1">
        <w:r w:rsidRPr="00FD73B4">
          <w:rPr>
            <w:rStyle w:val="Hyperlink"/>
            <w:rFonts w:ascii="Arial" w:hAnsi="Arial" w:cs="Arial"/>
          </w:rPr>
          <w:t>https://doi.org/10.1016/j.jacc.2013.03.031</w:t>
        </w:r>
      </w:hyperlink>
    </w:p>
    <w:p w14:paraId="41CA472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Chui-hui, K. (2018). Studies of Correlation Between Physical Activity Levels and Endothelial Function of Obese Postmenopausal Women. </w:t>
      </w:r>
      <w:r w:rsidRPr="00FD73B4">
        <w:rPr>
          <w:rFonts w:ascii="Arial" w:eastAsia="Times New Roman" w:hAnsi="Arial" w:cs="Arial"/>
          <w:i/>
          <w:iCs/>
        </w:rPr>
        <w:t>Juntendo Medical Journal</w:t>
      </w:r>
      <w:r w:rsidRPr="00FD73B4">
        <w:rPr>
          <w:rFonts w:ascii="Arial" w:eastAsia="Times New Roman" w:hAnsi="Arial" w:cs="Arial"/>
        </w:rPr>
        <w:t xml:space="preserve">, 64(Suppl.1), 57-59. </w:t>
      </w:r>
      <w:hyperlink r:id="rId20" w:history="1">
        <w:r w:rsidRPr="00FD73B4">
          <w:rPr>
            <w:rStyle w:val="Hyperlink"/>
            <w:rFonts w:ascii="Arial" w:hAnsi="Arial" w:cs="Arial"/>
          </w:rPr>
          <w:t>https://doi.org/10.14789/jmj.2018.64.jmj18-p28</w:t>
        </w:r>
      </w:hyperlink>
    </w:p>
    <w:p w14:paraId="081943A5"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Cissé, K., Samadoulougou, S., Coppieters, Y., Bonnechère, B., Zabsonré, P., Kirakoya</w:t>
      </w:r>
      <w:r w:rsidRPr="00FD73B4">
        <w:rPr>
          <w:rFonts w:ascii="Cambria Math" w:hAnsi="Cambria Math" w:cs="Cambria Math"/>
        </w:rPr>
        <w:t>‐</w:t>
      </w:r>
      <w:r w:rsidRPr="00FD73B4">
        <w:rPr>
          <w:rFonts w:ascii="Arial" w:hAnsi="Arial" w:cs="Arial"/>
        </w:rPr>
        <w:t xml:space="preserve">Samadoulougou, F., … &amp; Kouanda, S. (2022). First Report on the Co-Occurrence and Clustering Profiles of Cardiovascular Lifestyle Risk Factors among Adults in Burkina Faso. </w:t>
      </w:r>
      <w:r w:rsidRPr="00FD73B4">
        <w:rPr>
          <w:rFonts w:ascii="Arial" w:hAnsi="Arial" w:cs="Arial"/>
          <w:i/>
          <w:iCs/>
        </w:rPr>
        <w:t>International Journal of Environmental Research and Public Health</w:t>
      </w:r>
      <w:r w:rsidRPr="00FD73B4">
        <w:rPr>
          <w:rFonts w:ascii="Arial" w:hAnsi="Arial" w:cs="Arial"/>
        </w:rPr>
        <w:t xml:space="preserve">, 19(14), 8225. </w:t>
      </w:r>
      <w:hyperlink r:id="rId21" w:history="1">
        <w:r w:rsidRPr="00FD73B4">
          <w:rPr>
            <w:rStyle w:val="Hyperlink"/>
            <w:rFonts w:ascii="Arial" w:hAnsi="Arial" w:cs="Arial"/>
          </w:rPr>
          <w:t>https://doi.org/10.3390/ijerph19148225</w:t>
        </w:r>
      </w:hyperlink>
    </w:p>
    <w:p w14:paraId="4C44D08E"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Clarke, A., Carson, V., Chaput, J., Colley, R., Roberts, K., Rollo, S., … &amp; Janssen, I. (2021). Meeting Canadian 24-Hour Movement Guideline recommendations and risk of all-cause mortality. </w:t>
      </w:r>
      <w:r w:rsidRPr="00FD73B4">
        <w:rPr>
          <w:rFonts w:ascii="Arial" w:eastAsia="Times New Roman" w:hAnsi="Arial" w:cs="Arial"/>
          <w:i/>
          <w:iCs/>
        </w:rPr>
        <w:t>Applied Physiology Nutrition and Metabolism</w:t>
      </w:r>
      <w:r w:rsidRPr="00FD73B4">
        <w:rPr>
          <w:rFonts w:ascii="Arial" w:eastAsia="Times New Roman" w:hAnsi="Arial" w:cs="Arial"/>
        </w:rPr>
        <w:t xml:space="preserve">, 46(12), 1487-1494. </w:t>
      </w:r>
      <w:hyperlink r:id="rId22" w:history="1">
        <w:r w:rsidRPr="00FD73B4">
          <w:rPr>
            <w:rStyle w:val="Hyperlink"/>
            <w:rFonts w:ascii="Arial" w:hAnsi="Arial" w:cs="Arial"/>
          </w:rPr>
          <w:t>https://doi.org/10.1139/apnm-2021-0010</w:t>
        </w:r>
      </w:hyperlink>
    </w:p>
    <w:p w14:paraId="0701B999"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Conry, M., Morgan, K., Curry, P., McGee, H., Harrington, J., Ward, M., … &amp; Shelley, E. (2011). The clustering of health behaviours in Ireland and their relationship with mental health, self-rated health and quality of life. </w:t>
      </w:r>
      <w:r w:rsidRPr="00FD73B4">
        <w:rPr>
          <w:rFonts w:ascii="Arial" w:hAnsi="Arial" w:cs="Arial"/>
          <w:i/>
          <w:iCs/>
        </w:rPr>
        <w:t>BMC Public Health</w:t>
      </w:r>
      <w:r w:rsidRPr="00FD73B4">
        <w:rPr>
          <w:rFonts w:ascii="Arial" w:hAnsi="Arial" w:cs="Arial"/>
        </w:rPr>
        <w:t xml:space="preserve">, 11(1). </w:t>
      </w:r>
      <w:hyperlink r:id="rId23" w:history="1">
        <w:r w:rsidRPr="00FD73B4">
          <w:rPr>
            <w:rStyle w:val="Hyperlink"/>
            <w:rFonts w:ascii="Arial" w:hAnsi="Arial" w:cs="Arial"/>
          </w:rPr>
          <w:t>https://doi.org/10.1186/1471-2458-11-692</w:t>
        </w:r>
      </w:hyperlink>
    </w:p>
    <w:p w14:paraId="6839C62C"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Dong, W. and Yang, Z. (2022). Association of Dietary Fiber Intake With Myocardial Infarction and Stroke Events in US Adults: A Cross-Sectional Study of NHANES 2011–2018. </w:t>
      </w:r>
      <w:r w:rsidRPr="00FD73B4">
        <w:rPr>
          <w:rFonts w:ascii="Arial" w:eastAsia="Times New Roman" w:hAnsi="Arial" w:cs="Arial"/>
          <w:i/>
          <w:iCs/>
        </w:rPr>
        <w:t>Frontiers in Nutrition</w:t>
      </w:r>
      <w:r w:rsidRPr="00FD73B4">
        <w:rPr>
          <w:rFonts w:ascii="Arial" w:eastAsia="Times New Roman" w:hAnsi="Arial" w:cs="Arial"/>
        </w:rPr>
        <w:t xml:space="preserve">, 9. </w:t>
      </w:r>
      <w:hyperlink r:id="rId24" w:history="1">
        <w:r w:rsidRPr="00FD73B4">
          <w:rPr>
            <w:rStyle w:val="Hyperlink"/>
            <w:rFonts w:ascii="Arial" w:hAnsi="Arial" w:cs="Arial"/>
          </w:rPr>
          <w:t>https://doi.org/10.3389/fnut.2022.936926</w:t>
        </w:r>
      </w:hyperlink>
    </w:p>
    <w:p w14:paraId="0B746A8B"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Dong, X.-F., Zhang, Q., Wei, J.-N., Zhou, Q.-Y., Yang, F.-J.-Y., Liu, Y.-J., Li, Y.-S. and Sun, C.-Q. (2024)</w:t>
      </w:r>
      <w:r w:rsidRPr="00FD73B4">
        <w:rPr>
          <w:rFonts w:ascii="Arial" w:hAnsi="Arial" w:cs="Arial"/>
        </w:rPr>
        <w:br/>
        <w:t xml:space="preserve">Impact of replacing sedentary behavior with physical activity and sleep on stroke risk: A prospective cohort study. </w:t>
      </w:r>
      <w:r w:rsidRPr="00FD73B4">
        <w:rPr>
          <w:rStyle w:val="Emphasis"/>
          <w:rFonts w:ascii="Arial" w:hAnsi="Arial" w:cs="Arial"/>
        </w:rPr>
        <w:t>Nature and Science of Sleep</w:t>
      </w:r>
      <w:r w:rsidRPr="00FD73B4">
        <w:rPr>
          <w:rFonts w:ascii="Arial" w:hAnsi="Arial" w:cs="Arial"/>
        </w:rPr>
        <w:t xml:space="preserve">, 16, pp.1611–1622. </w:t>
      </w:r>
      <w:hyperlink r:id="rId25" w:history="1">
        <w:r w:rsidRPr="00FD73B4">
          <w:rPr>
            <w:rStyle w:val="Hyperlink"/>
            <w:rFonts w:ascii="Arial" w:hAnsi="Arial" w:cs="Arial"/>
          </w:rPr>
          <w:t>https://doi.org/10.2147/NSS.S475263</w:t>
        </w:r>
      </w:hyperlink>
    </w:p>
    <w:p w14:paraId="0C2800D6"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lastRenderedPageBreak/>
        <w:t xml:space="preserve">Ede, J., Petrinic, T., Westgate, V., Darbyshire, J., Endacott, R., &amp; Watkinson, P. (2021). Human factors in escalating acute ward care: a qualitative evidence synthesis. </w:t>
      </w:r>
      <w:r w:rsidRPr="00FD73B4">
        <w:rPr>
          <w:rFonts w:ascii="Arial" w:eastAsia="Times New Roman" w:hAnsi="Arial" w:cs="Arial"/>
          <w:i/>
          <w:iCs/>
        </w:rPr>
        <w:t>BMJ Open Quality</w:t>
      </w:r>
      <w:r w:rsidRPr="00FD73B4">
        <w:rPr>
          <w:rFonts w:ascii="Arial" w:eastAsia="Times New Roman" w:hAnsi="Arial" w:cs="Arial"/>
        </w:rPr>
        <w:t xml:space="preserve">, 10(1), e001145. </w:t>
      </w:r>
      <w:hyperlink r:id="rId26" w:history="1">
        <w:r w:rsidRPr="00FD73B4">
          <w:rPr>
            <w:rStyle w:val="Hyperlink"/>
            <w:rFonts w:ascii="Arial" w:hAnsi="Arial" w:cs="Arial"/>
          </w:rPr>
          <w:t>https://doi.org/10.1136/bmjoq-2020-001145</w:t>
        </w:r>
      </w:hyperlink>
    </w:p>
    <w:p w14:paraId="75B4B6E7"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Feng, Q., Fan, S., Yao, W., Zhou, D., Zhao, R., Liu, M., … &amp; Song, Y. (2018). Adherence to the dietary approaches to stop hypertension diet and risk of stroke. </w:t>
      </w:r>
      <w:r w:rsidRPr="00FD73B4">
        <w:rPr>
          <w:rFonts w:ascii="Arial" w:eastAsia="Times New Roman" w:hAnsi="Arial" w:cs="Arial"/>
          <w:i/>
          <w:iCs/>
        </w:rPr>
        <w:t>Medicine</w:t>
      </w:r>
      <w:r w:rsidRPr="00FD73B4">
        <w:rPr>
          <w:rFonts w:ascii="Arial" w:eastAsia="Times New Roman" w:hAnsi="Arial" w:cs="Arial"/>
        </w:rPr>
        <w:t xml:space="preserve">, 97(38), e12450. </w:t>
      </w:r>
      <w:hyperlink r:id="rId27" w:history="1">
        <w:r w:rsidRPr="00FD73B4">
          <w:rPr>
            <w:rStyle w:val="Hyperlink"/>
            <w:rFonts w:ascii="Arial" w:hAnsi="Arial" w:cs="Arial"/>
          </w:rPr>
          <w:t>https://doi.org/10.1097/md.0000000000012450</w:t>
        </w:r>
      </w:hyperlink>
    </w:p>
    <w:p w14:paraId="30D9BFB8"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Firth, J., Solmi, M., Wootton, R., Vancampfort, D., Schuch, F., Hoare, E., … &amp; Stubbs, B. (2020). A meta</w:t>
      </w:r>
      <w:r w:rsidRPr="00FD73B4">
        <w:rPr>
          <w:rFonts w:ascii="Cambria Math" w:eastAsia="Times New Roman" w:hAnsi="Cambria Math" w:cs="Cambria Math"/>
        </w:rPr>
        <w:t>‐</w:t>
      </w:r>
      <w:r w:rsidRPr="00FD73B4">
        <w:rPr>
          <w:rFonts w:ascii="Arial" w:eastAsia="Times New Roman" w:hAnsi="Arial" w:cs="Arial"/>
        </w:rPr>
        <w:t>review of “lifestyle psychiatry”: the role of exercise, smoking, diet and sleep in the prevention and treatment of mental disorders.</w:t>
      </w:r>
      <w:r w:rsidRPr="00FD73B4">
        <w:rPr>
          <w:rFonts w:ascii="Arial" w:eastAsia="Times New Roman" w:hAnsi="Arial" w:cs="Arial"/>
          <w:i/>
          <w:iCs/>
        </w:rPr>
        <w:t xml:space="preserve"> World Psychiatry</w:t>
      </w:r>
      <w:r w:rsidRPr="00FD73B4">
        <w:rPr>
          <w:rFonts w:ascii="Arial" w:eastAsia="Times New Roman" w:hAnsi="Arial" w:cs="Arial"/>
        </w:rPr>
        <w:t xml:space="preserve">, 19(3), 360-380. </w:t>
      </w:r>
      <w:hyperlink r:id="rId28" w:history="1">
        <w:r w:rsidRPr="00FD73B4">
          <w:rPr>
            <w:rStyle w:val="Hyperlink"/>
            <w:rFonts w:ascii="Arial" w:hAnsi="Arial" w:cs="Arial"/>
          </w:rPr>
          <w:t>https://doi.org/10.1002/wps.20773</w:t>
        </w:r>
      </w:hyperlink>
    </w:p>
    <w:p w14:paraId="2C9CBCCD"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Fitzgerald, J., Johnson, L., Hire, D., Ambrosius, W., Anton, S., Dodson, J., … &amp; Buford, T. (2015). Association of Objectively Measured Physical Activity With Cardiovascular Risk in Mobility</w:t>
      </w:r>
      <w:r w:rsidRPr="00FD73B4">
        <w:rPr>
          <w:rFonts w:ascii="Cambria Math" w:eastAsia="Times New Roman" w:hAnsi="Cambria Math" w:cs="Cambria Math"/>
        </w:rPr>
        <w:t>‐</w:t>
      </w:r>
      <w:r w:rsidRPr="00FD73B4">
        <w:rPr>
          <w:rFonts w:ascii="Arial" w:eastAsia="Times New Roman" w:hAnsi="Arial" w:cs="Arial"/>
        </w:rPr>
        <w:t xml:space="preserve">limited Older Adults. </w:t>
      </w:r>
      <w:r w:rsidRPr="00FD73B4">
        <w:rPr>
          <w:rFonts w:ascii="Arial" w:eastAsia="Times New Roman" w:hAnsi="Arial" w:cs="Arial"/>
          <w:i/>
          <w:iCs/>
        </w:rPr>
        <w:t>Journal of the American Heart Association</w:t>
      </w:r>
      <w:r w:rsidRPr="00FD73B4">
        <w:rPr>
          <w:rFonts w:ascii="Arial" w:eastAsia="Times New Roman" w:hAnsi="Arial" w:cs="Arial"/>
        </w:rPr>
        <w:t xml:space="preserve">, 4(2). </w:t>
      </w:r>
      <w:hyperlink r:id="rId29" w:history="1">
        <w:r w:rsidRPr="00FD73B4">
          <w:rPr>
            <w:rStyle w:val="Hyperlink"/>
            <w:rFonts w:ascii="Arial" w:hAnsi="Arial" w:cs="Arial"/>
          </w:rPr>
          <w:t>https://doi.org/10.1161/jaha.114.001288</w:t>
        </w:r>
      </w:hyperlink>
    </w:p>
    <w:p w14:paraId="1403DED7"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Gates, A., Shave, K., Featherstone, R., Buckreus, K., Ali, S., Scott, S., … &amp; Hartling, L. (2017). Parent experiences and information needs relating to procedural pain in children: a systematic review protocol. </w:t>
      </w:r>
      <w:r w:rsidRPr="00FD73B4">
        <w:rPr>
          <w:rFonts w:ascii="Arial" w:eastAsia="Times New Roman" w:hAnsi="Arial" w:cs="Arial"/>
          <w:i/>
          <w:iCs/>
        </w:rPr>
        <w:t>Systematic Reviews</w:t>
      </w:r>
      <w:r w:rsidRPr="00FD73B4">
        <w:rPr>
          <w:rFonts w:ascii="Arial" w:eastAsia="Times New Roman" w:hAnsi="Arial" w:cs="Arial"/>
        </w:rPr>
        <w:t xml:space="preserve">, 6(1). </w:t>
      </w:r>
      <w:hyperlink r:id="rId30" w:history="1">
        <w:r w:rsidRPr="00FD73B4">
          <w:rPr>
            <w:rStyle w:val="Hyperlink"/>
            <w:rFonts w:ascii="Arial" w:hAnsi="Arial" w:cs="Arial"/>
          </w:rPr>
          <w:t>https://doi.org/10.1186/s13643-017-0499-2</w:t>
        </w:r>
      </w:hyperlink>
    </w:p>
    <w:p w14:paraId="738893D4"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Gill, D., Blunt, W., Silva, N., Stiller-Moldovan, C., Zou, G., &amp; Petrella, R. (2019). The HealtheSteps™ lifestyle prescription program to improve physical activity and modifiable risk factors for chronic disease: a pragmatic randomized controlled trial. </w:t>
      </w:r>
      <w:r w:rsidRPr="00FD73B4">
        <w:rPr>
          <w:rFonts w:ascii="Arial" w:hAnsi="Arial" w:cs="Arial"/>
          <w:i/>
          <w:iCs/>
        </w:rPr>
        <w:t>BMC Public Health</w:t>
      </w:r>
      <w:r w:rsidRPr="00FD73B4">
        <w:rPr>
          <w:rFonts w:ascii="Arial" w:hAnsi="Arial" w:cs="Arial"/>
        </w:rPr>
        <w:t xml:space="preserve">, 19(1). </w:t>
      </w:r>
      <w:hyperlink r:id="rId31" w:history="1">
        <w:r w:rsidRPr="00FD73B4">
          <w:rPr>
            <w:rStyle w:val="Hyperlink"/>
            <w:rFonts w:ascii="Arial" w:hAnsi="Arial" w:cs="Arial"/>
          </w:rPr>
          <w:t>https://doi.org/10.1186/s12889-019-7141-2</w:t>
        </w:r>
      </w:hyperlink>
    </w:p>
    <w:p w14:paraId="599C0EEB"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Gorzynska, O., McGoohan, K., &amp; Velayudhan, L. (2021). Patient and Caregiver Experiences of Participating in Parkinson’s Disease Clinical Trials: A Systematic Review of Qualitative Studies. </w:t>
      </w:r>
      <w:r w:rsidRPr="00FD73B4">
        <w:rPr>
          <w:rFonts w:ascii="Arial" w:eastAsia="Times New Roman" w:hAnsi="Arial" w:cs="Arial"/>
          <w:i/>
          <w:iCs/>
        </w:rPr>
        <w:t>Archives of Clinical Neuropsychology</w:t>
      </w:r>
      <w:r w:rsidRPr="00FD73B4">
        <w:rPr>
          <w:rFonts w:ascii="Arial" w:eastAsia="Times New Roman" w:hAnsi="Arial" w:cs="Arial"/>
        </w:rPr>
        <w:t xml:space="preserve">, 37(3), 654-676. </w:t>
      </w:r>
      <w:hyperlink r:id="rId32" w:history="1">
        <w:r w:rsidRPr="00FD73B4">
          <w:rPr>
            <w:rStyle w:val="Hyperlink"/>
            <w:rFonts w:ascii="Arial" w:hAnsi="Arial" w:cs="Arial"/>
          </w:rPr>
          <w:t>https://doi.org/10.1093/arclin/acab083</w:t>
        </w:r>
      </w:hyperlink>
    </w:p>
    <w:p w14:paraId="52F54495"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Grgić, J., Dumuid, D., Bengoechea, E., Shrestha, N., Bauman, A., Olds, T., … &amp; Pedišić, Ž. (2018). Health outcomes associated with reallocations of time between sleep, sedentary behaviour, and physical activity: a systematic scoping review of isotemporal substitution studies. </w:t>
      </w:r>
      <w:r w:rsidRPr="00FD73B4">
        <w:rPr>
          <w:rFonts w:ascii="Arial" w:eastAsia="Times New Roman" w:hAnsi="Arial" w:cs="Arial"/>
          <w:i/>
          <w:iCs/>
        </w:rPr>
        <w:t>International Journal of Behavioral Nutrition and Physical Activity</w:t>
      </w:r>
      <w:r w:rsidRPr="00FD73B4">
        <w:rPr>
          <w:rFonts w:ascii="Arial" w:eastAsia="Times New Roman" w:hAnsi="Arial" w:cs="Arial"/>
        </w:rPr>
        <w:t xml:space="preserve">, 15(1). </w:t>
      </w:r>
      <w:hyperlink r:id="rId33" w:history="1">
        <w:r w:rsidRPr="00FD73B4">
          <w:rPr>
            <w:rStyle w:val="Hyperlink"/>
            <w:rFonts w:ascii="Arial" w:hAnsi="Arial" w:cs="Arial"/>
          </w:rPr>
          <w:t>https://doi.org/10.1186/s12966-018-0691-3</w:t>
        </w:r>
      </w:hyperlink>
    </w:p>
    <w:p w14:paraId="2654E198"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lastRenderedPageBreak/>
        <w:t xml:space="preserve">Hajduk, A. and Chaudhry, S. (2016). Sedentary Behavior and Cardiovascular Risk in Older Adults: a Scoping Review. </w:t>
      </w:r>
      <w:r w:rsidRPr="00FD73B4">
        <w:rPr>
          <w:rFonts w:ascii="Arial" w:eastAsia="Times New Roman" w:hAnsi="Arial" w:cs="Arial"/>
          <w:i/>
          <w:iCs/>
        </w:rPr>
        <w:t>Current Cardiovascular Risk Reports</w:t>
      </w:r>
      <w:r w:rsidRPr="00FD73B4">
        <w:rPr>
          <w:rFonts w:ascii="Arial" w:eastAsia="Times New Roman" w:hAnsi="Arial" w:cs="Arial"/>
        </w:rPr>
        <w:t xml:space="preserve">, 10(1). </w:t>
      </w:r>
      <w:hyperlink r:id="rId34" w:history="1">
        <w:r w:rsidRPr="00FD73B4">
          <w:rPr>
            <w:rStyle w:val="Hyperlink"/>
            <w:rFonts w:ascii="Arial" w:hAnsi="Arial" w:cs="Arial"/>
          </w:rPr>
          <w:t>https://doi.org/10.1007/s12170-016-0485-6</w:t>
        </w:r>
      </w:hyperlink>
    </w:p>
    <w:p w14:paraId="215F596A"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Haycock, P., Burgess, S., Wade, K., Bowden, J., Relton, C., &amp; Smith, G. (2016). Best (but oft-forgotten) practices: the design, analysis, and interpretation of Mendelian randomization studies. </w:t>
      </w:r>
      <w:r w:rsidRPr="00FD73B4">
        <w:rPr>
          <w:rFonts w:ascii="Arial" w:eastAsia="Times New Roman" w:hAnsi="Arial" w:cs="Arial"/>
          <w:i/>
          <w:iCs/>
        </w:rPr>
        <w:t>American Journal of Clinical Nutrition</w:t>
      </w:r>
      <w:r w:rsidRPr="00FD73B4">
        <w:rPr>
          <w:rFonts w:ascii="Arial" w:eastAsia="Times New Roman" w:hAnsi="Arial" w:cs="Arial"/>
        </w:rPr>
        <w:t xml:space="preserve">, 103(4), 965-978. </w:t>
      </w:r>
      <w:hyperlink r:id="rId35" w:history="1">
        <w:r w:rsidRPr="00FD73B4">
          <w:rPr>
            <w:rStyle w:val="Hyperlink"/>
            <w:rFonts w:ascii="Arial" w:hAnsi="Arial" w:cs="Arial"/>
          </w:rPr>
          <w:t>https://doi.org/10.3945/ajcn.115.118216</w:t>
        </w:r>
      </w:hyperlink>
    </w:p>
    <w:p w14:paraId="61F5FF23"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Hendriks, S., Ranson, J., Peetoom, K., Lourida, I., Tai, X., Vugt, M., … &amp; Köhler, S. (2024). Risk Factors for Young-Onset Dementia in the UK Biobank. </w:t>
      </w:r>
      <w:r w:rsidRPr="00FD73B4">
        <w:rPr>
          <w:rFonts w:ascii="Arial" w:eastAsia="Times New Roman" w:hAnsi="Arial" w:cs="Arial"/>
          <w:i/>
          <w:iCs/>
        </w:rPr>
        <w:t>Jama Neurology</w:t>
      </w:r>
      <w:r w:rsidRPr="00FD73B4">
        <w:rPr>
          <w:rFonts w:ascii="Arial" w:eastAsia="Times New Roman" w:hAnsi="Arial" w:cs="Arial"/>
        </w:rPr>
        <w:t xml:space="preserve">, 81(2), 134. </w:t>
      </w:r>
      <w:hyperlink r:id="rId36" w:history="1">
        <w:r w:rsidRPr="00FD73B4">
          <w:rPr>
            <w:rStyle w:val="Hyperlink"/>
            <w:rFonts w:ascii="Arial" w:hAnsi="Arial" w:cs="Arial"/>
          </w:rPr>
          <w:t>https://doi.org/10.1001/jamaneurol.2023.4929</w:t>
        </w:r>
      </w:hyperlink>
    </w:p>
    <w:p w14:paraId="3549D46E"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Hughes, S., Boisvert, I., McMahon, C., Steyns, A., &amp; Neal, K. (2022). Adults’ with hearing loss perceived listening ability in daily communication: protocol for a systematic review and qualitative meta-synthesis</w:t>
      </w:r>
      <w:r w:rsidRPr="00FD73B4">
        <w:rPr>
          <w:rFonts w:ascii="Arial" w:eastAsia="Times New Roman" w:hAnsi="Arial" w:cs="Arial"/>
          <w:i/>
          <w:iCs/>
        </w:rPr>
        <w:t>. BMJ Open</w:t>
      </w:r>
      <w:r w:rsidRPr="00FD73B4">
        <w:rPr>
          <w:rFonts w:ascii="Arial" w:eastAsia="Times New Roman" w:hAnsi="Arial" w:cs="Arial"/>
        </w:rPr>
        <w:t xml:space="preserve">, 12(3), e051183. </w:t>
      </w:r>
      <w:hyperlink r:id="rId37" w:history="1">
        <w:r w:rsidRPr="00FD73B4">
          <w:rPr>
            <w:rStyle w:val="Hyperlink"/>
            <w:rFonts w:ascii="Arial" w:hAnsi="Arial" w:cs="Arial"/>
          </w:rPr>
          <w:t>https://doi.org/10.1136/bmjopen-2021-051183</w:t>
        </w:r>
      </w:hyperlink>
    </w:p>
    <w:p w14:paraId="6C675D52"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Ibrahim</w:t>
      </w:r>
      <w:r w:rsidRPr="00FD73B4">
        <w:rPr>
          <w:rFonts w:ascii="Cambria Math" w:eastAsia="Times New Roman" w:hAnsi="Cambria Math" w:cs="Cambria Math"/>
        </w:rPr>
        <w:t>‐</w:t>
      </w:r>
      <w:r w:rsidRPr="00FD73B4">
        <w:rPr>
          <w:rFonts w:ascii="Arial" w:eastAsia="Times New Roman" w:hAnsi="Arial" w:cs="Arial"/>
        </w:rPr>
        <w:t xml:space="preserve">Verbaas, C., Fornage, M., Bis, J., Choi, S., Psaty, B., Meigs, J., … &amp; Launer, L. (2014). Predicting Stroke Through Genetic Risk Functions. </w:t>
      </w:r>
      <w:r w:rsidRPr="00FD73B4">
        <w:rPr>
          <w:rFonts w:ascii="Arial" w:eastAsia="Times New Roman" w:hAnsi="Arial" w:cs="Arial"/>
          <w:i/>
          <w:iCs/>
        </w:rPr>
        <w:t>Stroke</w:t>
      </w:r>
      <w:r w:rsidRPr="00FD73B4">
        <w:rPr>
          <w:rFonts w:ascii="Arial" w:eastAsia="Times New Roman" w:hAnsi="Arial" w:cs="Arial"/>
        </w:rPr>
        <w:t xml:space="preserve">, 45(2), 403-412. </w:t>
      </w:r>
      <w:hyperlink r:id="rId38" w:history="1">
        <w:r w:rsidRPr="00FD73B4">
          <w:rPr>
            <w:rStyle w:val="Hyperlink"/>
            <w:rFonts w:ascii="Arial" w:hAnsi="Arial" w:cs="Arial"/>
          </w:rPr>
          <w:t>https://doi.org/10.1161/strokeaha.113.003044</w:t>
        </w:r>
      </w:hyperlink>
    </w:p>
    <w:p w14:paraId="5473F91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Ivey, F., Ryan, A., Hafer</w:t>
      </w:r>
      <w:r w:rsidRPr="00FD73B4">
        <w:rPr>
          <w:rFonts w:ascii="Cambria Math" w:eastAsia="Times New Roman" w:hAnsi="Cambria Math" w:cs="Cambria Math"/>
        </w:rPr>
        <w:t>‐</w:t>
      </w:r>
      <w:r w:rsidRPr="00FD73B4">
        <w:rPr>
          <w:rFonts w:ascii="Arial" w:eastAsia="Times New Roman" w:hAnsi="Arial" w:cs="Arial"/>
        </w:rPr>
        <w:t xml:space="preserve">Macko, C., Garrity, B., Sorkin, J., Goldberg, A., … &amp; Macko, R. (2006). High Prevalence of Abnormal Glucose Metabolism and Poor Sensitivity of Fasting Plasma Glucose in the Chronic Phase of Stroke. </w:t>
      </w:r>
      <w:r w:rsidRPr="00FD73B4">
        <w:rPr>
          <w:rFonts w:ascii="Arial" w:eastAsia="Times New Roman" w:hAnsi="Arial" w:cs="Arial"/>
          <w:i/>
          <w:iCs/>
        </w:rPr>
        <w:t>Cerebrovascular Diseases</w:t>
      </w:r>
      <w:r w:rsidRPr="00FD73B4">
        <w:rPr>
          <w:rFonts w:ascii="Arial" w:eastAsia="Times New Roman" w:hAnsi="Arial" w:cs="Arial"/>
        </w:rPr>
        <w:t xml:space="preserve">, 22(5-6), 368-371. </w:t>
      </w:r>
      <w:hyperlink r:id="rId39" w:history="1">
        <w:r w:rsidRPr="00FD73B4">
          <w:rPr>
            <w:rStyle w:val="Hyperlink"/>
            <w:rFonts w:ascii="Arial" w:hAnsi="Arial" w:cs="Arial"/>
          </w:rPr>
          <w:t>https://doi.org/10.1159/000094853</w:t>
        </w:r>
      </w:hyperlink>
    </w:p>
    <w:p w14:paraId="0026D8C5"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Jiang, X. and Alfredsson, L. (2020). Modifiable environmental exposure and risk of rheumatoid arthritis—current evidence from genetic studies.</w:t>
      </w:r>
      <w:r w:rsidRPr="00FD73B4">
        <w:rPr>
          <w:rFonts w:ascii="Arial" w:eastAsia="Times New Roman" w:hAnsi="Arial" w:cs="Arial"/>
          <w:i/>
          <w:iCs/>
        </w:rPr>
        <w:t xml:space="preserve"> Arthritis Research &amp; Therapy</w:t>
      </w:r>
      <w:r w:rsidRPr="00FD73B4">
        <w:rPr>
          <w:rFonts w:ascii="Arial" w:eastAsia="Times New Roman" w:hAnsi="Arial" w:cs="Arial"/>
        </w:rPr>
        <w:t xml:space="preserve">, 22(1). </w:t>
      </w:r>
      <w:hyperlink r:id="rId40" w:history="1">
        <w:r w:rsidRPr="00FD73B4">
          <w:rPr>
            <w:rStyle w:val="Hyperlink"/>
            <w:rFonts w:ascii="Arial" w:hAnsi="Arial" w:cs="Arial"/>
          </w:rPr>
          <w:t>https://doi.org/10.1186/s13075-020-02253-5</w:t>
        </w:r>
      </w:hyperlink>
    </w:p>
    <w:p w14:paraId="6D56BE0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Jin, M., Yang, P., Song, C., Yu, H., Kim, T., Uhm, J., … &amp; Joung, B. (2019). Physical Activity and Risk of Atrial Fibrillation: A Nationwide Cohort Study in General Population</w:t>
      </w:r>
      <w:r w:rsidRPr="00FD73B4">
        <w:rPr>
          <w:rFonts w:ascii="Arial" w:eastAsia="Times New Roman" w:hAnsi="Arial" w:cs="Arial"/>
          <w:i/>
          <w:iCs/>
        </w:rPr>
        <w:t>. Scientific Reports</w:t>
      </w:r>
      <w:r w:rsidRPr="00FD73B4">
        <w:rPr>
          <w:rFonts w:ascii="Arial" w:eastAsia="Times New Roman" w:hAnsi="Arial" w:cs="Arial"/>
        </w:rPr>
        <w:t xml:space="preserve">, 9(1). </w:t>
      </w:r>
      <w:hyperlink r:id="rId41" w:history="1">
        <w:r w:rsidRPr="00FD73B4">
          <w:rPr>
            <w:rStyle w:val="Hyperlink"/>
            <w:rFonts w:ascii="Arial" w:hAnsi="Arial" w:cs="Arial"/>
          </w:rPr>
          <w:t>https://doi.org/10.1038/s41598-019-49686-w</w:t>
        </w:r>
      </w:hyperlink>
    </w:p>
    <w:p w14:paraId="33C40E4C"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Jin, S., Xie, L., Wang, J., Xia, K., &amp; Zhang, H. (2024). Disease burden of stroke and its subtypes attributable to low dietary fiber in China, 1990–2019. </w:t>
      </w:r>
      <w:r w:rsidRPr="00FD73B4">
        <w:rPr>
          <w:rFonts w:ascii="Arial" w:eastAsia="Times New Roman" w:hAnsi="Arial" w:cs="Arial"/>
          <w:i/>
          <w:iCs/>
        </w:rPr>
        <w:t>Scientific Reports</w:t>
      </w:r>
      <w:r w:rsidRPr="00FD73B4">
        <w:rPr>
          <w:rFonts w:ascii="Arial" w:eastAsia="Times New Roman" w:hAnsi="Arial" w:cs="Arial"/>
        </w:rPr>
        <w:t xml:space="preserve">, 14(1). </w:t>
      </w:r>
      <w:hyperlink r:id="rId42" w:history="1">
        <w:r w:rsidRPr="00FD73B4">
          <w:rPr>
            <w:rStyle w:val="Hyperlink"/>
            <w:rFonts w:ascii="Arial" w:hAnsi="Arial" w:cs="Arial"/>
          </w:rPr>
          <w:t>https://doi.org/10.1038/s41598-024-66639-0</w:t>
        </w:r>
      </w:hyperlink>
    </w:p>
    <w:p w14:paraId="03654B0F"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Jones, A., Ali, M., Kenny, M., Mayhew, A., Mokashi, V., He, H., … &amp; Griffith, L. (2024). Potentially Modifiable Risk Factors for Dementia and Mild Cognitive Impairment: An Umbrella Review and Meta-Analysis. </w:t>
      </w:r>
      <w:r w:rsidRPr="00FD73B4">
        <w:rPr>
          <w:rFonts w:ascii="Arial" w:hAnsi="Arial" w:cs="Arial"/>
          <w:i/>
          <w:iCs/>
        </w:rPr>
        <w:t>Dementia and Geriatric Cognitive Disorders</w:t>
      </w:r>
      <w:r w:rsidRPr="00FD73B4">
        <w:rPr>
          <w:rFonts w:ascii="Arial" w:hAnsi="Arial" w:cs="Arial"/>
        </w:rPr>
        <w:t xml:space="preserve">, 53(2), 91-106. </w:t>
      </w:r>
      <w:hyperlink r:id="rId43" w:history="1">
        <w:r w:rsidRPr="00FD73B4">
          <w:rPr>
            <w:rStyle w:val="Hyperlink"/>
            <w:rFonts w:ascii="Arial" w:hAnsi="Arial" w:cs="Arial"/>
          </w:rPr>
          <w:t>https://doi.org/10.1159/000536643</w:t>
        </w:r>
      </w:hyperlink>
    </w:p>
    <w:p w14:paraId="5FFD42EF"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lastRenderedPageBreak/>
        <w:t xml:space="preserve">Joundi, R., Patten, S., Williams, J., &amp; Smith, E. (2021). Association Between Excess Leisure Sedentary Time and Risk of Stroke in Young Individuals. </w:t>
      </w:r>
      <w:r w:rsidRPr="00FD73B4">
        <w:rPr>
          <w:rFonts w:ascii="Arial" w:eastAsia="Times New Roman" w:hAnsi="Arial" w:cs="Arial"/>
          <w:i/>
          <w:iCs/>
        </w:rPr>
        <w:t>Stroke</w:t>
      </w:r>
      <w:r w:rsidRPr="00FD73B4">
        <w:rPr>
          <w:rFonts w:ascii="Arial" w:eastAsia="Times New Roman" w:hAnsi="Arial" w:cs="Arial"/>
        </w:rPr>
        <w:t xml:space="preserve">, 52(11), 3562-3568. </w:t>
      </w:r>
      <w:hyperlink r:id="rId44" w:history="1">
        <w:r w:rsidRPr="00FD73B4">
          <w:rPr>
            <w:rStyle w:val="Hyperlink"/>
            <w:rFonts w:ascii="Arial" w:hAnsi="Arial" w:cs="Arial"/>
          </w:rPr>
          <w:t>https://doi.org/10.1161/strokeaha.121.034985</w:t>
        </w:r>
      </w:hyperlink>
    </w:p>
    <w:p w14:paraId="11FDA56A"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Kang, S., Eum, S., Chang, Y., Koyanagi, A., Jacob, L., Smith, L., … &amp; Song, T. (2022). Burden of neurological diseases in Asia from 1990 to 2019: a systematic analysis using the Global Burden of Disease Study data. </w:t>
      </w:r>
      <w:r w:rsidRPr="00FD73B4">
        <w:rPr>
          <w:rFonts w:ascii="Arial" w:hAnsi="Arial" w:cs="Arial"/>
          <w:i/>
          <w:iCs/>
        </w:rPr>
        <w:t>BMJ Open</w:t>
      </w:r>
      <w:r w:rsidRPr="00FD73B4">
        <w:rPr>
          <w:rFonts w:ascii="Arial" w:hAnsi="Arial" w:cs="Arial"/>
        </w:rPr>
        <w:t xml:space="preserve">, 12(9), e059548. </w:t>
      </w:r>
      <w:hyperlink r:id="rId45" w:history="1">
        <w:r w:rsidRPr="00FD73B4">
          <w:rPr>
            <w:rStyle w:val="Hyperlink"/>
            <w:rFonts w:ascii="Arial" w:hAnsi="Arial" w:cs="Arial"/>
          </w:rPr>
          <w:t>https://doi.org/10.1136/bmjopen-2021-059548</w:t>
        </w:r>
      </w:hyperlink>
    </w:p>
    <w:p w14:paraId="4ABF9E23"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Kim, M., Hwang, S., Park, E., &amp; Bae, J. (2013). Strict vegetarian diet improves the risk factors associated with metabolic diseases by modulating gut microbiota and reducing intestinal inflammation</w:t>
      </w:r>
      <w:r w:rsidRPr="00FD73B4">
        <w:rPr>
          <w:rFonts w:ascii="Arial" w:eastAsia="Times New Roman" w:hAnsi="Arial" w:cs="Arial"/>
          <w:i/>
          <w:iCs/>
        </w:rPr>
        <w:t>. Environmental Microbiology Reports</w:t>
      </w:r>
      <w:r w:rsidRPr="00FD73B4">
        <w:rPr>
          <w:rFonts w:ascii="Arial" w:eastAsia="Times New Roman" w:hAnsi="Arial" w:cs="Arial"/>
        </w:rPr>
        <w:t xml:space="preserve">, 5(5), 765-775. </w:t>
      </w:r>
      <w:hyperlink r:id="rId46" w:history="1">
        <w:r w:rsidRPr="00FD73B4">
          <w:rPr>
            <w:rStyle w:val="Hyperlink"/>
            <w:rFonts w:ascii="Arial" w:hAnsi="Arial" w:cs="Arial"/>
          </w:rPr>
          <w:t>https://doi.org/10.1111/1758-2229.12079</w:t>
        </w:r>
      </w:hyperlink>
    </w:p>
    <w:p w14:paraId="34227B42"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Klein-Geltink, J., Rochon, P., Dyer, S., Laxer, M., &amp; Anderson, G. (2007). Readers should systematically assess methods used to identify, measure and analyze confounding in observational cohort studies. </w:t>
      </w:r>
      <w:r w:rsidRPr="00FD73B4">
        <w:rPr>
          <w:rFonts w:ascii="Arial" w:eastAsia="Times New Roman" w:hAnsi="Arial" w:cs="Arial"/>
          <w:i/>
          <w:iCs/>
        </w:rPr>
        <w:t>Journal of Clinical Epidemiology</w:t>
      </w:r>
      <w:r w:rsidRPr="00FD73B4">
        <w:rPr>
          <w:rFonts w:ascii="Arial" w:eastAsia="Times New Roman" w:hAnsi="Arial" w:cs="Arial"/>
        </w:rPr>
        <w:t xml:space="preserve">, 60(8), 766.e1-766.e11. </w:t>
      </w:r>
      <w:hyperlink r:id="rId47" w:history="1">
        <w:r w:rsidRPr="00FD73B4">
          <w:rPr>
            <w:rStyle w:val="Hyperlink"/>
            <w:rFonts w:ascii="Arial" w:hAnsi="Arial" w:cs="Arial"/>
          </w:rPr>
          <w:t>https://doi.org/10.1016/j.jclinepi.2006.11.008</w:t>
        </w:r>
      </w:hyperlink>
    </w:p>
    <w:p w14:paraId="29DF64F3"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Kokubo, Y., Iso, H., Saito, I., Yamagishi, K., Ishihara, J., Inoue, M., … &amp; Tsugane, S. (2011). Dietary fiber intake and risk of cardiovascular disease in the Japanese population: the Japan Public Health Center-based study cohort</w:t>
      </w:r>
      <w:r w:rsidRPr="00FD73B4">
        <w:rPr>
          <w:rFonts w:ascii="Arial" w:eastAsia="Times New Roman" w:hAnsi="Arial" w:cs="Arial"/>
          <w:i/>
          <w:iCs/>
        </w:rPr>
        <w:t>. European Journal of Clinical Nutrition</w:t>
      </w:r>
      <w:r w:rsidRPr="00FD73B4">
        <w:rPr>
          <w:rFonts w:ascii="Arial" w:eastAsia="Times New Roman" w:hAnsi="Arial" w:cs="Arial"/>
        </w:rPr>
        <w:t xml:space="preserve">, 65(11), 1233-1241. </w:t>
      </w:r>
      <w:hyperlink r:id="rId48" w:history="1">
        <w:r w:rsidRPr="00FD73B4">
          <w:rPr>
            <w:rStyle w:val="Hyperlink"/>
            <w:rFonts w:ascii="Arial" w:hAnsi="Arial" w:cs="Arial"/>
          </w:rPr>
          <w:t>https://doi.org/10.1038/ejcn.2011.100</w:t>
        </w:r>
      </w:hyperlink>
    </w:p>
    <w:p w14:paraId="7A308D2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Koster, A., Caserotti, P., Patel, K., Matthews, C., Berrigan, D., Domelen, D., … &amp; Harris, T. (2012). Association of Sedentary Time with Mortality Independent of Moderate to Vigorous Physical Activity. </w:t>
      </w:r>
      <w:r w:rsidRPr="00FD73B4">
        <w:rPr>
          <w:rFonts w:ascii="Arial" w:eastAsia="Times New Roman" w:hAnsi="Arial" w:cs="Arial"/>
          <w:i/>
          <w:iCs/>
        </w:rPr>
        <w:t>Plos One</w:t>
      </w:r>
      <w:r w:rsidRPr="00FD73B4">
        <w:rPr>
          <w:rFonts w:ascii="Arial" w:eastAsia="Times New Roman" w:hAnsi="Arial" w:cs="Arial"/>
        </w:rPr>
        <w:t xml:space="preserve">, 7(6), e37696. </w:t>
      </w:r>
      <w:hyperlink r:id="rId49" w:history="1">
        <w:r w:rsidRPr="00FD73B4">
          <w:rPr>
            <w:rStyle w:val="Hyperlink"/>
            <w:rFonts w:ascii="Arial" w:hAnsi="Arial" w:cs="Arial"/>
          </w:rPr>
          <w:t>https://doi.org/10.1371/journal.pone.0037696</w:t>
        </w:r>
      </w:hyperlink>
    </w:p>
    <w:p w14:paraId="33A4DB74"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Lakerveld, J., Bot, S., Chinapaw, M., Tulder, M., Kostense, P., Dekker, J., … &amp; Nijpels, G. (2013). Motivational interviewing and problem solving treatment to reduce type 2 diabetes and cardiovascular disease risk in real life: a randomized controlled trial</w:t>
      </w:r>
      <w:r w:rsidRPr="00FD73B4">
        <w:rPr>
          <w:rFonts w:ascii="Arial" w:eastAsia="Times New Roman" w:hAnsi="Arial" w:cs="Arial"/>
          <w:i/>
          <w:iCs/>
        </w:rPr>
        <w:t>. International Journal of Behavioral Nutrition and Physical Activity</w:t>
      </w:r>
      <w:r w:rsidRPr="00FD73B4">
        <w:rPr>
          <w:rFonts w:ascii="Arial" w:eastAsia="Times New Roman" w:hAnsi="Arial" w:cs="Arial"/>
        </w:rPr>
        <w:t xml:space="preserve">, 10(1), 47. </w:t>
      </w:r>
      <w:hyperlink r:id="rId50" w:history="1">
        <w:r w:rsidRPr="00FD73B4">
          <w:rPr>
            <w:rStyle w:val="Hyperlink"/>
            <w:rFonts w:ascii="Arial" w:hAnsi="Arial" w:cs="Arial"/>
          </w:rPr>
          <w:t>https://doi.org/10.1186/1479-5868-10-47</w:t>
        </w:r>
      </w:hyperlink>
    </w:p>
    <w:p w14:paraId="5683BE64"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Langenberg, C., Sharp, S., Forouhi, N., Franks, P., Schulze, M., Kerrison, N., … &amp; Wareham, N. (2011). Design and cohort description of the InterAct Project: an examination of the interaction of genetic and lifestyle factors on the incidence of type 2 diabetes in the EPIC Study</w:t>
      </w:r>
      <w:r w:rsidRPr="00FD73B4">
        <w:rPr>
          <w:rFonts w:ascii="Arial" w:eastAsia="Times New Roman" w:hAnsi="Arial" w:cs="Arial"/>
          <w:i/>
          <w:iCs/>
        </w:rPr>
        <w:t>. Diabetologia</w:t>
      </w:r>
      <w:r w:rsidRPr="00FD73B4">
        <w:rPr>
          <w:rFonts w:ascii="Arial" w:eastAsia="Times New Roman" w:hAnsi="Arial" w:cs="Arial"/>
        </w:rPr>
        <w:t xml:space="preserve">, 54(9), 2272-2282. </w:t>
      </w:r>
      <w:hyperlink r:id="rId51" w:history="1">
        <w:r w:rsidRPr="00FD73B4">
          <w:rPr>
            <w:rStyle w:val="Hyperlink"/>
            <w:rFonts w:ascii="Arial" w:hAnsi="Arial" w:cs="Arial"/>
          </w:rPr>
          <w:t>https://doi.org/10.1007/s00125-011-2182-9</w:t>
        </w:r>
      </w:hyperlink>
    </w:p>
    <w:p w14:paraId="172BE696"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lastRenderedPageBreak/>
        <w:t>Larsson, S., Åkesson, A., &amp; Wolk, A. (2014). Healthy diet and lifestyle and risk of stroke in a prospective cohort of women</w:t>
      </w:r>
      <w:r w:rsidRPr="00FD73B4">
        <w:rPr>
          <w:rFonts w:ascii="Arial" w:eastAsia="Times New Roman" w:hAnsi="Arial" w:cs="Arial"/>
          <w:i/>
          <w:iCs/>
        </w:rPr>
        <w:t>. Neurology</w:t>
      </w:r>
      <w:r w:rsidRPr="00FD73B4">
        <w:rPr>
          <w:rFonts w:ascii="Arial" w:eastAsia="Times New Roman" w:hAnsi="Arial" w:cs="Arial"/>
        </w:rPr>
        <w:t xml:space="preserve">, 83(19), 1699-1704. </w:t>
      </w:r>
      <w:hyperlink r:id="rId52" w:history="1">
        <w:r w:rsidRPr="00FD73B4">
          <w:rPr>
            <w:rStyle w:val="Hyperlink"/>
            <w:rFonts w:ascii="Arial" w:hAnsi="Arial" w:cs="Arial"/>
          </w:rPr>
          <w:t>https://doi.org/10.1212/wnl.0000000000000954</w:t>
        </w:r>
      </w:hyperlink>
    </w:p>
    <w:p w14:paraId="0A39BD52"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Law, J., Dornstauder, M., Charlton, J., &amp; Gréaux, M. (2021). Tele</w:t>
      </w:r>
      <w:r w:rsidRPr="00FD73B4">
        <w:rPr>
          <w:rFonts w:ascii="Cambria Math" w:hAnsi="Cambria Math" w:cs="Cambria Math"/>
        </w:rPr>
        <w:t>‐</w:t>
      </w:r>
      <w:r w:rsidRPr="00FD73B4">
        <w:rPr>
          <w:rFonts w:ascii="Arial" w:hAnsi="Arial" w:cs="Arial"/>
        </w:rPr>
        <w:t>practice for children and young people with communication disabilities: Employing the COM</w:t>
      </w:r>
      <w:r w:rsidRPr="00FD73B4">
        <w:rPr>
          <w:rFonts w:ascii="Cambria Math" w:hAnsi="Cambria Math" w:cs="Cambria Math"/>
        </w:rPr>
        <w:t>‐</w:t>
      </w:r>
      <w:r w:rsidRPr="00FD73B4">
        <w:rPr>
          <w:rFonts w:ascii="Arial" w:hAnsi="Arial" w:cs="Arial"/>
        </w:rPr>
        <w:t xml:space="preserve">B model to review the intervention literature and inform guidance for practitioners. </w:t>
      </w:r>
      <w:r w:rsidRPr="00FD73B4">
        <w:rPr>
          <w:rFonts w:ascii="Arial" w:hAnsi="Arial" w:cs="Arial"/>
          <w:i/>
          <w:iCs/>
        </w:rPr>
        <w:t>International Journal of Language &amp; Communication Disorders</w:t>
      </w:r>
      <w:r w:rsidRPr="00FD73B4">
        <w:rPr>
          <w:rFonts w:ascii="Arial" w:hAnsi="Arial" w:cs="Arial"/>
        </w:rPr>
        <w:t xml:space="preserve">, 56(2), 415-434. </w:t>
      </w:r>
      <w:hyperlink r:id="rId53" w:history="1">
        <w:r w:rsidRPr="00FD73B4">
          <w:rPr>
            <w:rStyle w:val="Hyperlink"/>
            <w:rFonts w:ascii="Arial" w:hAnsi="Arial" w:cs="Arial"/>
          </w:rPr>
          <w:t>https://doi.org/10.1111/1460-6984.12592</w:t>
        </w:r>
      </w:hyperlink>
    </w:p>
    <w:p w14:paraId="6420A870"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Lawrence, M., Kerr, S., Watson, H., Paton, G. and Ellis, G. (2010)</w:t>
      </w:r>
      <w:r w:rsidRPr="00FD73B4">
        <w:rPr>
          <w:rFonts w:ascii="Arial" w:hAnsi="Arial" w:cs="Arial"/>
        </w:rPr>
        <w:br/>
        <w:t xml:space="preserve">An exploration of lifestyle beliefs and lifestyle behaviour following stroke: findings from a focus group study of patients and family members. </w:t>
      </w:r>
      <w:r w:rsidRPr="00FD73B4">
        <w:rPr>
          <w:rStyle w:val="Emphasis"/>
          <w:rFonts w:ascii="Arial" w:hAnsi="Arial" w:cs="Arial"/>
        </w:rPr>
        <w:t>BMC Family Practice</w:t>
      </w:r>
      <w:r w:rsidRPr="00FD73B4">
        <w:rPr>
          <w:rFonts w:ascii="Arial" w:hAnsi="Arial" w:cs="Arial"/>
        </w:rPr>
        <w:t xml:space="preserve">, 11(97). </w:t>
      </w:r>
      <w:hyperlink r:id="rId54" w:history="1">
        <w:r w:rsidRPr="00FD73B4">
          <w:rPr>
            <w:rStyle w:val="Hyperlink"/>
            <w:rFonts w:ascii="Arial" w:hAnsi="Arial" w:cs="Arial"/>
          </w:rPr>
          <w:t>https://doi.org/10.1186/1471-2296-11-97</w:t>
        </w:r>
      </w:hyperlink>
    </w:p>
    <w:p w14:paraId="53EAACA0"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Lee, D., Nam, J., Kwon, S., Keum, N., Lee, J., Shin, M., … &amp; Oh, H. (2020). Lifestyle risk score and mortality in Korean adults: a population-based cohort study. </w:t>
      </w:r>
      <w:r w:rsidRPr="00FD73B4">
        <w:rPr>
          <w:rFonts w:ascii="Arial" w:hAnsi="Arial" w:cs="Arial"/>
          <w:i/>
          <w:iCs/>
        </w:rPr>
        <w:t>Scientific Reports</w:t>
      </w:r>
      <w:r w:rsidRPr="00FD73B4">
        <w:rPr>
          <w:rFonts w:ascii="Arial" w:hAnsi="Arial" w:cs="Arial"/>
        </w:rPr>
        <w:t xml:space="preserve">, 10(1). </w:t>
      </w:r>
      <w:hyperlink r:id="rId55" w:history="1">
        <w:r w:rsidRPr="00FD73B4">
          <w:rPr>
            <w:rStyle w:val="Hyperlink"/>
            <w:rFonts w:ascii="Arial" w:hAnsi="Arial" w:cs="Arial"/>
          </w:rPr>
          <w:t>https://doi.org/10.1038/s41598-020-66742-y</w:t>
        </w:r>
      </w:hyperlink>
    </w:p>
    <w:p w14:paraId="6CED4B17"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Lee, J., Lown, D., Owen, P., &amp; Hope, J. (2024). Review article: Scoping review of interventions that reduce mechanical restraint in the emergency department. </w:t>
      </w:r>
      <w:r w:rsidRPr="00FD73B4">
        <w:rPr>
          <w:rFonts w:ascii="Arial" w:eastAsia="Times New Roman" w:hAnsi="Arial" w:cs="Arial"/>
          <w:i/>
          <w:iCs/>
        </w:rPr>
        <w:t>Emergency Medicine Australasia</w:t>
      </w:r>
      <w:r w:rsidRPr="00FD73B4">
        <w:rPr>
          <w:rFonts w:ascii="Arial" w:eastAsia="Times New Roman" w:hAnsi="Arial" w:cs="Arial"/>
        </w:rPr>
        <w:t xml:space="preserve">, 37(1). </w:t>
      </w:r>
      <w:hyperlink r:id="rId56" w:history="1">
        <w:r w:rsidRPr="00FD73B4">
          <w:rPr>
            <w:rStyle w:val="Hyperlink"/>
            <w:rFonts w:ascii="Arial" w:hAnsi="Arial" w:cs="Arial"/>
          </w:rPr>
          <w:t>https://doi.org/10.1111/1742-6723.14498</w:t>
        </w:r>
      </w:hyperlink>
    </w:p>
    <w:p w14:paraId="6666B0CE"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Leeuwen, K., Loon, M., Nes, F., Bosmans, J., Vet, H., Ket, J., … &amp; Ostelo, R. (2019). What does quality of life mean to older adults? A thematic synthesis</w:t>
      </w:r>
      <w:r w:rsidRPr="00FD73B4">
        <w:rPr>
          <w:rFonts w:ascii="Arial" w:eastAsia="Times New Roman" w:hAnsi="Arial" w:cs="Arial"/>
          <w:i/>
          <w:iCs/>
        </w:rPr>
        <w:t>. Plos One</w:t>
      </w:r>
      <w:r w:rsidRPr="00FD73B4">
        <w:rPr>
          <w:rFonts w:ascii="Arial" w:eastAsia="Times New Roman" w:hAnsi="Arial" w:cs="Arial"/>
        </w:rPr>
        <w:t xml:space="preserve">, 14(3), e0213263. </w:t>
      </w:r>
      <w:hyperlink r:id="rId57" w:history="1">
        <w:r w:rsidRPr="00FD73B4">
          <w:rPr>
            <w:rStyle w:val="Hyperlink"/>
            <w:rFonts w:ascii="Arial" w:hAnsi="Arial" w:cs="Arial"/>
          </w:rPr>
          <w:t>https://doi.org/10.1371/journal.pone.0213263</w:t>
        </w:r>
      </w:hyperlink>
    </w:p>
    <w:p w14:paraId="0C99CDFE"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Letellier, N., Zamora, S., Yang, J., Sears, D., Jankowska, M., &amp; Benmarhnia, T. (2022). How do environmental characteristics jointly contribute to cardiometabolic health? A quantile g-computation mixture analysis. </w:t>
      </w:r>
      <w:r w:rsidRPr="00FD73B4">
        <w:rPr>
          <w:rFonts w:ascii="Arial" w:eastAsia="Times New Roman" w:hAnsi="Arial" w:cs="Arial"/>
          <w:i/>
          <w:iCs/>
        </w:rPr>
        <w:t>Preventive Medicine Reports</w:t>
      </w:r>
      <w:r w:rsidRPr="00FD73B4">
        <w:rPr>
          <w:rFonts w:ascii="Arial" w:eastAsia="Times New Roman" w:hAnsi="Arial" w:cs="Arial"/>
        </w:rPr>
        <w:t xml:space="preserve">, 30, 102005. </w:t>
      </w:r>
      <w:hyperlink r:id="rId58" w:history="1">
        <w:r w:rsidRPr="00FD73B4">
          <w:rPr>
            <w:rStyle w:val="Hyperlink"/>
            <w:rFonts w:ascii="Arial" w:hAnsi="Arial" w:cs="Arial"/>
          </w:rPr>
          <w:t>https://doi.org/10.1016/j.pmedr.2022.102005</w:t>
        </w:r>
      </w:hyperlink>
    </w:p>
    <w:p w14:paraId="0380461F"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Li, C., Ford, E., Mokdad, A., Balluz, L., Brown, D., &amp; Giles, W. (2008). Clustering of Cardiovascular Disease Risk Factors and Health-Related Quality of Life among US Adults. </w:t>
      </w:r>
      <w:r w:rsidRPr="00FD73B4">
        <w:rPr>
          <w:rFonts w:ascii="Arial" w:hAnsi="Arial" w:cs="Arial"/>
          <w:i/>
          <w:iCs/>
        </w:rPr>
        <w:t>Value in Health</w:t>
      </w:r>
      <w:r w:rsidRPr="00FD73B4">
        <w:rPr>
          <w:rFonts w:ascii="Arial" w:hAnsi="Arial" w:cs="Arial"/>
        </w:rPr>
        <w:t xml:space="preserve">, 11(4), 689-699. </w:t>
      </w:r>
      <w:hyperlink r:id="rId59" w:history="1">
        <w:r w:rsidRPr="00FD73B4">
          <w:rPr>
            <w:rStyle w:val="Hyperlink"/>
            <w:rFonts w:ascii="Arial" w:hAnsi="Arial" w:cs="Arial"/>
          </w:rPr>
          <w:t>https://doi.org/10.1111/j.1524-4733.2007.00307.x</w:t>
        </w:r>
      </w:hyperlink>
    </w:p>
    <w:p w14:paraId="6B0EB34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Livingstone, K., Abbott, G., Ward, J., &amp; Bowe, S. (2021). Unhealthy Lifestyle, Genetics and Risk of Cardiovascular Disease and Mortality in 76,958 Individuals from the UK Biobank Cohort Study. </w:t>
      </w:r>
      <w:r w:rsidRPr="00FD73B4">
        <w:rPr>
          <w:rFonts w:ascii="Arial" w:eastAsia="Times New Roman" w:hAnsi="Arial" w:cs="Arial"/>
          <w:i/>
          <w:iCs/>
        </w:rPr>
        <w:t>Nutrients</w:t>
      </w:r>
      <w:r w:rsidRPr="00FD73B4">
        <w:rPr>
          <w:rFonts w:ascii="Arial" w:eastAsia="Times New Roman" w:hAnsi="Arial" w:cs="Arial"/>
        </w:rPr>
        <w:t xml:space="preserve">, 13(12), 4283. </w:t>
      </w:r>
      <w:hyperlink r:id="rId60" w:history="1">
        <w:r w:rsidRPr="00FD73B4">
          <w:rPr>
            <w:rStyle w:val="Hyperlink"/>
            <w:rFonts w:ascii="Arial" w:hAnsi="Arial" w:cs="Arial"/>
          </w:rPr>
          <w:t>https://doi.org/10.3390/nu13124283</w:t>
        </w:r>
      </w:hyperlink>
    </w:p>
    <w:p w14:paraId="2DFFB3F5"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lastRenderedPageBreak/>
        <w:t xml:space="preserve">Lou, H., Dong, Z., Zhang, P., Shao, X., Li, T., Zhao, C., … &amp; Lou, P. (2018). Interaction of diabetes and smoking on stroke: a population-based cross-sectional survey in China. </w:t>
      </w:r>
      <w:r w:rsidRPr="00FD73B4">
        <w:rPr>
          <w:rFonts w:ascii="Arial" w:hAnsi="Arial" w:cs="Arial"/>
          <w:i/>
          <w:iCs/>
        </w:rPr>
        <w:t>BMJ Open</w:t>
      </w:r>
      <w:r w:rsidRPr="00FD73B4">
        <w:rPr>
          <w:rFonts w:ascii="Arial" w:hAnsi="Arial" w:cs="Arial"/>
        </w:rPr>
        <w:t xml:space="preserve">, 8(4), e017706. </w:t>
      </w:r>
      <w:hyperlink r:id="rId61" w:history="1">
        <w:r w:rsidRPr="00FD73B4">
          <w:rPr>
            <w:rStyle w:val="Hyperlink"/>
            <w:rFonts w:ascii="Arial" w:hAnsi="Arial" w:cs="Arial"/>
          </w:rPr>
          <w:t>https://doi.org/10.1136/bmjopen-2017-017706</w:t>
        </w:r>
      </w:hyperlink>
    </w:p>
    <w:p w14:paraId="45A794D9"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Luke, A., Dugas, L., Durazo-Arvizú, R., Cao, G., &amp; Cooper, R. (2011). Assessing Physical Activity and its Relationship to Cardiovascular Risk Factors: NHANES 2003-2006</w:t>
      </w:r>
      <w:r w:rsidRPr="00FD73B4">
        <w:rPr>
          <w:rFonts w:ascii="Arial" w:eastAsia="Times New Roman" w:hAnsi="Arial" w:cs="Arial"/>
          <w:i/>
          <w:iCs/>
        </w:rPr>
        <w:t>. BMC Public Health</w:t>
      </w:r>
      <w:r w:rsidRPr="00FD73B4">
        <w:rPr>
          <w:rFonts w:ascii="Arial" w:eastAsia="Times New Roman" w:hAnsi="Arial" w:cs="Arial"/>
        </w:rPr>
        <w:t xml:space="preserve">, 11(1). </w:t>
      </w:r>
      <w:hyperlink r:id="rId62" w:history="1">
        <w:r w:rsidRPr="00FD73B4">
          <w:rPr>
            <w:rStyle w:val="Hyperlink"/>
            <w:rFonts w:ascii="Arial" w:hAnsi="Arial" w:cs="Arial"/>
          </w:rPr>
          <w:t>https://doi.org/10.1186/1471-2458-11-387</w:t>
        </w:r>
      </w:hyperlink>
    </w:p>
    <w:p w14:paraId="49061050"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Malambo, P., Kengne, A., Villiers, A., Lambert, E., &amp; Puoane, T. (2016). Built Environment, Selected Risk Factors and Major Cardiovascular Disease Outcomes: A Systematic Review</w:t>
      </w:r>
      <w:r w:rsidRPr="00FD73B4">
        <w:rPr>
          <w:rFonts w:ascii="Arial" w:eastAsia="Times New Roman" w:hAnsi="Arial" w:cs="Arial"/>
          <w:i/>
          <w:iCs/>
        </w:rPr>
        <w:t>. Plos One</w:t>
      </w:r>
      <w:r w:rsidRPr="00FD73B4">
        <w:rPr>
          <w:rFonts w:ascii="Arial" w:eastAsia="Times New Roman" w:hAnsi="Arial" w:cs="Arial"/>
        </w:rPr>
        <w:t xml:space="preserve">, 11(11), e0166846. </w:t>
      </w:r>
      <w:hyperlink r:id="rId63" w:history="1">
        <w:r w:rsidRPr="00FD73B4">
          <w:rPr>
            <w:rStyle w:val="Hyperlink"/>
            <w:rFonts w:ascii="Arial" w:hAnsi="Arial" w:cs="Arial"/>
          </w:rPr>
          <w:t>https://doi.org/10.1371/journal.pone.0166846</w:t>
        </w:r>
      </w:hyperlink>
    </w:p>
    <w:p w14:paraId="08ACB1D8"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McKenzie, G., Willis, C., &amp; Shields, N. (2021). Barriers and facilitators of physical activity participation for young people and adults with childhood</w:t>
      </w:r>
      <w:r w:rsidRPr="00FD73B4">
        <w:rPr>
          <w:rFonts w:ascii="Cambria Math" w:eastAsia="Times New Roman" w:hAnsi="Cambria Math" w:cs="Cambria Math"/>
        </w:rPr>
        <w:t>‐</w:t>
      </w:r>
      <w:r w:rsidRPr="00FD73B4">
        <w:rPr>
          <w:rFonts w:ascii="Arial" w:eastAsia="Times New Roman" w:hAnsi="Arial" w:cs="Arial"/>
        </w:rPr>
        <w:t xml:space="preserve">onset physical disability: a mixed methods systematic review. </w:t>
      </w:r>
      <w:r w:rsidRPr="00FD73B4">
        <w:rPr>
          <w:rFonts w:ascii="Arial" w:eastAsia="Times New Roman" w:hAnsi="Arial" w:cs="Arial"/>
          <w:i/>
          <w:iCs/>
        </w:rPr>
        <w:t>Developmental Medicine &amp; Child Neurology</w:t>
      </w:r>
      <w:r w:rsidRPr="00FD73B4">
        <w:rPr>
          <w:rFonts w:ascii="Arial" w:eastAsia="Times New Roman" w:hAnsi="Arial" w:cs="Arial"/>
        </w:rPr>
        <w:t xml:space="preserve">, 63(8), 914-924. </w:t>
      </w:r>
      <w:hyperlink r:id="rId64" w:history="1">
        <w:r w:rsidRPr="00FD73B4">
          <w:rPr>
            <w:rStyle w:val="Hyperlink"/>
            <w:rFonts w:ascii="Arial" w:hAnsi="Arial" w:cs="Arial"/>
          </w:rPr>
          <w:t>https://doi.org/10.1111/dmcn.14830</w:t>
        </w:r>
      </w:hyperlink>
    </w:p>
    <w:p w14:paraId="642F6AB5"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Miguet, M., Venetis, S., Rukh, G., Lind, L. and Schiöth, H.B. (2021)</w:t>
      </w:r>
      <w:r w:rsidRPr="00FD73B4">
        <w:rPr>
          <w:rFonts w:ascii="Arial" w:hAnsi="Arial" w:cs="Arial"/>
        </w:rPr>
        <w:br/>
        <w:t>Time spent outdoors and risk of myocardial infarction and stroke in middle and old aged adults: Results from the UK Biobank prospective cohort</w:t>
      </w:r>
      <w:r w:rsidRPr="00FD73B4">
        <w:rPr>
          <w:rFonts w:ascii="Arial" w:hAnsi="Arial" w:cs="Arial"/>
          <w:i/>
          <w:iCs/>
        </w:rPr>
        <w:t xml:space="preserve">. </w:t>
      </w:r>
      <w:r w:rsidRPr="00FD73B4">
        <w:rPr>
          <w:rStyle w:val="Emphasis"/>
          <w:rFonts w:ascii="Arial" w:hAnsi="Arial" w:cs="Arial"/>
          <w:i w:val="0"/>
          <w:iCs w:val="0"/>
        </w:rPr>
        <w:t>Environmental Research</w:t>
      </w:r>
      <w:r w:rsidRPr="00FD73B4">
        <w:rPr>
          <w:rFonts w:ascii="Arial" w:hAnsi="Arial" w:cs="Arial"/>
        </w:rPr>
        <w:t xml:space="preserve">, 199, 111350. </w:t>
      </w:r>
      <w:hyperlink r:id="rId65" w:history="1">
        <w:r w:rsidRPr="00FD73B4">
          <w:rPr>
            <w:rStyle w:val="Hyperlink"/>
            <w:rFonts w:ascii="Arial" w:hAnsi="Arial" w:cs="Arial"/>
          </w:rPr>
          <w:t>https://doi.org/10.1016/j.envres.2021.111350</w:t>
        </w:r>
      </w:hyperlink>
    </w:p>
    <w:p w14:paraId="0A1D8749"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Munthe</w:t>
      </w:r>
      <w:r w:rsidRPr="00FD73B4">
        <w:rPr>
          <w:rFonts w:ascii="Cambria Math" w:eastAsia="Times New Roman" w:hAnsi="Cambria Math" w:cs="Cambria Math"/>
        </w:rPr>
        <w:t>‐</w:t>
      </w:r>
      <w:r w:rsidRPr="00FD73B4">
        <w:rPr>
          <w:rFonts w:ascii="Arial" w:eastAsia="Times New Roman" w:hAnsi="Arial" w:cs="Arial"/>
        </w:rPr>
        <w:t xml:space="preserve">Kaas, H., Glenton, C., Booth, A., Noyes, J., &amp; Lewin, S. (2019). Systematic mapping of existing tools to appraise methodological strengths and limitations of qualitative research: first stage in the development of the CAMELOT tool. </w:t>
      </w:r>
      <w:r w:rsidRPr="00FD73B4">
        <w:rPr>
          <w:rFonts w:ascii="Arial" w:eastAsia="Times New Roman" w:hAnsi="Arial" w:cs="Arial"/>
          <w:i/>
          <w:iCs/>
        </w:rPr>
        <w:t>BMC Medical Research Methodology</w:t>
      </w:r>
      <w:r w:rsidRPr="00FD73B4">
        <w:rPr>
          <w:rFonts w:ascii="Arial" w:eastAsia="Times New Roman" w:hAnsi="Arial" w:cs="Arial"/>
        </w:rPr>
        <w:t xml:space="preserve">, 19(1). </w:t>
      </w:r>
      <w:hyperlink r:id="rId66" w:history="1">
        <w:r w:rsidRPr="00FD73B4">
          <w:rPr>
            <w:rStyle w:val="Hyperlink"/>
            <w:rFonts w:ascii="Arial" w:hAnsi="Arial" w:cs="Arial"/>
          </w:rPr>
          <w:t>https://doi.org/10.1186/s12874-019-0728-6</w:t>
        </w:r>
      </w:hyperlink>
    </w:p>
    <w:p w14:paraId="29DBB3B8"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Myhrstad, M., Tunsjø, H., Charnock, C., &amp; Telle</w:t>
      </w:r>
      <w:r w:rsidRPr="00FD73B4">
        <w:rPr>
          <w:rFonts w:ascii="Cambria Math" w:eastAsia="Times New Roman" w:hAnsi="Cambria Math" w:cs="Cambria Math"/>
        </w:rPr>
        <w:t>‐</w:t>
      </w:r>
      <w:r w:rsidRPr="00FD73B4">
        <w:rPr>
          <w:rFonts w:ascii="Arial" w:eastAsia="Times New Roman" w:hAnsi="Arial" w:cs="Arial"/>
        </w:rPr>
        <w:t xml:space="preserve">Hansen, V. (2020). Dietary Fiber, Gut Microbiota, and Metabolic Regulation—Current Status in Human Randomized Trials. </w:t>
      </w:r>
      <w:r w:rsidRPr="00FD73B4">
        <w:rPr>
          <w:rFonts w:ascii="Arial" w:eastAsia="Times New Roman" w:hAnsi="Arial" w:cs="Arial"/>
          <w:i/>
          <w:iCs/>
        </w:rPr>
        <w:t>Nutrients</w:t>
      </w:r>
      <w:r w:rsidRPr="00FD73B4">
        <w:rPr>
          <w:rFonts w:ascii="Arial" w:eastAsia="Times New Roman" w:hAnsi="Arial" w:cs="Arial"/>
        </w:rPr>
        <w:t xml:space="preserve">, 12(3), 859. </w:t>
      </w:r>
      <w:hyperlink r:id="rId67" w:history="1">
        <w:r w:rsidRPr="00FD73B4">
          <w:rPr>
            <w:rStyle w:val="Hyperlink"/>
            <w:rFonts w:ascii="Arial" w:hAnsi="Arial" w:cs="Arial"/>
          </w:rPr>
          <w:t>https://doi.org/10.3390/nu12030859</w:t>
        </w:r>
      </w:hyperlink>
    </w:p>
    <w:p w14:paraId="6C8A5629"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O’Doherty, D., Dromey, M., Lougheed, J., Hannigan, A., Last, J., &amp; McGrath, D. (2018). Barriers and solutions to online learning in medical education – an integrative review. </w:t>
      </w:r>
      <w:r w:rsidRPr="00FD73B4">
        <w:rPr>
          <w:rFonts w:ascii="Arial" w:eastAsia="Times New Roman" w:hAnsi="Arial" w:cs="Arial"/>
          <w:i/>
          <w:iCs/>
        </w:rPr>
        <w:t>BMC Medical Education</w:t>
      </w:r>
      <w:r w:rsidRPr="00FD73B4">
        <w:rPr>
          <w:rFonts w:ascii="Arial" w:eastAsia="Times New Roman" w:hAnsi="Arial" w:cs="Arial"/>
        </w:rPr>
        <w:t xml:space="preserve">, 18(1). </w:t>
      </w:r>
      <w:hyperlink r:id="rId68" w:history="1">
        <w:r w:rsidRPr="00FD73B4">
          <w:rPr>
            <w:rStyle w:val="Hyperlink"/>
            <w:rFonts w:ascii="Arial" w:hAnsi="Arial" w:cs="Arial"/>
          </w:rPr>
          <w:t>https://doi.org/10.1186/s12909-018-1240-0</w:t>
        </w:r>
      </w:hyperlink>
    </w:p>
    <w:p w14:paraId="12184534"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Osborn, D., Burton, A., Walters, K., Nazareth, I., Heinkel, S., Atkins, L., … &amp; Robinson, V. (2016). Evaluating the clinical and cost effectiveness of a behaviour change intervention for lowering cardiovascular disease risk for people with severe mental illnesses in primary care (PRIMROSE study): study protocol for a cluster randomised controlled trial. </w:t>
      </w:r>
      <w:r w:rsidRPr="00FD73B4">
        <w:rPr>
          <w:rFonts w:ascii="Arial" w:eastAsia="Times New Roman" w:hAnsi="Arial" w:cs="Arial"/>
          <w:i/>
          <w:iCs/>
        </w:rPr>
        <w:t>Trials</w:t>
      </w:r>
      <w:r w:rsidRPr="00FD73B4">
        <w:rPr>
          <w:rFonts w:ascii="Arial" w:eastAsia="Times New Roman" w:hAnsi="Arial" w:cs="Arial"/>
        </w:rPr>
        <w:t xml:space="preserve">, 17(1). </w:t>
      </w:r>
      <w:hyperlink r:id="rId69" w:history="1">
        <w:r w:rsidRPr="00FD73B4">
          <w:rPr>
            <w:rStyle w:val="Hyperlink"/>
            <w:rFonts w:ascii="Arial" w:hAnsi="Arial" w:cs="Arial"/>
          </w:rPr>
          <w:t>https://doi.org/10.1186/s13063-016-1176-9</w:t>
        </w:r>
      </w:hyperlink>
    </w:p>
    <w:p w14:paraId="48239B5B"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lastRenderedPageBreak/>
        <w:t xml:space="preserve">Park, S. (2024). Interplay between polygenic variants related immune response and lifestyle factors mitigate the chances of stroke in a genome-wide association study. </w:t>
      </w:r>
      <w:r w:rsidRPr="00FD73B4">
        <w:rPr>
          <w:rFonts w:ascii="Arial" w:eastAsia="Times New Roman" w:hAnsi="Arial" w:cs="Arial"/>
          <w:i/>
          <w:iCs/>
        </w:rPr>
        <w:t>British Journal of Nutrition</w:t>
      </w:r>
      <w:r w:rsidRPr="00FD73B4">
        <w:rPr>
          <w:rFonts w:ascii="Arial" w:eastAsia="Times New Roman" w:hAnsi="Arial" w:cs="Arial"/>
        </w:rPr>
        <w:t xml:space="preserve">, 1-14. </w:t>
      </w:r>
      <w:hyperlink r:id="rId70" w:history="1">
        <w:r w:rsidRPr="00FD73B4">
          <w:rPr>
            <w:rStyle w:val="Hyperlink"/>
            <w:rFonts w:ascii="Arial" w:hAnsi="Arial" w:cs="Arial"/>
          </w:rPr>
          <w:t>https://doi.org/10.1017/s0007114524000394</w:t>
        </w:r>
      </w:hyperlink>
    </w:p>
    <w:p w14:paraId="190BC621"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Paterson, K.E., Myint, P.K., Jennings, A., Bain, L.K.M., Lentjes, M.A.H., Khaw, K.-T. and Welch, A.A. (2018)</w:t>
      </w:r>
      <w:r w:rsidRPr="00FD73B4">
        <w:rPr>
          <w:rFonts w:ascii="Arial" w:hAnsi="Arial" w:cs="Arial"/>
        </w:rPr>
        <w:br/>
        <w:t xml:space="preserve">Mediterranean diet reduces risk of incident stroke in a population with varying cardiovascular disease risk profiles. </w:t>
      </w:r>
      <w:r w:rsidRPr="00FD73B4">
        <w:rPr>
          <w:rStyle w:val="Emphasis"/>
          <w:rFonts w:ascii="Arial" w:hAnsi="Arial" w:cs="Arial"/>
        </w:rPr>
        <w:t>Stroke</w:t>
      </w:r>
      <w:r w:rsidRPr="00FD73B4">
        <w:rPr>
          <w:rFonts w:ascii="Arial" w:hAnsi="Arial" w:cs="Arial"/>
        </w:rPr>
        <w:t xml:space="preserve">, 49(10), pp.2415–2420. </w:t>
      </w:r>
      <w:hyperlink r:id="rId71" w:history="1">
        <w:r w:rsidRPr="00FD73B4">
          <w:rPr>
            <w:rStyle w:val="Hyperlink"/>
            <w:rFonts w:ascii="Arial" w:hAnsi="Arial" w:cs="Arial"/>
          </w:rPr>
          <w:t>https://doi.org/10.1161/STROKEAHA.117.020258</w:t>
        </w:r>
      </w:hyperlink>
    </w:p>
    <w:p w14:paraId="73BCB22F"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Patino</w:t>
      </w:r>
      <w:r w:rsidRPr="00FD73B4">
        <w:rPr>
          <w:rFonts w:ascii="Cambria Math" w:hAnsi="Cambria Math" w:cs="Cambria Math"/>
        </w:rPr>
        <w:t>‐</w:t>
      </w:r>
      <w:r w:rsidRPr="00FD73B4">
        <w:rPr>
          <w:rFonts w:ascii="Arial" w:hAnsi="Arial" w:cs="Arial"/>
        </w:rPr>
        <w:t>Alonso, M., Recio-Rodríguez, J., Magdalena-Belio, J., Giné-Garriga, M., Martínez</w:t>
      </w:r>
      <w:r w:rsidRPr="00FD73B4">
        <w:rPr>
          <w:rFonts w:ascii="Cambria Math" w:hAnsi="Cambria Math" w:cs="Cambria Math"/>
        </w:rPr>
        <w:t>‐</w:t>
      </w:r>
      <w:r w:rsidRPr="00FD73B4">
        <w:rPr>
          <w:rFonts w:ascii="Arial" w:hAnsi="Arial" w:cs="Arial"/>
        </w:rPr>
        <w:t>Vizcaíno, V., Fernández-Alonso, C., … &amp; García</w:t>
      </w:r>
      <w:r w:rsidRPr="00FD73B4">
        <w:rPr>
          <w:rFonts w:ascii="Cambria Math" w:hAnsi="Cambria Math" w:cs="Cambria Math"/>
        </w:rPr>
        <w:t>‐</w:t>
      </w:r>
      <w:r w:rsidRPr="00FD73B4">
        <w:rPr>
          <w:rFonts w:ascii="Arial" w:hAnsi="Arial" w:cs="Arial"/>
        </w:rPr>
        <w:t xml:space="preserve">Ortiz, L. (2015). Clustering of lifestyle characteristics and their association with cardio-metabolic health: the Lifestyles and Endothelial Dysfunction (EVIDENT) study. </w:t>
      </w:r>
      <w:r w:rsidRPr="00FD73B4">
        <w:rPr>
          <w:rFonts w:ascii="Arial" w:hAnsi="Arial" w:cs="Arial"/>
          <w:i/>
          <w:iCs/>
        </w:rPr>
        <w:t>British Journal of Nutrition</w:t>
      </w:r>
      <w:r w:rsidRPr="00FD73B4">
        <w:rPr>
          <w:rFonts w:ascii="Arial" w:hAnsi="Arial" w:cs="Arial"/>
        </w:rPr>
        <w:t xml:space="preserve">, 114(6), 943-951. </w:t>
      </w:r>
      <w:hyperlink r:id="rId72" w:history="1">
        <w:r w:rsidRPr="00FD73B4">
          <w:rPr>
            <w:rStyle w:val="Hyperlink"/>
            <w:rFonts w:ascii="Arial" w:hAnsi="Arial" w:cs="Arial"/>
          </w:rPr>
          <w:t>https://doi.org/10.1017/s0007114515002500</w:t>
        </w:r>
      </w:hyperlink>
    </w:p>
    <w:p w14:paraId="290C98E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Ruesten, A., Weikert, C., Fietze, I., &amp; Boeing, H. (2012). Association of Sleep Duration with Chronic Diseases in the European Prospective Investigation into Cancer and Nutrition (EPIC)-Potsdam Study</w:t>
      </w:r>
      <w:r w:rsidRPr="00FD73B4">
        <w:rPr>
          <w:rFonts w:ascii="Arial" w:eastAsia="Times New Roman" w:hAnsi="Arial" w:cs="Arial"/>
          <w:i/>
          <w:iCs/>
        </w:rPr>
        <w:t>. Plos One</w:t>
      </w:r>
      <w:r w:rsidRPr="00FD73B4">
        <w:rPr>
          <w:rFonts w:ascii="Arial" w:eastAsia="Times New Roman" w:hAnsi="Arial" w:cs="Arial"/>
        </w:rPr>
        <w:t xml:space="preserve">, 7(1), e30972. </w:t>
      </w:r>
      <w:hyperlink r:id="rId73" w:history="1">
        <w:r w:rsidRPr="00FD73B4">
          <w:rPr>
            <w:rStyle w:val="Hyperlink"/>
            <w:rFonts w:ascii="Arial" w:hAnsi="Arial" w:cs="Arial"/>
          </w:rPr>
          <w:t>https://doi.org/10.1371/journal.pone.0030972</w:t>
        </w:r>
      </w:hyperlink>
    </w:p>
    <w:p w14:paraId="6351C77A"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Rutten-Jacobs, L.C.A., Larsson, S.C., Malik, R., Rannikmäe, K., Sudlow, C.L., Dichgans, M., Markus, H.S. and Traylor, M. (2018)</w:t>
      </w:r>
      <w:r w:rsidRPr="00FD73B4">
        <w:rPr>
          <w:rFonts w:ascii="Arial" w:hAnsi="Arial" w:cs="Arial"/>
        </w:rPr>
        <w:br/>
        <w:t>Genetic risk, incident stroke, and the benefits of adhering to a healthy lifestyle: cohort study of 306,473 UK Biobank participants</w:t>
      </w:r>
      <w:r w:rsidRPr="00FD73B4">
        <w:rPr>
          <w:rFonts w:ascii="Arial" w:hAnsi="Arial" w:cs="Arial"/>
          <w:i/>
          <w:iCs/>
        </w:rPr>
        <w:t xml:space="preserve">. </w:t>
      </w:r>
      <w:r w:rsidRPr="00FD73B4">
        <w:rPr>
          <w:rStyle w:val="Emphasis"/>
          <w:rFonts w:ascii="Arial" w:hAnsi="Arial" w:cs="Arial"/>
          <w:i w:val="0"/>
          <w:iCs w:val="0"/>
        </w:rPr>
        <w:t>BMJ</w:t>
      </w:r>
      <w:r w:rsidRPr="00FD73B4">
        <w:rPr>
          <w:rFonts w:ascii="Arial" w:hAnsi="Arial" w:cs="Arial"/>
        </w:rPr>
        <w:t xml:space="preserve">, 363, k4168. </w:t>
      </w:r>
      <w:hyperlink r:id="rId74" w:history="1">
        <w:r w:rsidRPr="00FD73B4">
          <w:rPr>
            <w:rStyle w:val="Hyperlink"/>
            <w:rFonts w:ascii="Arial" w:hAnsi="Arial" w:cs="Arial"/>
          </w:rPr>
          <w:t>https://doi.org/10.1136/bmj.k4168</w:t>
        </w:r>
      </w:hyperlink>
    </w:p>
    <w:p w14:paraId="535E880F"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Sarris, J., Thomson, R., Hargraves, F., Eaton, M., Manincor, M., Veronese, N., … &amp; Firth, J. (2020). Multiple lifestyle factors and depressed mood: a cross-sectional and longitudinal analysis of the UK Biobank (N = 84,860). </w:t>
      </w:r>
      <w:r w:rsidRPr="00FD73B4">
        <w:rPr>
          <w:rFonts w:ascii="Arial" w:eastAsia="Times New Roman" w:hAnsi="Arial" w:cs="Arial"/>
          <w:i/>
          <w:iCs/>
        </w:rPr>
        <w:t>BMC Medicine</w:t>
      </w:r>
      <w:r w:rsidRPr="00FD73B4">
        <w:rPr>
          <w:rFonts w:ascii="Arial" w:eastAsia="Times New Roman" w:hAnsi="Arial" w:cs="Arial"/>
        </w:rPr>
        <w:t xml:space="preserve">, 18(1). </w:t>
      </w:r>
      <w:hyperlink r:id="rId75" w:history="1">
        <w:r w:rsidRPr="00FD73B4">
          <w:rPr>
            <w:rStyle w:val="Hyperlink"/>
            <w:rFonts w:ascii="Arial" w:hAnsi="Arial" w:cs="Arial"/>
          </w:rPr>
          <w:t>https://doi.org/10.1186/s12916-020-01813-5</w:t>
        </w:r>
      </w:hyperlink>
    </w:p>
    <w:p w14:paraId="6C968123"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Segar, M., Taber, J., Patrick, H., Thai, C., &amp; Oh, A. (2017). Rethinking physical activity communication: using focus groups to understand women’s goals, values, and beliefs to improve public health. </w:t>
      </w:r>
      <w:r w:rsidRPr="00FD73B4">
        <w:rPr>
          <w:rFonts w:ascii="Arial" w:eastAsia="Times New Roman" w:hAnsi="Arial" w:cs="Arial"/>
          <w:i/>
          <w:iCs/>
        </w:rPr>
        <w:t>BMC Public Health</w:t>
      </w:r>
      <w:r w:rsidRPr="00FD73B4">
        <w:rPr>
          <w:rFonts w:ascii="Arial" w:eastAsia="Times New Roman" w:hAnsi="Arial" w:cs="Arial"/>
        </w:rPr>
        <w:t xml:space="preserve">, 17(1). </w:t>
      </w:r>
      <w:hyperlink r:id="rId76" w:history="1">
        <w:r w:rsidRPr="00FD73B4">
          <w:rPr>
            <w:rStyle w:val="Hyperlink"/>
            <w:rFonts w:ascii="Arial" w:hAnsi="Arial" w:cs="Arial"/>
          </w:rPr>
          <w:t>https://doi.org/10.1186/s12889-017-4361-1</w:t>
        </w:r>
      </w:hyperlink>
    </w:p>
    <w:p w14:paraId="64E505D0"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Sempere</w:t>
      </w:r>
      <w:r w:rsidRPr="00FD73B4">
        <w:rPr>
          <w:rFonts w:ascii="Cambria Math" w:eastAsia="Times New Roman" w:hAnsi="Cambria Math" w:cs="Cambria Math"/>
        </w:rPr>
        <w:t>‐</w:t>
      </w:r>
      <w:r w:rsidRPr="00FD73B4">
        <w:rPr>
          <w:rFonts w:ascii="Arial" w:eastAsia="Times New Roman" w:hAnsi="Arial" w:cs="Arial"/>
        </w:rPr>
        <w:t xml:space="preserve">Rubio, N., Aguas, M., &amp; Faubel, R. (2022). Association between Chronotype, Physical Activity and Sedentary Behaviour: A Systematic Review. </w:t>
      </w:r>
      <w:r w:rsidRPr="00FD73B4">
        <w:rPr>
          <w:rFonts w:ascii="Arial" w:eastAsia="Times New Roman" w:hAnsi="Arial" w:cs="Arial"/>
          <w:i/>
          <w:iCs/>
        </w:rPr>
        <w:t>International Journal of Environmental Research and Public Health</w:t>
      </w:r>
      <w:r w:rsidRPr="00FD73B4">
        <w:rPr>
          <w:rFonts w:ascii="Arial" w:eastAsia="Times New Roman" w:hAnsi="Arial" w:cs="Arial"/>
        </w:rPr>
        <w:t xml:space="preserve">, 19(15), 9646. </w:t>
      </w:r>
      <w:hyperlink r:id="rId77" w:history="1">
        <w:r w:rsidRPr="00FD73B4">
          <w:rPr>
            <w:rStyle w:val="Hyperlink"/>
            <w:rFonts w:ascii="Arial" w:hAnsi="Arial" w:cs="Arial"/>
          </w:rPr>
          <w:t>https://doi.org/10.3390/ijerph19159646</w:t>
        </w:r>
      </w:hyperlink>
    </w:p>
    <w:p w14:paraId="411CDE32"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lastRenderedPageBreak/>
        <w:t>Sequí</w:t>
      </w:r>
      <w:r w:rsidRPr="00FD73B4">
        <w:rPr>
          <w:rFonts w:ascii="Cambria Math" w:hAnsi="Cambria Math" w:cs="Cambria Math"/>
        </w:rPr>
        <w:t>‐</w:t>
      </w:r>
      <w:r w:rsidRPr="00FD73B4">
        <w:rPr>
          <w:rFonts w:ascii="Arial" w:hAnsi="Arial" w:cs="Arial"/>
        </w:rPr>
        <w:t>Domínguez, I., Álvarez</w:t>
      </w:r>
      <w:r w:rsidRPr="00FD73B4">
        <w:rPr>
          <w:rFonts w:ascii="Cambria Math" w:hAnsi="Cambria Math" w:cs="Cambria Math"/>
        </w:rPr>
        <w:t>‐</w:t>
      </w:r>
      <w:r w:rsidRPr="00FD73B4">
        <w:rPr>
          <w:rFonts w:ascii="Arial" w:hAnsi="Arial" w:cs="Arial"/>
        </w:rPr>
        <w:t>Bueno, C., Martínez</w:t>
      </w:r>
      <w:r w:rsidRPr="00FD73B4">
        <w:rPr>
          <w:rFonts w:ascii="Cambria Math" w:hAnsi="Cambria Math" w:cs="Cambria Math"/>
        </w:rPr>
        <w:t>‐</w:t>
      </w:r>
      <w:r w:rsidRPr="00FD73B4">
        <w:rPr>
          <w:rFonts w:ascii="Arial" w:hAnsi="Arial" w:cs="Arial"/>
        </w:rPr>
        <w:t>Vizcaíno, V., Fernández-Rodríguez, R., Saz</w:t>
      </w:r>
      <w:r w:rsidRPr="00FD73B4">
        <w:rPr>
          <w:rFonts w:ascii="Cambria Math" w:hAnsi="Cambria Math" w:cs="Cambria Math"/>
        </w:rPr>
        <w:t>‐</w:t>
      </w:r>
      <w:r w:rsidRPr="00FD73B4">
        <w:rPr>
          <w:rFonts w:ascii="Arial" w:hAnsi="Arial" w:cs="Arial"/>
        </w:rPr>
        <w:t>Lara, A., &amp; Cavero</w:t>
      </w:r>
      <w:r w:rsidRPr="00FD73B4">
        <w:rPr>
          <w:rFonts w:ascii="Cambria Math" w:hAnsi="Cambria Math" w:cs="Cambria Math"/>
        </w:rPr>
        <w:t>‐</w:t>
      </w:r>
      <w:r w:rsidRPr="00FD73B4">
        <w:rPr>
          <w:rFonts w:ascii="Arial" w:hAnsi="Arial" w:cs="Arial"/>
        </w:rPr>
        <w:t xml:space="preserve">Redondo, I. (2020). Effectiveness of Mobile Health Interventions Promoting Physical Activity and Lifestyle Interventions to Reduce Cardiovascular Risk Among Individuals With Metabolic Syndrome: Systematic Review and Meta-Analysis. </w:t>
      </w:r>
      <w:r w:rsidRPr="00FD73B4">
        <w:rPr>
          <w:rFonts w:ascii="Arial" w:hAnsi="Arial" w:cs="Arial"/>
          <w:i/>
          <w:iCs/>
        </w:rPr>
        <w:t>Journal of Medical Internet Research</w:t>
      </w:r>
      <w:r w:rsidRPr="00FD73B4">
        <w:rPr>
          <w:rFonts w:ascii="Arial" w:hAnsi="Arial" w:cs="Arial"/>
        </w:rPr>
        <w:t xml:space="preserve">, 22(8), e17790. </w:t>
      </w:r>
      <w:hyperlink r:id="rId78" w:history="1">
        <w:r w:rsidRPr="00FD73B4">
          <w:rPr>
            <w:rStyle w:val="Hyperlink"/>
            <w:rFonts w:ascii="Arial" w:hAnsi="Arial" w:cs="Arial"/>
          </w:rPr>
          <w:t>https://doi.org/10.2196/17790</w:t>
        </w:r>
      </w:hyperlink>
    </w:p>
    <w:p w14:paraId="0B84F1A5"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Sezer, Ş. and Can, E. (2022). Türkiye’de Eğitim Fakültesi Dergilerinde Sınıf Yönetimini İnceleyen Çalışmaların Analizi: Bir Meta-Sentez Çalışması. Yuzunci Yil Universitesi Egitim Fakultesi Dergisi. https://doi.org/10.33711/yyuefd.1069563</w:t>
      </w:r>
      <w:r w:rsidRPr="00FD73B4">
        <w:rPr>
          <w:rFonts w:ascii="Arial" w:eastAsia="Times New Roman" w:hAnsi="Arial" w:cs="Arial"/>
        </w:rPr>
        <w:br/>
        <w:t xml:space="preserve">Thomas, J. and Harden, A. (2008). Methods for the thematic synthesis of qualitative research in systematic reviews. </w:t>
      </w:r>
      <w:r w:rsidRPr="00FD73B4">
        <w:rPr>
          <w:rFonts w:ascii="Arial" w:eastAsia="Times New Roman" w:hAnsi="Arial" w:cs="Arial"/>
          <w:i/>
          <w:iCs/>
        </w:rPr>
        <w:t>BMC Medical Research Methodology</w:t>
      </w:r>
      <w:r w:rsidRPr="00FD73B4">
        <w:rPr>
          <w:rFonts w:ascii="Arial" w:eastAsia="Times New Roman" w:hAnsi="Arial" w:cs="Arial"/>
        </w:rPr>
        <w:t xml:space="preserve">, 8(1). </w:t>
      </w:r>
      <w:hyperlink r:id="rId79" w:history="1">
        <w:r w:rsidRPr="00FD73B4">
          <w:rPr>
            <w:rStyle w:val="Hyperlink"/>
            <w:rFonts w:ascii="Arial" w:hAnsi="Arial" w:cs="Arial"/>
          </w:rPr>
          <w:t>https://doi.org/10.1186/1471-2288-8-45</w:t>
        </w:r>
      </w:hyperlink>
    </w:p>
    <w:p w14:paraId="0636F36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Shi, M., Kelly, T., Zhu, Z., Li, C., Shen, C., Sun, Y., … &amp; He, J. (2022). Large</w:t>
      </w:r>
      <w:r w:rsidRPr="00FD73B4">
        <w:rPr>
          <w:rFonts w:ascii="Cambria Math" w:eastAsia="Times New Roman" w:hAnsi="Cambria Math" w:cs="Cambria Math"/>
        </w:rPr>
        <w:t>‐</w:t>
      </w:r>
      <w:r w:rsidRPr="00FD73B4">
        <w:rPr>
          <w:rFonts w:ascii="Arial" w:eastAsia="Times New Roman" w:hAnsi="Arial" w:cs="Arial"/>
        </w:rPr>
        <w:t xml:space="preserve">Scale Targeted Sequencing Study of Ischemic Stroke in the Han Chinese Population. </w:t>
      </w:r>
      <w:r w:rsidRPr="00FD73B4">
        <w:rPr>
          <w:rFonts w:ascii="Arial" w:eastAsia="Times New Roman" w:hAnsi="Arial" w:cs="Arial"/>
          <w:i/>
          <w:iCs/>
        </w:rPr>
        <w:t>Journal of the American Heart Association</w:t>
      </w:r>
      <w:r w:rsidRPr="00FD73B4">
        <w:rPr>
          <w:rFonts w:ascii="Arial" w:eastAsia="Times New Roman" w:hAnsi="Arial" w:cs="Arial"/>
        </w:rPr>
        <w:t xml:space="preserve">, 11(19). </w:t>
      </w:r>
      <w:hyperlink r:id="rId80" w:history="1">
        <w:r w:rsidRPr="00FD73B4">
          <w:rPr>
            <w:rStyle w:val="Hyperlink"/>
            <w:rFonts w:ascii="Arial" w:hAnsi="Arial" w:cs="Arial"/>
          </w:rPr>
          <w:t>https://doi.org/10.1161/jaha.122.025245</w:t>
        </w:r>
      </w:hyperlink>
    </w:p>
    <w:p w14:paraId="052378B4"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Shi, Y., Peng, L., Xu, F., Peng, S., Wang, P., Huang, X., Xiong, T., Bai, Y., Zhang, W. and Ding, H. (2025)</w:t>
      </w:r>
      <w:r w:rsidRPr="00FD73B4">
        <w:rPr>
          <w:rFonts w:ascii="Arial" w:hAnsi="Arial" w:cs="Arial"/>
        </w:rPr>
        <w:br/>
        <w:t>Association between physical activity patterns and the risk of stroke phenotypes: an accelerometer-based prospective cohort study from the UK Biobank</w:t>
      </w:r>
      <w:r w:rsidRPr="00FD73B4">
        <w:rPr>
          <w:rFonts w:ascii="Arial" w:hAnsi="Arial" w:cs="Arial"/>
          <w:i/>
          <w:iCs/>
        </w:rPr>
        <w:t xml:space="preserve">. </w:t>
      </w:r>
      <w:r w:rsidRPr="00FD73B4">
        <w:rPr>
          <w:rStyle w:val="Emphasis"/>
          <w:rFonts w:ascii="Arial" w:hAnsi="Arial" w:cs="Arial"/>
          <w:i w:val="0"/>
          <w:iCs w:val="0"/>
        </w:rPr>
        <w:t>BMC Public Health</w:t>
      </w:r>
      <w:r w:rsidRPr="00FD73B4">
        <w:rPr>
          <w:rFonts w:ascii="Arial" w:hAnsi="Arial" w:cs="Arial"/>
        </w:rPr>
        <w:t xml:space="preserve">, 25, 2593. </w:t>
      </w:r>
      <w:hyperlink r:id="rId81" w:history="1">
        <w:r w:rsidRPr="00FD73B4">
          <w:rPr>
            <w:rStyle w:val="Hyperlink"/>
            <w:rFonts w:ascii="Arial" w:hAnsi="Arial" w:cs="Arial"/>
          </w:rPr>
          <w:t>https://doi.org/10.1186/s12889-025-23820-y</w:t>
        </w:r>
      </w:hyperlink>
    </w:p>
    <w:p w14:paraId="3CDA482A"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Silva, M., Ribeiro, L., Gouveia, M., Marcelino, B., Santos, C., Lima, K., … &amp; Lima, L. (2023). Hyperinflammatory Response in COVID-19: A Systematic Review. </w:t>
      </w:r>
      <w:r w:rsidRPr="00FD73B4">
        <w:rPr>
          <w:rFonts w:ascii="Arial" w:eastAsia="Times New Roman" w:hAnsi="Arial" w:cs="Arial"/>
          <w:i/>
          <w:iCs/>
        </w:rPr>
        <w:t>Viruses</w:t>
      </w:r>
      <w:r w:rsidRPr="00FD73B4">
        <w:rPr>
          <w:rFonts w:ascii="Arial" w:eastAsia="Times New Roman" w:hAnsi="Arial" w:cs="Arial"/>
        </w:rPr>
        <w:t xml:space="preserve">, 15(2), 553. </w:t>
      </w:r>
      <w:hyperlink r:id="rId82" w:history="1">
        <w:r w:rsidRPr="00FD73B4">
          <w:rPr>
            <w:rStyle w:val="Hyperlink"/>
            <w:rFonts w:ascii="Arial" w:hAnsi="Arial" w:cs="Arial"/>
          </w:rPr>
          <w:t>https://doi.org/10.3390/v15020553</w:t>
        </w:r>
      </w:hyperlink>
    </w:p>
    <w:p w14:paraId="1D0F44A2"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Sodeifian, F., Kian, N., Atefi, A., Naserghandi, A., Zangiabadian, M., Sadeghzade, S., … &amp; Migliori, G. (2024). Pulmonary Tuberculosis and Risk of Lung Cancer: A Systematic Review and Meta-Analysis. </w:t>
      </w:r>
      <w:r w:rsidRPr="00FD73B4">
        <w:rPr>
          <w:rFonts w:ascii="Arial" w:eastAsia="Times New Roman" w:hAnsi="Arial" w:cs="Arial"/>
          <w:i/>
          <w:iCs/>
        </w:rPr>
        <w:t>Respiration</w:t>
      </w:r>
      <w:r w:rsidRPr="00FD73B4">
        <w:rPr>
          <w:rFonts w:ascii="Arial" w:eastAsia="Times New Roman" w:hAnsi="Arial" w:cs="Arial"/>
        </w:rPr>
        <w:t xml:space="preserve">, 104(5), 360-376. </w:t>
      </w:r>
      <w:hyperlink r:id="rId83" w:history="1">
        <w:r w:rsidRPr="00FD73B4">
          <w:rPr>
            <w:rStyle w:val="Hyperlink"/>
            <w:rFonts w:ascii="Arial" w:hAnsi="Arial" w:cs="Arial"/>
          </w:rPr>
          <w:t>https://doi.org/10.1159/000543319</w:t>
        </w:r>
      </w:hyperlink>
    </w:p>
    <w:p w14:paraId="6DC8B85D"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Suzuki, E., Mitsuhashi, T., Tsuda, T., &amp; Yamamoto, E. (2013). A counterfactual approach to bias and effect modification in terms of response types. </w:t>
      </w:r>
      <w:r w:rsidRPr="00FD73B4">
        <w:rPr>
          <w:rFonts w:ascii="Arial" w:eastAsia="Times New Roman" w:hAnsi="Arial" w:cs="Arial"/>
          <w:i/>
          <w:iCs/>
        </w:rPr>
        <w:t>BMC Medical Research Methodology</w:t>
      </w:r>
      <w:r w:rsidRPr="00FD73B4">
        <w:rPr>
          <w:rFonts w:ascii="Arial" w:eastAsia="Times New Roman" w:hAnsi="Arial" w:cs="Arial"/>
        </w:rPr>
        <w:t xml:space="preserve">, 13(1). </w:t>
      </w:r>
      <w:hyperlink r:id="rId84" w:history="1">
        <w:r w:rsidRPr="00FD73B4">
          <w:rPr>
            <w:rStyle w:val="Hyperlink"/>
            <w:rFonts w:ascii="Arial" w:hAnsi="Arial" w:cs="Arial"/>
          </w:rPr>
          <w:t>https://doi.org/10.1186/1471-2288-13-101</w:t>
        </w:r>
      </w:hyperlink>
    </w:p>
    <w:p w14:paraId="4855CCD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Tegegne, T., Islam, S., &amp; Maddison, R. (2022). Effects of lifestyle risk behaviour clustering on cardiovascular disease among UK adults: latent class analysis with </w:t>
      </w:r>
      <w:r w:rsidRPr="00FD73B4">
        <w:rPr>
          <w:rFonts w:ascii="Arial" w:eastAsia="Times New Roman" w:hAnsi="Arial" w:cs="Arial"/>
        </w:rPr>
        <w:lastRenderedPageBreak/>
        <w:t xml:space="preserve">distal outcomes. </w:t>
      </w:r>
      <w:r w:rsidRPr="00FD73B4">
        <w:rPr>
          <w:rFonts w:ascii="Arial" w:eastAsia="Times New Roman" w:hAnsi="Arial" w:cs="Arial"/>
          <w:i/>
          <w:iCs/>
        </w:rPr>
        <w:t>Scientific Reports</w:t>
      </w:r>
      <w:r w:rsidRPr="00FD73B4">
        <w:rPr>
          <w:rFonts w:ascii="Arial" w:eastAsia="Times New Roman" w:hAnsi="Arial" w:cs="Arial"/>
        </w:rPr>
        <w:t xml:space="preserve">, 12(1). </w:t>
      </w:r>
      <w:hyperlink r:id="rId85" w:history="1">
        <w:r w:rsidRPr="00FD73B4">
          <w:rPr>
            <w:rStyle w:val="Hyperlink"/>
            <w:rFonts w:ascii="Arial" w:hAnsi="Arial" w:cs="Arial"/>
          </w:rPr>
          <w:t>https://doi.org/10.1038/s41598-022-22469-6</w:t>
        </w:r>
      </w:hyperlink>
    </w:p>
    <w:p w14:paraId="1EA0DE2E"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Tegegne, T., Islam, S., &amp; Maddison, R. (2022). Effects of lifestyle risk behaviour clustering on cardiovascular disease among UK adults: latent class analysis with distal outcomes.. </w:t>
      </w:r>
      <w:hyperlink r:id="rId86" w:history="1">
        <w:r w:rsidRPr="00FD73B4">
          <w:rPr>
            <w:rStyle w:val="Hyperlink"/>
            <w:rFonts w:ascii="Arial" w:hAnsi="Arial" w:cs="Arial"/>
          </w:rPr>
          <w:t>https://doi.org/10.21203/rs.3.rs-1986313/v2</w:t>
        </w:r>
      </w:hyperlink>
    </w:p>
    <w:p w14:paraId="1C783E6A"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Thomas, J. and Harden, A. (2008). Methods for the thematic synthesis of qualitative research in systematic reviews. </w:t>
      </w:r>
      <w:r w:rsidRPr="00FD73B4">
        <w:rPr>
          <w:rFonts w:ascii="Arial" w:eastAsia="Times New Roman" w:hAnsi="Arial" w:cs="Arial"/>
          <w:i/>
          <w:iCs/>
        </w:rPr>
        <w:t>BMC Medical Research Methodology</w:t>
      </w:r>
      <w:r w:rsidRPr="00FD73B4">
        <w:rPr>
          <w:rFonts w:ascii="Arial" w:eastAsia="Times New Roman" w:hAnsi="Arial" w:cs="Arial"/>
        </w:rPr>
        <w:t xml:space="preserve">, 8(1). </w:t>
      </w:r>
      <w:hyperlink r:id="rId87" w:history="1">
        <w:r w:rsidRPr="00FD73B4">
          <w:rPr>
            <w:rStyle w:val="Hyperlink"/>
            <w:rFonts w:ascii="Arial" w:hAnsi="Arial" w:cs="Arial"/>
          </w:rPr>
          <w:t>https://doi.org/10.1186/1471-2288-8-45</w:t>
        </w:r>
      </w:hyperlink>
    </w:p>
    <w:p w14:paraId="4BFF28B9"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Threapleton, D.E., Burley, V.J., Greenwood, D.C. and Cade, J.E. (2015)</w:t>
      </w:r>
      <w:r w:rsidRPr="00FD73B4">
        <w:rPr>
          <w:rFonts w:ascii="Arial" w:hAnsi="Arial" w:cs="Arial"/>
        </w:rPr>
        <w:br/>
        <w:t xml:space="preserve">Dietary fibre intake and risk of ischaemic and haemorrhagic stroke in the UK Women’s Cohort Study. </w:t>
      </w:r>
      <w:r w:rsidRPr="00FD73B4">
        <w:rPr>
          <w:rStyle w:val="Emphasis"/>
          <w:rFonts w:ascii="Arial" w:hAnsi="Arial" w:cs="Arial"/>
        </w:rPr>
        <w:t>European Journal of Clinical Nutrition</w:t>
      </w:r>
      <w:r w:rsidRPr="00FD73B4">
        <w:rPr>
          <w:rFonts w:ascii="Arial" w:hAnsi="Arial" w:cs="Arial"/>
        </w:rPr>
        <w:t xml:space="preserve">, 69(4), pp.467–474. </w:t>
      </w:r>
      <w:hyperlink r:id="rId88" w:history="1">
        <w:r w:rsidRPr="00FD73B4">
          <w:rPr>
            <w:rStyle w:val="Hyperlink"/>
            <w:rFonts w:ascii="Arial" w:hAnsi="Arial" w:cs="Arial"/>
          </w:rPr>
          <w:t>https://doi.org/10.1038/ejcn.2014.260</w:t>
        </w:r>
      </w:hyperlink>
    </w:p>
    <w:p w14:paraId="16CA0E3C"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Tognon, G., Lissner, L., Sæbye, D., Walker, K., &amp; Heitmann, B. (2013). The Mediterranean diet in relation to mortality and CVD: a Danish cohort study.</w:t>
      </w:r>
      <w:r w:rsidRPr="00FD73B4">
        <w:rPr>
          <w:rFonts w:ascii="Arial" w:eastAsia="Times New Roman" w:hAnsi="Arial" w:cs="Arial"/>
          <w:i/>
          <w:iCs/>
        </w:rPr>
        <w:t xml:space="preserve"> British Journal of Nutrition</w:t>
      </w:r>
      <w:r w:rsidRPr="00FD73B4">
        <w:rPr>
          <w:rFonts w:ascii="Arial" w:eastAsia="Times New Roman" w:hAnsi="Arial" w:cs="Arial"/>
        </w:rPr>
        <w:t xml:space="preserve">, 111(1), 151-159. </w:t>
      </w:r>
      <w:hyperlink r:id="rId89" w:history="1">
        <w:r w:rsidRPr="00FD73B4">
          <w:rPr>
            <w:rStyle w:val="Hyperlink"/>
            <w:rFonts w:ascii="Arial" w:hAnsi="Arial" w:cs="Arial"/>
          </w:rPr>
          <w:t>https://doi.org/10.1017/s0007114513001931</w:t>
        </w:r>
      </w:hyperlink>
    </w:p>
    <w:p w14:paraId="6090E325"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Tomagová, M., Lepiešová, M., Bóriková, I., Čáp, J., Němcová, J., &amp; Zanovitová, M. (2019). Real-life experiences of patients with Parkinson's disease</w:t>
      </w:r>
      <w:r w:rsidRPr="00FD73B4">
        <w:rPr>
          <w:rFonts w:ascii="Arial" w:eastAsia="Times New Roman" w:hAnsi="Arial" w:cs="Arial"/>
          <w:i/>
          <w:iCs/>
        </w:rPr>
        <w:t>. Kontakt</w:t>
      </w:r>
      <w:r w:rsidRPr="00FD73B4">
        <w:rPr>
          <w:rFonts w:ascii="Arial" w:eastAsia="Times New Roman" w:hAnsi="Arial" w:cs="Arial"/>
        </w:rPr>
        <w:t xml:space="preserve">, 21(3), 269-278. </w:t>
      </w:r>
      <w:hyperlink r:id="rId90" w:history="1">
        <w:r w:rsidRPr="00FD73B4">
          <w:rPr>
            <w:rStyle w:val="Hyperlink"/>
            <w:rFonts w:ascii="Arial" w:hAnsi="Arial" w:cs="Arial"/>
          </w:rPr>
          <w:t>https://doi.org/10.32725/kont.2019.036</w:t>
        </w:r>
      </w:hyperlink>
    </w:p>
    <w:p w14:paraId="3166E9FE"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Fonts w:ascii="Arial" w:eastAsia="Times New Roman" w:hAnsi="Arial" w:cs="Arial"/>
        </w:rPr>
        <w:t xml:space="preserve">Tong, A., Flemming, K., McInnes, E., Oliver, S., &amp; Craig, J. (2012). Enhancing transparency in reporting the synthesis of qualitative research: ENTREQ. </w:t>
      </w:r>
      <w:r w:rsidRPr="00FD73B4">
        <w:rPr>
          <w:rFonts w:ascii="Arial" w:eastAsia="Times New Roman" w:hAnsi="Arial" w:cs="Arial"/>
          <w:i/>
          <w:iCs/>
        </w:rPr>
        <w:t>BMC Medical Research Methodology</w:t>
      </w:r>
      <w:r w:rsidRPr="00FD73B4">
        <w:rPr>
          <w:rFonts w:ascii="Arial" w:eastAsia="Times New Roman" w:hAnsi="Arial" w:cs="Arial"/>
        </w:rPr>
        <w:t xml:space="preserve">, 12(1). </w:t>
      </w:r>
      <w:hyperlink r:id="rId91" w:history="1">
        <w:r w:rsidRPr="00FD73B4">
          <w:rPr>
            <w:rStyle w:val="Hyperlink"/>
            <w:rFonts w:ascii="Arial" w:hAnsi="Arial" w:cs="Arial"/>
          </w:rPr>
          <w:t>https://doi.org/10.1186/1471-2288-12-181</w:t>
        </w:r>
      </w:hyperlink>
    </w:p>
    <w:p w14:paraId="542B9029"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Tong, T., Appleby, P., Bradbury, K., Perez</w:t>
      </w:r>
      <w:r w:rsidRPr="00FD73B4">
        <w:rPr>
          <w:rFonts w:ascii="Cambria Math" w:eastAsia="Times New Roman" w:hAnsi="Cambria Math" w:cs="Cambria Math"/>
        </w:rPr>
        <w:t>‐</w:t>
      </w:r>
      <w:r w:rsidRPr="00FD73B4">
        <w:rPr>
          <w:rFonts w:ascii="Arial" w:eastAsia="Times New Roman" w:hAnsi="Arial" w:cs="Arial"/>
        </w:rPr>
        <w:t xml:space="preserve">Cornago, A., Travis, R., Clarke, R., … &amp; Key, T. (2019). Risks of ischaemic heart disease and stroke in meat eaters, fish eaters, and vegetarians over 18 years of follow-up: results from the prospective EPIC-Oxford study. </w:t>
      </w:r>
      <w:r w:rsidRPr="00FD73B4">
        <w:rPr>
          <w:rFonts w:ascii="Arial" w:eastAsia="Times New Roman" w:hAnsi="Arial" w:cs="Arial"/>
          <w:i/>
          <w:iCs/>
        </w:rPr>
        <w:t>BMJ</w:t>
      </w:r>
      <w:r w:rsidRPr="00FD73B4">
        <w:rPr>
          <w:rFonts w:ascii="Arial" w:eastAsia="Times New Roman" w:hAnsi="Arial" w:cs="Arial"/>
        </w:rPr>
        <w:t xml:space="preserve">, l4897. </w:t>
      </w:r>
      <w:hyperlink r:id="rId92" w:history="1">
        <w:r w:rsidRPr="00FD73B4">
          <w:rPr>
            <w:rStyle w:val="Hyperlink"/>
            <w:rFonts w:ascii="Arial" w:hAnsi="Arial" w:cs="Arial"/>
          </w:rPr>
          <w:t>https://doi.org/10.1136/bmj.l4897</w:t>
        </w:r>
      </w:hyperlink>
    </w:p>
    <w:p w14:paraId="26465B66"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Tong, T., Perez</w:t>
      </w:r>
      <w:r w:rsidRPr="00FD73B4">
        <w:rPr>
          <w:rFonts w:ascii="Cambria Math" w:eastAsia="Times New Roman" w:hAnsi="Cambria Math" w:cs="Cambria Math"/>
        </w:rPr>
        <w:t>‐</w:t>
      </w:r>
      <w:r w:rsidRPr="00FD73B4">
        <w:rPr>
          <w:rFonts w:ascii="Arial" w:eastAsia="Times New Roman" w:hAnsi="Arial" w:cs="Arial"/>
        </w:rPr>
        <w:t xml:space="preserve">Cornago, A., Bradbury, K., &amp; Key, T. (2021). Biomarker Concentrations in White and British Indian Vegetarians and Nonvegetarians in the UK Biobank. </w:t>
      </w:r>
      <w:r w:rsidRPr="00FD73B4">
        <w:rPr>
          <w:rFonts w:ascii="Arial" w:eastAsia="Times New Roman" w:hAnsi="Arial" w:cs="Arial"/>
          <w:i/>
          <w:iCs/>
        </w:rPr>
        <w:t>Journal of Nutrition</w:t>
      </w:r>
      <w:r w:rsidRPr="00FD73B4">
        <w:rPr>
          <w:rFonts w:ascii="Arial" w:eastAsia="Times New Roman" w:hAnsi="Arial" w:cs="Arial"/>
        </w:rPr>
        <w:t xml:space="preserve">, 151(10), 3168-3179. </w:t>
      </w:r>
      <w:hyperlink r:id="rId93" w:history="1">
        <w:r w:rsidRPr="00FD73B4">
          <w:rPr>
            <w:rStyle w:val="Hyperlink"/>
            <w:rFonts w:ascii="Arial" w:hAnsi="Arial" w:cs="Arial"/>
          </w:rPr>
          <w:t>https://doi.org/10.1093/jn/nxab192</w:t>
        </w:r>
      </w:hyperlink>
    </w:p>
    <w:p w14:paraId="742D1E1C"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Tong, T., Wareham, N., Khaw, K., Imamura, F., &amp; Forouhi, N. (2016). Prospective association of the Mediterranean diet with cardiovascular disease incidence and mortality and its population impact in a non-Mediterranean population: the EPIC-Norfolk study. </w:t>
      </w:r>
      <w:r w:rsidRPr="00FD73B4">
        <w:rPr>
          <w:rFonts w:ascii="Arial" w:eastAsia="Times New Roman" w:hAnsi="Arial" w:cs="Arial"/>
          <w:i/>
          <w:iCs/>
        </w:rPr>
        <w:t>BMC Medicine</w:t>
      </w:r>
      <w:r w:rsidRPr="00FD73B4">
        <w:rPr>
          <w:rFonts w:ascii="Arial" w:eastAsia="Times New Roman" w:hAnsi="Arial" w:cs="Arial"/>
        </w:rPr>
        <w:t xml:space="preserve">, 14(1). </w:t>
      </w:r>
      <w:hyperlink r:id="rId94" w:history="1">
        <w:r w:rsidRPr="00FD73B4">
          <w:rPr>
            <w:rStyle w:val="Hyperlink"/>
            <w:rFonts w:ascii="Arial" w:hAnsi="Arial" w:cs="Arial"/>
          </w:rPr>
          <w:t>https://doi.org/10.1186/s12916-016-0677-4</w:t>
        </w:r>
      </w:hyperlink>
    </w:p>
    <w:p w14:paraId="01E91202"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lastRenderedPageBreak/>
        <w:t>Tong, T.Y.N., Appleby, P.N., Bradbury, K.E., Perez-Cornago, A., Travis, R.C., Clarke, R. and Key, T.J. (2019)</w:t>
      </w:r>
      <w:r w:rsidRPr="00FD73B4">
        <w:rPr>
          <w:rFonts w:ascii="Arial" w:hAnsi="Arial" w:cs="Arial"/>
        </w:rPr>
        <w:br/>
        <w:t xml:space="preserve">Risks of ischaemic heart disease and stroke in meat eaters, fish eaters, and vegetarians over 18 years of follow-up: results from the prospective EPIC-Oxford study. </w:t>
      </w:r>
      <w:r w:rsidRPr="00FD73B4">
        <w:rPr>
          <w:rStyle w:val="Emphasis"/>
          <w:rFonts w:ascii="Arial" w:hAnsi="Arial" w:cs="Arial"/>
        </w:rPr>
        <w:t>BMJ</w:t>
      </w:r>
      <w:r w:rsidRPr="00FD73B4">
        <w:rPr>
          <w:rFonts w:ascii="Arial" w:hAnsi="Arial" w:cs="Arial"/>
        </w:rPr>
        <w:t xml:space="preserve">, 366, l4897. </w:t>
      </w:r>
      <w:hyperlink r:id="rId95" w:history="1">
        <w:r w:rsidRPr="00FD73B4">
          <w:rPr>
            <w:rStyle w:val="Hyperlink"/>
            <w:rFonts w:ascii="Arial" w:hAnsi="Arial" w:cs="Arial"/>
          </w:rPr>
          <w:t>https://doi.org/10.1136/bmj.l4897</w:t>
        </w:r>
      </w:hyperlink>
    </w:p>
    <w:p w14:paraId="656497B0"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Tremblay, M., Aubert, S., Barnes, J., Saunders, T., Carson, V., Latimer</w:t>
      </w:r>
      <w:r w:rsidRPr="00FD73B4">
        <w:rPr>
          <w:rFonts w:ascii="Cambria Math" w:eastAsia="Times New Roman" w:hAnsi="Cambria Math" w:cs="Cambria Math"/>
        </w:rPr>
        <w:t>‐</w:t>
      </w:r>
      <w:r w:rsidRPr="00FD73B4">
        <w:rPr>
          <w:rFonts w:ascii="Arial" w:eastAsia="Times New Roman" w:hAnsi="Arial" w:cs="Arial"/>
        </w:rPr>
        <w:t xml:space="preserve">Cheung, A., … &amp; Chinapaw, M. (2017). Sedentary Behavior Research Network (SBRN) – Terminology Consensus Project process and outcome. </w:t>
      </w:r>
      <w:r w:rsidRPr="00FD73B4">
        <w:rPr>
          <w:rFonts w:ascii="Arial" w:eastAsia="Times New Roman" w:hAnsi="Arial" w:cs="Arial"/>
          <w:i/>
          <w:iCs/>
        </w:rPr>
        <w:t>International Journal of Behavioral Nutrition and Physical Activity</w:t>
      </w:r>
      <w:r w:rsidRPr="00FD73B4">
        <w:rPr>
          <w:rFonts w:ascii="Arial" w:eastAsia="Times New Roman" w:hAnsi="Arial" w:cs="Arial"/>
        </w:rPr>
        <w:t xml:space="preserve">, 14(1). </w:t>
      </w:r>
      <w:hyperlink r:id="rId96" w:history="1">
        <w:r w:rsidRPr="00FD73B4">
          <w:rPr>
            <w:rStyle w:val="Hyperlink"/>
            <w:rFonts w:ascii="Arial" w:hAnsi="Arial" w:cs="Arial"/>
          </w:rPr>
          <w:t>https://doi.org/10.1186/s12966-017-0525-8</w:t>
        </w:r>
      </w:hyperlink>
    </w:p>
    <w:p w14:paraId="5F1C2749"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hAnsi="Arial" w:cs="Arial"/>
        </w:rPr>
        <w:t xml:space="preserve">Tsai, M., Yeh, T., Hsu, H., Hsu, L., Lee, C., Tseng, P., … &amp; Chien, K. (2021). Comparison of four healthy lifestyle scores for predicting cardiovascular events in a national cohort study. </w:t>
      </w:r>
      <w:r w:rsidRPr="00FD73B4">
        <w:rPr>
          <w:rFonts w:ascii="Arial" w:hAnsi="Arial" w:cs="Arial"/>
          <w:i/>
          <w:iCs/>
        </w:rPr>
        <w:t>Scientific Reports</w:t>
      </w:r>
      <w:r w:rsidRPr="00FD73B4">
        <w:rPr>
          <w:rFonts w:ascii="Arial" w:hAnsi="Arial" w:cs="Arial"/>
        </w:rPr>
        <w:t xml:space="preserve">, 11(1). </w:t>
      </w:r>
      <w:hyperlink r:id="rId97" w:history="1">
        <w:r w:rsidRPr="00FD73B4">
          <w:rPr>
            <w:rStyle w:val="Hyperlink"/>
            <w:rFonts w:ascii="Arial" w:hAnsi="Arial" w:cs="Arial"/>
          </w:rPr>
          <w:t>https://doi.org/10.1038/s41598-021-01213-6</w:t>
        </w:r>
      </w:hyperlink>
    </w:p>
    <w:p w14:paraId="561BFF06"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Verswijveren, S., Dingle, S., Donnelly, A., Dowd, K., Ridgers, N., Carson, B., … &amp; Powell, C. (2023). How are different clusters of physical activity, sedentary, sleep, smoking, alcohol, and dietary behaviors associated with cardiometabolic health in older adults? A cross-sectional latent class analysis. </w:t>
      </w:r>
      <w:r w:rsidRPr="00FD73B4">
        <w:rPr>
          <w:rFonts w:ascii="Arial" w:eastAsia="Times New Roman" w:hAnsi="Arial" w:cs="Arial"/>
          <w:i/>
          <w:iCs/>
        </w:rPr>
        <w:t>Journal of Activity Sedentary and Sleep Behaviors</w:t>
      </w:r>
      <w:r w:rsidRPr="00FD73B4">
        <w:rPr>
          <w:rFonts w:ascii="Arial" w:eastAsia="Times New Roman" w:hAnsi="Arial" w:cs="Arial"/>
        </w:rPr>
        <w:t xml:space="preserve">, 2(1). </w:t>
      </w:r>
      <w:hyperlink r:id="rId98" w:history="1">
        <w:r w:rsidRPr="00FD73B4">
          <w:rPr>
            <w:rStyle w:val="Hyperlink"/>
            <w:rFonts w:ascii="Arial" w:hAnsi="Arial" w:cs="Arial"/>
          </w:rPr>
          <w:t>https://doi.org/10.1186/s44167-023-00025-5</w:t>
        </w:r>
      </w:hyperlink>
    </w:p>
    <w:p w14:paraId="0B136B6A" w14:textId="77777777" w:rsidR="009F55EE" w:rsidRPr="00FD73B4" w:rsidRDefault="009F55EE" w:rsidP="009F55EE">
      <w:pPr>
        <w:pStyle w:val="ListParagraph"/>
        <w:numPr>
          <w:ilvl w:val="0"/>
          <w:numId w:val="27"/>
        </w:numPr>
        <w:spacing w:line="360" w:lineRule="auto"/>
        <w:rPr>
          <w:rFonts w:ascii="Arial" w:hAnsi="Arial" w:cs="Arial"/>
        </w:rPr>
      </w:pPr>
      <w:r w:rsidRPr="00FD73B4">
        <w:rPr>
          <w:rFonts w:ascii="Arial" w:eastAsia="Times New Roman" w:hAnsi="Arial" w:cs="Arial"/>
        </w:rPr>
        <w:t xml:space="preserve">Walsh, D., Moran, K., Cornelissen, V., Buys, R., Claes, J., Zampognaro, P., … &amp; Woods, C. (2018). The development and codesign of the PATHway intervention: a theory-driven eHealth platform for the self-management of cardiovascular disease. </w:t>
      </w:r>
      <w:r w:rsidRPr="00FD73B4">
        <w:rPr>
          <w:rFonts w:ascii="Arial" w:eastAsia="Times New Roman" w:hAnsi="Arial" w:cs="Arial"/>
          <w:i/>
          <w:iCs/>
        </w:rPr>
        <w:t>Translational Behavioral Medicine</w:t>
      </w:r>
      <w:r w:rsidRPr="00FD73B4">
        <w:rPr>
          <w:rFonts w:ascii="Arial" w:eastAsia="Times New Roman" w:hAnsi="Arial" w:cs="Arial"/>
        </w:rPr>
        <w:t xml:space="preserve">, 9(1), 76-98. </w:t>
      </w:r>
      <w:hyperlink r:id="rId99" w:history="1">
        <w:r w:rsidRPr="00FD73B4">
          <w:rPr>
            <w:rStyle w:val="Hyperlink"/>
            <w:rFonts w:ascii="Arial" w:hAnsi="Arial" w:cs="Arial"/>
          </w:rPr>
          <w:t>https://doi.org/10.1093/tbm/iby017</w:t>
        </w:r>
      </w:hyperlink>
    </w:p>
    <w:p w14:paraId="030C7A02"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Weymar, F., Braatz, J., Guertler, D., Berg, N., Meyer, C., John, U., … &amp; Ulbricht, S. (2015). Characteristics associated with non-participation in 7-day accelerometry. </w:t>
      </w:r>
      <w:r w:rsidRPr="00FD73B4">
        <w:rPr>
          <w:rFonts w:ascii="Arial" w:eastAsia="Times New Roman" w:hAnsi="Arial" w:cs="Arial"/>
          <w:i/>
          <w:iCs/>
        </w:rPr>
        <w:t>Preventive Medicine Reports</w:t>
      </w:r>
      <w:r w:rsidRPr="00FD73B4">
        <w:rPr>
          <w:rFonts w:ascii="Arial" w:eastAsia="Times New Roman" w:hAnsi="Arial" w:cs="Arial"/>
        </w:rPr>
        <w:t xml:space="preserve">, 2, 413-418. </w:t>
      </w:r>
      <w:hyperlink r:id="rId100" w:history="1">
        <w:r w:rsidRPr="00FD73B4">
          <w:rPr>
            <w:rStyle w:val="Hyperlink"/>
            <w:rFonts w:ascii="Arial" w:hAnsi="Arial" w:cs="Arial"/>
          </w:rPr>
          <w:t>https://doi.org/10.1016/j.pmedr.2015.05.003</w:t>
        </w:r>
      </w:hyperlink>
    </w:p>
    <w:p w14:paraId="10B1508F"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Wondergem, R., Veenhof, C., Wouters, E., Bie, R., Visser</w:t>
      </w:r>
      <w:r w:rsidRPr="00FD73B4">
        <w:rPr>
          <w:rFonts w:ascii="Cambria Math" w:eastAsia="Times New Roman" w:hAnsi="Cambria Math" w:cs="Cambria Math"/>
        </w:rPr>
        <w:t>‐</w:t>
      </w:r>
      <w:r w:rsidRPr="00FD73B4">
        <w:rPr>
          <w:rFonts w:ascii="Arial" w:eastAsia="Times New Roman" w:hAnsi="Arial" w:cs="Arial"/>
        </w:rPr>
        <w:t xml:space="preserve">Meily, J., &amp; Pisters, M. (2019). Movement Behavior Patterns in People With First-Ever Stroke. </w:t>
      </w:r>
      <w:r w:rsidRPr="00FD73B4">
        <w:rPr>
          <w:rFonts w:ascii="Arial" w:eastAsia="Times New Roman" w:hAnsi="Arial" w:cs="Arial"/>
          <w:i/>
          <w:iCs/>
        </w:rPr>
        <w:t>Stroke</w:t>
      </w:r>
      <w:r w:rsidRPr="00FD73B4">
        <w:rPr>
          <w:rFonts w:ascii="Arial" w:eastAsia="Times New Roman" w:hAnsi="Arial" w:cs="Arial"/>
        </w:rPr>
        <w:t xml:space="preserve">, 50(12), 3553-3560. </w:t>
      </w:r>
      <w:hyperlink r:id="rId101" w:history="1">
        <w:r w:rsidRPr="00FD73B4">
          <w:rPr>
            <w:rStyle w:val="Hyperlink"/>
            <w:rFonts w:ascii="Arial" w:hAnsi="Arial" w:cs="Arial"/>
          </w:rPr>
          <w:t>https://doi.org/10.1161/strokeaha.119.027013</w:t>
        </w:r>
      </w:hyperlink>
    </w:p>
    <w:p w14:paraId="7D6C2968"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Wu, E., Ni, J., Zhu, Z., Xu, H., Tao, L., &amp; Xie, T. (2022). Association of a Healthy Lifestyle with All-Cause, Cause-Specific Mortality and Incident Cancer among Individuals with Metabolic Syndrome: A Prospective Cohort Study in UK Biobank. </w:t>
      </w:r>
      <w:r w:rsidRPr="00FD73B4">
        <w:rPr>
          <w:rFonts w:ascii="Arial" w:eastAsia="Times New Roman" w:hAnsi="Arial" w:cs="Arial"/>
          <w:i/>
          <w:iCs/>
        </w:rPr>
        <w:lastRenderedPageBreak/>
        <w:t>International Journal of Environmental Research and Public Health</w:t>
      </w:r>
      <w:r w:rsidRPr="00FD73B4">
        <w:rPr>
          <w:rFonts w:ascii="Arial" w:eastAsia="Times New Roman" w:hAnsi="Arial" w:cs="Arial"/>
        </w:rPr>
        <w:t xml:space="preserve">, 19(16), 9936. </w:t>
      </w:r>
      <w:hyperlink r:id="rId102" w:history="1">
        <w:r w:rsidRPr="00FD73B4">
          <w:rPr>
            <w:rStyle w:val="Hyperlink"/>
            <w:rFonts w:ascii="Arial" w:hAnsi="Arial" w:cs="Arial"/>
          </w:rPr>
          <w:t>https://doi.org/10.3390/ijerph19169936</w:t>
        </w:r>
      </w:hyperlink>
    </w:p>
    <w:p w14:paraId="397D791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Wu, H., Wei, J., Chen, W., Chen, L., Zhang, J., Wang, N., … &amp; Tan, X. (2024). Leisure Sedentary Behavior, Physical Activities, and Cardiovascular Disease Among Individuals With Metabolic Dysfunction–Associated Fatty Liver Disease. </w:t>
      </w:r>
      <w:r w:rsidRPr="00FD73B4">
        <w:rPr>
          <w:rFonts w:ascii="Arial" w:eastAsia="Times New Roman" w:hAnsi="Arial" w:cs="Arial"/>
          <w:i/>
          <w:iCs/>
        </w:rPr>
        <w:t>Arteriosclerosis Thrombosis and Vascular Biology</w:t>
      </w:r>
      <w:r w:rsidRPr="00FD73B4">
        <w:rPr>
          <w:rFonts w:ascii="Arial" w:eastAsia="Times New Roman" w:hAnsi="Arial" w:cs="Arial"/>
        </w:rPr>
        <w:t xml:space="preserve">, 44(9). </w:t>
      </w:r>
      <w:hyperlink r:id="rId103" w:history="1">
        <w:r w:rsidRPr="00FD73B4">
          <w:rPr>
            <w:rStyle w:val="Hyperlink"/>
            <w:rFonts w:ascii="Arial" w:hAnsi="Arial" w:cs="Arial"/>
          </w:rPr>
          <w:t>https://doi.org/10.1161/atvbaha.124.321214</w:t>
        </w:r>
      </w:hyperlink>
    </w:p>
    <w:p w14:paraId="1D9C0A9B"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Yang, J., Keohane, L., Pan, X., Qu, R., Shu, X., Lipworth, L., … &amp; Yu, D. (2022). Association of Healthy Lifestyles With Risk of Alzheimer Disease and Related Dementias in Low-Income Black and White Americans. </w:t>
      </w:r>
      <w:r w:rsidRPr="00FD73B4">
        <w:rPr>
          <w:rFonts w:ascii="Arial" w:eastAsia="Times New Roman" w:hAnsi="Arial" w:cs="Arial"/>
          <w:i/>
          <w:iCs/>
        </w:rPr>
        <w:t>Neurology</w:t>
      </w:r>
      <w:r w:rsidRPr="00FD73B4">
        <w:rPr>
          <w:rFonts w:ascii="Arial" w:eastAsia="Times New Roman" w:hAnsi="Arial" w:cs="Arial"/>
        </w:rPr>
        <w:t xml:space="preserve">, 99(9). </w:t>
      </w:r>
      <w:hyperlink r:id="rId104" w:history="1">
        <w:r w:rsidRPr="00FD73B4">
          <w:rPr>
            <w:rStyle w:val="Hyperlink"/>
            <w:rFonts w:ascii="Arial" w:hAnsi="Arial" w:cs="Arial"/>
          </w:rPr>
          <w:t>https://doi.org/10.1212/wnl.0000000000200774</w:t>
        </w:r>
      </w:hyperlink>
    </w:p>
    <w:p w14:paraId="064F9136"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Yu, L., Liang, Q., Zhou, W., Huang, X., Hu, L., You, C., … &amp; Cheng, X. (2018). Sedentary behavior and the risk of cardiac-cerebral vascular diseases in southern China</w:t>
      </w:r>
      <w:r w:rsidRPr="00FD73B4">
        <w:rPr>
          <w:rFonts w:ascii="Arial" w:eastAsia="Times New Roman" w:hAnsi="Arial" w:cs="Arial"/>
          <w:i/>
          <w:iCs/>
        </w:rPr>
        <w:t>. Medicine</w:t>
      </w:r>
      <w:r w:rsidRPr="00FD73B4">
        <w:rPr>
          <w:rFonts w:ascii="Arial" w:eastAsia="Times New Roman" w:hAnsi="Arial" w:cs="Arial"/>
        </w:rPr>
        <w:t xml:space="preserve">, 97(44), e12838. </w:t>
      </w:r>
      <w:hyperlink r:id="rId105" w:history="1">
        <w:r w:rsidRPr="00FD73B4">
          <w:rPr>
            <w:rStyle w:val="Hyperlink"/>
            <w:rFonts w:ascii="Arial" w:hAnsi="Arial" w:cs="Arial"/>
          </w:rPr>
          <w:t>https://doi.org/10.1097/md.0000000000012838</w:t>
        </w:r>
      </w:hyperlink>
    </w:p>
    <w:p w14:paraId="3582813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Yun, J., Jung, S., Shivakumar, M., Xiao, B., Khera, A., Park, W., … &amp; Kim, D. (2021). Polygenic risk, lifestyle, and cardiovascular mortality: a prospective population-based UK Biobank study.. </w:t>
      </w:r>
      <w:hyperlink r:id="rId106" w:history="1">
        <w:r w:rsidRPr="00FD73B4">
          <w:rPr>
            <w:rStyle w:val="Hyperlink"/>
            <w:rFonts w:ascii="Arial" w:hAnsi="Arial" w:cs="Arial"/>
          </w:rPr>
          <w:t>https://doi.org/10.1101/2021.02.15.21251790</w:t>
        </w:r>
      </w:hyperlink>
    </w:p>
    <w:p w14:paraId="6AA4B29C"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Zbogar, D., Eng, J., Miller, W., Krassioukov, A., &amp; Verrier, M. (2016). Reliability and validity of daily physical activity measures during inpatient spinal cord injury rehabilitation. </w:t>
      </w:r>
      <w:r w:rsidRPr="00FD73B4">
        <w:rPr>
          <w:rFonts w:ascii="Arial" w:eastAsia="Times New Roman" w:hAnsi="Arial" w:cs="Arial"/>
          <w:i/>
          <w:iCs/>
        </w:rPr>
        <w:t>Sage Open Medicine</w:t>
      </w:r>
      <w:r w:rsidRPr="00FD73B4">
        <w:rPr>
          <w:rFonts w:ascii="Arial" w:eastAsia="Times New Roman" w:hAnsi="Arial" w:cs="Arial"/>
        </w:rPr>
        <w:t xml:space="preserve">, 4. </w:t>
      </w:r>
      <w:hyperlink r:id="rId107" w:history="1">
        <w:r w:rsidRPr="00FD73B4">
          <w:rPr>
            <w:rStyle w:val="Hyperlink"/>
            <w:rFonts w:ascii="Arial" w:hAnsi="Arial" w:cs="Arial"/>
          </w:rPr>
          <w:t>https://doi.org/10.1177/2050312116666941</w:t>
        </w:r>
      </w:hyperlink>
    </w:p>
    <w:p w14:paraId="4B650661" w14:textId="77777777" w:rsidR="009F55EE" w:rsidRPr="00FD73B4" w:rsidRDefault="009F55EE" w:rsidP="009F55EE">
      <w:pPr>
        <w:pStyle w:val="ListParagraph"/>
        <w:numPr>
          <w:ilvl w:val="0"/>
          <w:numId w:val="27"/>
        </w:numPr>
        <w:spacing w:after="0" w:line="360" w:lineRule="auto"/>
        <w:rPr>
          <w:rFonts w:ascii="Arial" w:eastAsia="Times New Roman" w:hAnsi="Arial" w:cs="Arial"/>
        </w:rPr>
      </w:pPr>
      <w:r w:rsidRPr="00FD73B4">
        <w:rPr>
          <w:rFonts w:ascii="Arial" w:eastAsia="Times New Roman" w:hAnsi="Arial" w:cs="Arial"/>
        </w:rPr>
        <w:t xml:space="preserve">Zhang, Y., Chen, C., Pan, X., Guo, J., Li, Y., Franco, O., … &amp; Pan, A. (2021). Associations of healthy lifestyle and socioeconomic status with mortality and incident cardiovascular disease: two prospective cohort studies. </w:t>
      </w:r>
      <w:r w:rsidRPr="00FD73B4">
        <w:rPr>
          <w:rFonts w:ascii="Arial" w:eastAsia="Times New Roman" w:hAnsi="Arial" w:cs="Arial"/>
          <w:i/>
          <w:iCs/>
        </w:rPr>
        <w:t>BMJ</w:t>
      </w:r>
      <w:r w:rsidRPr="00FD73B4">
        <w:rPr>
          <w:rFonts w:ascii="Arial" w:eastAsia="Times New Roman" w:hAnsi="Arial" w:cs="Arial"/>
        </w:rPr>
        <w:t xml:space="preserve">, n604. </w:t>
      </w:r>
      <w:hyperlink r:id="rId108" w:history="1">
        <w:r w:rsidRPr="00FD73B4">
          <w:rPr>
            <w:rStyle w:val="Hyperlink"/>
            <w:rFonts w:ascii="Arial" w:hAnsi="Arial" w:cs="Arial"/>
          </w:rPr>
          <w:t>https://doi.org/10.1136/bmj.n604</w:t>
        </w:r>
      </w:hyperlink>
    </w:p>
    <w:p w14:paraId="7DB28CCE" w14:textId="77777777" w:rsidR="009F55EE" w:rsidRPr="00FD73B4" w:rsidRDefault="009F55EE" w:rsidP="009F55EE">
      <w:pPr>
        <w:pStyle w:val="ListParagraph"/>
        <w:numPr>
          <w:ilvl w:val="0"/>
          <w:numId w:val="27"/>
        </w:numPr>
        <w:spacing w:before="100" w:beforeAutospacing="1" w:after="100" w:afterAutospacing="1" w:line="360" w:lineRule="auto"/>
        <w:outlineLvl w:val="2"/>
        <w:rPr>
          <w:rFonts w:ascii="Arial" w:eastAsia="Times New Roman" w:hAnsi="Arial" w:cs="Arial"/>
        </w:rPr>
      </w:pPr>
      <w:r w:rsidRPr="00FD73B4">
        <w:rPr>
          <w:rStyle w:val="Strong"/>
          <w:rFonts w:ascii="Arial" w:hAnsi="Arial" w:cs="Arial"/>
          <w:b w:val="0"/>
          <w:bCs w:val="0"/>
        </w:rPr>
        <w:t>Zhang, Y., Yang, H., Li, S., Li, W.-D. and Wang, Y. (2021)</w:t>
      </w:r>
      <w:r w:rsidRPr="00FD73B4">
        <w:rPr>
          <w:rFonts w:ascii="Arial" w:hAnsi="Arial" w:cs="Arial"/>
        </w:rPr>
        <w:br/>
        <w:t xml:space="preserve">Consumption of coffee and tea and risk of developing stroke, dementia, and poststroke dementia: A cohort study in the UK Biobank. </w:t>
      </w:r>
      <w:r w:rsidRPr="00FD73B4">
        <w:rPr>
          <w:rStyle w:val="Emphasis"/>
          <w:rFonts w:ascii="Arial" w:hAnsi="Arial" w:cs="Arial"/>
        </w:rPr>
        <w:t>PLOS Medicine</w:t>
      </w:r>
      <w:r w:rsidRPr="00FD73B4">
        <w:rPr>
          <w:rFonts w:ascii="Arial" w:hAnsi="Arial" w:cs="Arial"/>
        </w:rPr>
        <w:t xml:space="preserve">, 18(11), e1003830. </w:t>
      </w:r>
      <w:hyperlink r:id="rId109" w:history="1">
        <w:r w:rsidRPr="00FD73B4">
          <w:rPr>
            <w:rStyle w:val="Hyperlink"/>
            <w:rFonts w:ascii="Arial" w:hAnsi="Arial" w:cs="Arial"/>
          </w:rPr>
          <w:t>https://doi.org/10.1371/journal.pmed.1003830</w:t>
        </w:r>
      </w:hyperlink>
    </w:p>
    <w:p w14:paraId="799C2993" w14:textId="77777777" w:rsidR="0060140F" w:rsidRPr="00FD73B4" w:rsidRDefault="0060140F" w:rsidP="0060140F">
      <w:pPr>
        <w:spacing w:line="360" w:lineRule="auto"/>
        <w:rPr>
          <w:rFonts w:ascii="Arial" w:hAnsi="Arial" w:cs="Arial"/>
        </w:rPr>
      </w:pPr>
    </w:p>
    <w:p w14:paraId="230DE49F" w14:textId="28114635" w:rsidR="009575FF" w:rsidRPr="00FD73B4" w:rsidRDefault="009575FF" w:rsidP="00176465">
      <w:pPr>
        <w:spacing w:line="360" w:lineRule="auto"/>
        <w:rPr>
          <w:rFonts w:ascii="Arial" w:hAnsi="Arial" w:cs="Arial"/>
        </w:rPr>
      </w:pPr>
    </w:p>
    <w:p w14:paraId="39BF1CEC" w14:textId="77777777" w:rsidR="009575FF" w:rsidRPr="00FD73B4" w:rsidRDefault="009575FF">
      <w:pPr>
        <w:rPr>
          <w:rFonts w:ascii="Arial" w:hAnsi="Arial" w:cs="Arial"/>
        </w:rPr>
      </w:pPr>
      <w:r w:rsidRPr="00FD73B4">
        <w:rPr>
          <w:rFonts w:ascii="Arial" w:hAnsi="Arial" w:cs="Arial"/>
        </w:rPr>
        <w:br w:type="page"/>
      </w:r>
    </w:p>
    <w:p w14:paraId="438F1467" w14:textId="77777777" w:rsidR="009575FF" w:rsidRPr="00292705" w:rsidRDefault="009575FF" w:rsidP="009575FF">
      <w:pPr>
        <w:jc w:val="center"/>
        <w:rPr>
          <w:rFonts w:ascii="Arial" w:hAnsi="Arial" w:cs="Arial"/>
          <w:b/>
          <w:sz w:val="24"/>
          <w:szCs w:val="24"/>
        </w:rPr>
      </w:pPr>
      <w:r w:rsidRPr="00292705">
        <w:rPr>
          <w:rFonts w:ascii="Arial" w:hAnsi="Arial" w:cs="Arial"/>
          <w:b/>
          <w:sz w:val="24"/>
          <w:szCs w:val="24"/>
        </w:rPr>
        <w:lastRenderedPageBreak/>
        <w:t>Appendix</w:t>
      </w:r>
    </w:p>
    <w:p w14:paraId="71DD1713" w14:textId="77777777" w:rsidR="009575FF" w:rsidRPr="00FD73B4" w:rsidRDefault="009575FF" w:rsidP="009575FF">
      <w:pPr>
        <w:rPr>
          <w:rFonts w:ascii="Arial" w:hAnsi="Arial" w:cs="Arial"/>
          <w:b/>
        </w:rPr>
      </w:pPr>
    </w:p>
    <w:p w14:paraId="630E9A84" w14:textId="46C0E9FB" w:rsidR="009575FF" w:rsidRPr="00FD73B4" w:rsidRDefault="009575FF" w:rsidP="009575FF">
      <w:pPr>
        <w:rPr>
          <w:rFonts w:ascii="Arial" w:eastAsia="Times New Roman" w:hAnsi="Arial" w:cs="Arial"/>
          <w:b/>
          <w:bCs/>
          <w:kern w:val="36"/>
        </w:rPr>
      </w:pPr>
      <w:r w:rsidRPr="00FD73B4">
        <w:rPr>
          <w:rFonts w:ascii="Arial" w:hAnsi="Arial" w:cs="Arial"/>
          <w:b/>
        </w:rPr>
        <w:t xml:space="preserve">Appendix A: </w:t>
      </w:r>
      <w:r w:rsidRPr="00FD73B4">
        <w:rPr>
          <w:rFonts w:ascii="Arial" w:eastAsia="Times New Roman" w:hAnsi="Arial" w:cs="Arial"/>
          <w:b/>
          <w:bCs/>
          <w:kern w:val="36"/>
        </w:rPr>
        <w:t>Characteristics of Included Studies</w:t>
      </w:r>
    </w:p>
    <w:p w14:paraId="424AB7C2" w14:textId="77777777" w:rsidR="009575FF" w:rsidRPr="00FD73B4" w:rsidRDefault="009575FF" w:rsidP="009575FF">
      <w:pPr>
        <w:rPr>
          <w:rFonts w:ascii="Arial" w:hAnsi="Arial" w:cs="Arial"/>
          <w: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hemeFill="accent6" w:themeFillTint="33"/>
        <w:tblCellMar>
          <w:top w:w="15" w:type="dxa"/>
          <w:left w:w="15" w:type="dxa"/>
          <w:bottom w:w="15" w:type="dxa"/>
          <w:right w:w="15" w:type="dxa"/>
        </w:tblCellMar>
        <w:tblLook w:val="04A0" w:firstRow="1" w:lastRow="0" w:firstColumn="1" w:lastColumn="0" w:noHBand="0" w:noVBand="1"/>
      </w:tblPr>
      <w:tblGrid>
        <w:gridCol w:w="999"/>
        <w:gridCol w:w="880"/>
        <w:gridCol w:w="791"/>
        <w:gridCol w:w="1303"/>
        <w:gridCol w:w="1172"/>
        <w:gridCol w:w="862"/>
        <w:gridCol w:w="1219"/>
        <w:gridCol w:w="984"/>
        <w:gridCol w:w="1140"/>
      </w:tblGrid>
      <w:tr w:rsidR="009575FF" w:rsidRPr="00FD73B4" w14:paraId="35555CEB" w14:textId="77777777" w:rsidTr="00A1297E">
        <w:trPr>
          <w:tblHeader/>
          <w:tblCellSpacing w:w="15" w:type="dxa"/>
        </w:trPr>
        <w:tc>
          <w:tcPr>
            <w:tcW w:w="0" w:type="auto"/>
            <w:shd w:val="clear" w:color="auto" w:fill="E2EFD9" w:themeFill="accent6" w:themeFillTint="33"/>
            <w:vAlign w:val="center"/>
            <w:hideMark/>
          </w:tcPr>
          <w:p w14:paraId="47786657"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Author (Year)</w:t>
            </w:r>
          </w:p>
        </w:tc>
        <w:tc>
          <w:tcPr>
            <w:tcW w:w="0" w:type="auto"/>
            <w:shd w:val="clear" w:color="auto" w:fill="E2EFD9" w:themeFill="accent6" w:themeFillTint="33"/>
            <w:vAlign w:val="center"/>
            <w:hideMark/>
          </w:tcPr>
          <w:p w14:paraId="70FB01C7"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Study Design</w:t>
            </w:r>
          </w:p>
        </w:tc>
        <w:tc>
          <w:tcPr>
            <w:tcW w:w="0" w:type="auto"/>
            <w:shd w:val="clear" w:color="auto" w:fill="E2EFD9" w:themeFill="accent6" w:themeFillTint="33"/>
            <w:vAlign w:val="center"/>
            <w:hideMark/>
          </w:tcPr>
          <w:p w14:paraId="688017E4"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Sample Size</w:t>
            </w:r>
          </w:p>
        </w:tc>
        <w:tc>
          <w:tcPr>
            <w:tcW w:w="0" w:type="auto"/>
            <w:shd w:val="clear" w:color="auto" w:fill="E2EFD9" w:themeFill="accent6" w:themeFillTint="33"/>
            <w:vAlign w:val="center"/>
            <w:hideMark/>
          </w:tcPr>
          <w:p w14:paraId="1521758D"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Population Characteristics</w:t>
            </w:r>
          </w:p>
        </w:tc>
        <w:tc>
          <w:tcPr>
            <w:tcW w:w="0" w:type="auto"/>
            <w:shd w:val="clear" w:color="auto" w:fill="E2EFD9" w:themeFill="accent6" w:themeFillTint="33"/>
            <w:vAlign w:val="center"/>
            <w:hideMark/>
          </w:tcPr>
          <w:p w14:paraId="3FA74F08"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Exposure Variables</w:t>
            </w:r>
          </w:p>
        </w:tc>
        <w:tc>
          <w:tcPr>
            <w:tcW w:w="0" w:type="auto"/>
            <w:shd w:val="clear" w:color="auto" w:fill="E2EFD9" w:themeFill="accent6" w:themeFillTint="33"/>
            <w:vAlign w:val="center"/>
            <w:hideMark/>
          </w:tcPr>
          <w:p w14:paraId="108FB136"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Outcome Measures</w:t>
            </w:r>
          </w:p>
        </w:tc>
        <w:tc>
          <w:tcPr>
            <w:tcW w:w="0" w:type="auto"/>
            <w:shd w:val="clear" w:color="auto" w:fill="E2EFD9" w:themeFill="accent6" w:themeFillTint="33"/>
            <w:vAlign w:val="center"/>
            <w:hideMark/>
          </w:tcPr>
          <w:p w14:paraId="738E2D25"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Data Collection Methods</w:t>
            </w:r>
          </w:p>
        </w:tc>
        <w:tc>
          <w:tcPr>
            <w:tcW w:w="0" w:type="auto"/>
            <w:shd w:val="clear" w:color="auto" w:fill="E2EFD9" w:themeFill="accent6" w:themeFillTint="33"/>
            <w:vAlign w:val="center"/>
            <w:hideMark/>
          </w:tcPr>
          <w:p w14:paraId="3066DE0D"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Key Findings</w:t>
            </w:r>
          </w:p>
        </w:tc>
        <w:tc>
          <w:tcPr>
            <w:tcW w:w="0" w:type="auto"/>
            <w:shd w:val="clear" w:color="auto" w:fill="E2EFD9" w:themeFill="accent6" w:themeFillTint="33"/>
            <w:vAlign w:val="center"/>
            <w:hideMark/>
          </w:tcPr>
          <w:p w14:paraId="75616B11"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Limitations</w:t>
            </w:r>
          </w:p>
        </w:tc>
      </w:tr>
      <w:tr w:rsidR="009575FF" w:rsidRPr="00FD73B4" w14:paraId="2432E764" w14:textId="77777777" w:rsidTr="00A1297E">
        <w:trPr>
          <w:tblCellSpacing w:w="15" w:type="dxa"/>
        </w:trPr>
        <w:tc>
          <w:tcPr>
            <w:tcW w:w="0" w:type="auto"/>
            <w:shd w:val="clear" w:color="auto" w:fill="E2EFD9" w:themeFill="accent6" w:themeFillTint="33"/>
            <w:vAlign w:val="center"/>
            <w:hideMark/>
          </w:tcPr>
          <w:p w14:paraId="26DA730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Lawrence et al. (2010)</w:t>
            </w:r>
          </w:p>
        </w:tc>
        <w:tc>
          <w:tcPr>
            <w:tcW w:w="0" w:type="auto"/>
            <w:shd w:val="clear" w:color="auto" w:fill="E2EFD9" w:themeFill="accent6" w:themeFillTint="33"/>
            <w:vAlign w:val="center"/>
            <w:hideMark/>
          </w:tcPr>
          <w:p w14:paraId="257B63E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Qualitative focus groups</w:t>
            </w:r>
          </w:p>
        </w:tc>
        <w:tc>
          <w:tcPr>
            <w:tcW w:w="0" w:type="auto"/>
            <w:shd w:val="clear" w:color="auto" w:fill="E2EFD9" w:themeFill="accent6" w:themeFillTint="33"/>
            <w:vAlign w:val="center"/>
            <w:hideMark/>
          </w:tcPr>
          <w:p w14:paraId="09B3792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34</w:t>
            </w:r>
          </w:p>
        </w:tc>
        <w:tc>
          <w:tcPr>
            <w:tcW w:w="0" w:type="auto"/>
            <w:shd w:val="clear" w:color="auto" w:fill="E2EFD9" w:themeFill="accent6" w:themeFillTint="33"/>
            <w:vAlign w:val="center"/>
            <w:hideMark/>
          </w:tcPr>
          <w:p w14:paraId="453B4214"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Adults post-stroke, UK</w:t>
            </w:r>
          </w:p>
        </w:tc>
        <w:tc>
          <w:tcPr>
            <w:tcW w:w="0" w:type="auto"/>
            <w:shd w:val="clear" w:color="auto" w:fill="E2EFD9" w:themeFill="accent6" w:themeFillTint="33"/>
            <w:vAlign w:val="center"/>
            <w:hideMark/>
          </w:tcPr>
          <w:p w14:paraId="0D62D79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Lifestyle beliefs &amp; behaviours</w:t>
            </w:r>
          </w:p>
        </w:tc>
        <w:tc>
          <w:tcPr>
            <w:tcW w:w="0" w:type="auto"/>
            <w:shd w:val="clear" w:color="auto" w:fill="E2EFD9" w:themeFill="accent6" w:themeFillTint="33"/>
            <w:vAlign w:val="center"/>
            <w:hideMark/>
          </w:tcPr>
          <w:p w14:paraId="23F5FCB9"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Perceived lifestyle influence</w:t>
            </w:r>
          </w:p>
        </w:tc>
        <w:tc>
          <w:tcPr>
            <w:tcW w:w="0" w:type="auto"/>
            <w:shd w:val="clear" w:color="auto" w:fill="E2EFD9" w:themeFill="accent6" w:themeFillTint="33"/>
            <w:vAlign w:val="center"/>
            <w:hideMark/>
          </w:tcPr>
          <w:p w14:paraId="2EED0D84"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Semi-structured focus groups</w:t>
            </w:r>
          </w:p>
        </w:tc>
        <w:tc>
          <w:tcPr>
            <w:tcW w:w="0" w:type="auto"/>
            <w:shd w:val="clear" w:color="auto" w:fill="E2EFD9" w:themeFill="accent6" w:themeFillTint="33"/>
            <w:vAlign w:val="center"/>
            <w:hideMark/>
          </w:tcPr>
          <w:p w14:paraId="572C3F4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Identified barriers to lifestyle change following stroke</w:t>
            </w:r>
          </w:p>
        </w:tc>
        <w:tc>
          <w:tcPr>
            <w:tcW w:w="0" w:type="auto"/>
            <w:shd w:val="clear" w:color="auto" w:fill="E2EFD9" w:themeFill="accent6" w:themeFillTint="33"/>
            <w:vAlign w:val="center"/>
            <w:hideMark/>
          </w:tcPr>
          <w:p w14:paraId="5784FEE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Small sample, subjective accounts</w:t>
            </w:r>
          </w:p>
        </w:tc>
      </w:tr>
      <w:tr w:rsidR="009575FF" w:rsidRPr="00FD73B4" w14:paraId="13518ED7" w14:textId="77777777" w:rsidTr="00A1297E">
        <w:trPr>
          <w:tblCellSpacing w:w="15" w:type="dxa"/>
        </w:trPr>
        <w:tc>
          <w:tcPr>
            <w:tcW w:w="0" w:type="auto"/>
            <w:shd w:val="clear" w:color="auto" w:fill="E2EFD9" w:themeFill="accent6" w:themeFillTint="33"/>
            <w:vAlign w:val="center"/>
            <w:hideMark/>
          </w:tcPr>
          <w:p w14:paraId="4FE39F2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Zhang et al. (2021)</w:t>
            </w:r>
          </w:p>
        </w:tc>
        <w:tc>
          <w:tcPr>
            <w:tcW w:w="0" w:type="auto"/>
            <w:shd w:val="clear" w:color="auto" w:fill="E2EFD9" w:themeFill="accent6" w:themeFillTint="33"/>
            <w:vAlign w:val="center"/>
            <w:hideMark/>
          </w:tcPr>
          <w:p w14:paraId="6A5D5B0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1A792C4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365,000+</w:t>
            </w:r>
          </w:p>
        </w:tc>
        <w:tc>
          <w:tcPr>
            <w:tcW w:w="0" w:type="auto"/>
            <w:shd w:val="clear" w:color="auto" w:fill="E2EFD9" w:themeFill="accent6" w:themeFillTint="33"/>
            <w:vAlign w:val="center"/>
            <w:hideMark/>
          </w:tcPr>
          <w:p w14:paraId="35A45D63"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 aged 40–70</w:t>
            </w:r>
          </w:p>
        </w:tc>
        <w:tc>
          <w:tcPr>
            <w:tcW w:w="0" w:type="auto"/>
            <w:shd w:val="clear" w:color="auto" w:fill="E2EFD9" w:themeFill="accent6" w:themeFillTint="33"/>
            <w:vAlign w:val="center"/>
            <w:hideMark/>
          </w:tcPr>
          <w:p w14:paraId="7D9F5E4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Diet quality &amp; lifestyle</w:t>
            </w:r>
          </w:p>
        </w:tc>
        <w:tc>
          <w:tcPr>
            <w:tcW w:w="0" w:type="auto"/>
            <w:shd w:val="clear" w:color="auto" w:fill="E2EFD9" w:themeFill="accent6" w:themeFillTint="33"/>
            <w:vAlign w:val="center"/>
            <w:hideMark/>
          </w:tcPr>
          <w:p w14:paraId="65F0B64A"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Incident stroke</w:t>
            </w:r>
          </w:p>
        </w:tc>
        <w:tc>
          <w:tcPr>
            <w:tcW w:w="0" w:type="auto"/>
            <w:shd w:val="clear" w:color="auto" w:fill="E2EFD9" w:themeFill="accent6" w:themeFillTint="33"/>
            <w:vAlign w:val="center"/>
            <w:hideMark/>
          </w:tcPr>
          <w:p w14:paraId="5E8E0F52"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Biobank measures</w:t>
            </w:r>
          </w:p>
        </w:tc>
        <w:tc>
          <w:tcPr>
            <w:tcW w:w="0" w:type="auto"/>
            <w:shd w:val="clear" w:color="auto" w:fill="E2EFD9" w:themeFill="accent6" w:themeFillTint="33"/>
            <w:vAlign w:val="center"/>
            <w:hideMark/>
          </w:tcPr>
          <w:p w14:paraId="0AEE9FD9"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Higher-quality diets associated with lower stroke risk</w:t>
            </w:r>
          </w:p>
        </w:tc>
        <w:tc>
          <w:tcPr>
            <w:tcW w:w="0" w:type="auto"/>
            <w:shd w:val="clear" w:color="auto" w:fill="E2EFD9" w:themeFill="accent6" w:themeFillTint="33"/>
            <w:vAlign w:val="center"/>
            <w:hideMark/>
          </w:tcPr>
          <w:p w14:paraId="7F77004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Self-report diet data</w:t>
            </w:r>
          </w:p>
        </w:tc>
      </w:tr>
      <w:tr w:rsidR="009575FF" w:rsidRPr="00FD73B4" w14:paraId="73C149DC" w14:textId="77777777" w:rsidTr="00A1297E">
        <w:trPr>
          <w:tblCellSpacing w:w="15" w:type="dxa"/>
        </w:trPr>
        <w:tc>
          <w:tcPr>
            <w:tcW w:w="0" w:type="auto"/>
            <w:shd w:val="clear" w:color="auto" w:fill="E2EFD9" w:themeFill="accent6" w:themeFillTint="33"/>
            <w:vAlign w:val="center"/>
            <w:hideMark/>
          </w:tcPr>
          <w:p w14:paraId="3AE17DB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Dong et al. (2024)</w:t>
            </w:r>
          </w:p>
        </w:tc>
        <w:tc>
          <w:tcPr>
            <w:tcW w:w="0" w:type="auto"/>
            <w:shd w:val="clear" w:color="auto" w:fill="E2EFD9" w:themeFill="accent6" w:themeFillTint="33"/>
            <w:vAlign w:val="center"/>
            <w:hideMark/>
          </w:tcPr>
          <w:p w14:paraId="779F898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3E6BC98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300,000+</w:t>
            </w:r>
          </w:p>
        </w:tc>
        <w:tc>
          <w:tcPr>
            <w:tcW w:w="0" w:type="auto"/>
            <w:shd w:val="clear" w:color="auto" w:fill="E2EFD9" w:themeFill="accent6" w:themeFillTint="33"/>
            <w:vAlign w:val="center"/>
            <w:hideMark/>
          </w:tcPr>
          <w:p w14:paraId="481FE10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w:t>
            </w:r>
          </w:p>
        </w:tc>
        <w:tc>
          <w:tcPr>
            <w:tcW w:w="0" w:type="auto"/>
            <w:shd w:val="clear" w:color="auto" w:fill="E2EFD9" w:themeFill="accent6" w:themeFillTint="33"/>
            <w:vAlign w:val="center"/>
            <w:hideMark/>
          </w:tcPr>
          <w:p w14:paraId="0A092D0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Sedentary time</w:t>
            </w:r>
          </w:p>
        </w:tc>
        <w:tc>
          <w:tcPr>
            <w:tcW w:w="0" w:type="auto"/>
            <w:shd w:val="clear" w:color="auto" w:fill="E2EFD9" w:themeFill="accent6" w:themeFillTint="33"/>
            <w:vAlign w:val="center"/>
            <w:hideMark/>
          </w:tcPr>
          <w:p w14:paraId="1D112AB4"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Ischemic stroke incidence</w:t>
            </w:r>
          </w:p>
        </w:tc>
        <w:tc>
          <w:tcPr>
            <w:tcW w:w="0" w:type="auto"/>
            <w:shd w:val="clear" w:color="auto" w:fill="E2EFD9" w:themeFill="accent6" w:themeFillTint="33"/>
            <w:vAlign w:val="center"/>
            <w:hideMark/>
          </w:tcPr>
          <w:p w14:paraId="36A007F8"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Accelerometer &amp; lifestyle data</w:t>
            </w:r>
          </w:p>
        </w:tc>
        <w:tc>
          <w:tcPr>
            <w:tcW w:w="0" w:type="auto"/>
            <w:shd w:val="clear" w:color="auto" w:fill="E2EFD9" w:themeFill="accent6" w:themeFillTint="33"/>
            <w:vAlign w:val="center"/>
            <w:hideMark/>
          </w:tcPr>
          <w:p w14:paraId="345E80F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Sedentary behaviour increased stroke risk</w:t>
            </w:r>
          </w:p>
        </w:tc>
        <w:tc>
          <w:tcPr>
            <w:tcW w:w="0" w:type="auto"/>
            <w:shd w:val="clear" w:color="auto" w:fill="E2EFD9" w:themeFill="accent6" w:themeFillTint="33"/>
            <w:vAlign w:val="center"/>
            <w:hideMark/>
          </w:tcPr>
          <w:p w14:paraId="2887908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Observational limitations</w:t>
            </w:r>
          </w:p>
        </w:tc>
      </w:tr>
      <w:tr w:rsidR="009575FF" w:rsidRPr="00FD73B4" w14:paraId="10325FC5" w14:textId="77777777" w:rsidTr="00A1297E">
        <w:trPr>
          <w:tblCellSpacing w:w="15" w:type="dxa"/>
        </w:trPr>
        <w:tc>
          <w:tcPr>
            <w:tcW w:w="0" w:type="auto"/>
            <w:shd w:val="clear" w:color="auto" w:fill="E2EFD9" w:themeFill="accent6" w:themeFillTint="33"/>
            <w:vAlign w:val="center"/>
            <w:hideMark/>
          </w:tcPr>
          <w:p w14:paraId="593B788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lastRenderedPageBreak/>
              <w:t>Livingstone et al. (2021)</w:t>
            </w:r>
          </w:p>
        </w:tc>
        <w:tc>
          <w:tcPr>
            <w:tcW w:w="0" w:type="auto"/>
            <w:shd w:val="clear" w:color="auto" w:fill="E2EFD9" w:themeFill="accent6" w:themeFillTint="33"/>
            <w:vAlign w:val="center"/>
            <w:hideMark/>
          </w:tcPr>
          <w:p w14:paraId="598CAE5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0508EF6A"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250,000+</w:t>
            </w:r>
          </w:p>
        </w:tc>
        <w:tc>
          <w:tcPr>
            <w:tcW w:w="0" w:type="auto"/>
            <w:shd w:val="clear" w:color="auto" w:fill="E2EFD9" w:themeFill="accent6" w:themeFillTint="33"/>
            <w:vAlign w:val="center"/>
            <w:hideMark/>
          </w:tcPr>
          <w:p w14:paraId="42D564A3"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Middle-aged UK adults</w:t>
            </w:r>
          </w:p>
        </w:tc>
        <w:tc>
          <w:tcPr>
            <w:tcW w:w="0" w:type="auto"/>
            <w:shd w:val="clear" w:color="auto" w:fill="E2EFD9" w:themeFill="accent6" w:themeFillTint="33"/>
            <w:vAlign w:val="center"/>
            <w:hideMark/>
          </w:tcPr>
          <w:p w14:paraId="0F82A4B9"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Alcohol intake</w:t>
            </w:r>
          </w:p>
        </w:tc>
        <w:tc>
          <w:tcPr>
            <w:tcW w:w="0" w:type="auto"/>
            <w:shd w:val="clear" w:color="auto" w:fill="E2EFD9" w:themeFill="accent6" w:themeFillTint="33"/>
            <w:vAlign w:val="center"/>
            <w:hideMark/>
          </w:tcPr>
          <w:p w14:paraId="21F60914"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Stroke &amp; CVD outcomes</w:t>
            </w:r>
          </w:p>
        </w:tc>
        <w:tc>
          <w:tcPr>
            <w:tcW w:w="0" w:type="auto"/>
            <w:shd w:val="clear" w:color="auto" w:fill="E2EFD9" w:themeFill="accent6" w:themeFillTint="33"/>
            <w:vAlign w:val="center"/>
            <w:hideMark/>
          </w:tcPr>
          <w:p w14:paraId="76C6FCC2"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Lifestyle questionnaires</w:t>
            </w:r>
          </w:p>
        </w:tc>
        <w:tc>
          <w:tcPr>
            <w:tcW w:w="0" w:type="auto"/>
            <w:shd w:val="clear" w:color="auto" w:fill="E2EFD9" w:themeFill="accent6" w:themeFillTint="33"/>
            <w:vAlign w:val="center"/>
            <w:hideMark/>
          </w:tcPr>
          <w:p w14:paraId="4ADB9D08"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Moderate alcohol not protective</w:t>
            </w:r>
          </w:p>
        </w:tc>
        <w:tc>
          <w:tcPr>
            <w:tcW w:w="0" w:type="auto"/>
            <w:shd w:val="clear" w:color="auto" w:fill="E2EFD9" w:themeFill="accent6" w:themeFillTint="33"/>
            <w:vAlign w:val="center"/>
            <w:hideMark/>
          </w:tcPr>
          <w:p w14:paraId="66240DC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Self-report bias</w:t>
            </w:r>
          </w:p>
        </w:tc>
      </w:tr>
      <w:tr w:rsidR="009575FF" w:rsidRPr="00FD73B4" w14:paraId="0A226340" w14:textId="77777777" w:rsidTr="00A1297E">
        <w:trPr>
          <w:tblCellSpacing w:w="15" w:type="dxa"/>
        </w:trPr>
        <w:tc>
          <w:tcPr>
            <w:tcW w:w="0" w:type="auto"/>
            <w:shd w:val="clear" w:color="auto" w:fill="E2EFD9" w:themeFill="accent6" w:themeFillTint="33"/>
            <w:vAlign w:val="center"/>
            <w:hideMark/>
          </w:tcPr>
          <w:p w14:paraId="7790CA6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Miguet et al. (2021)</w:t>
            </w:r>
          </w:p>
        </w:tc>
        <w:tc>
          <w:tcPr>
            <w:tcW w:w="0" w:type="auto"/>
            <w:shd w:val="clear" w:color="auto" w:fill="E2EFD9" w:themeFill="accent6" w:themeFillTint="33"/>
            <w:vAlign w:val="center"/>
            <w:hideMark/>
          </w:tcPr>
          <w:p w14:paraId="08B2AAD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4950BBA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180,000+</w:t>
            </w:r>
          </w:p>
        </w:tc>
        <w:tc>
          <w:tcPr>
            <w:tcW w:w="0" w:type="auto"/>
            <w:shd w:val="clear" w:color="auto" w:fill="E2EFD9" w:themeFill="accent6" w:themeFillTint="33"/>
            <w:vAlign w:val="center"/>
            <w:hideMark/>
          </w:tcPr>
          <w:p w14:paraId="393C667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Older UK adults</w:t>
            </w:r>
          </w:p>
        </w:tc>
        <w:tc>
          <w:tcPr>
            <w:tcW w:w="0" w:type="auto"/>
            <w:shd w:val="clear" w:color="auto" w:fill="E2EFD9" w:themeFill="accent6" w:themeFillTint="33"/>
            <w:vAlign w:val="center"/>
            <w:hideMark/>
          </w:tcPr>
          <w:p w14:paraId="5D349B4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Physical activity</w:t>
            </w:r>
          </w:p>
        </w:tc>
        <w:tc>
          <w:tcPr>
            <w:tcW w:w="0" w:type="auto"/>
            <w:shd w:val="clear" w:color="auto" w:fill="E2EFD9" w:themeFill="accent6" w:themeFillTint="33"/>
            <w:vAlign w:val="center"/>
            <w:hideMark/>
          </w:tcPr>
          <w:p w14:paraId="4636EDA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Stroke incidence</w:t>
            </w:r>
          </w:p>
        </w:tc>
        <w:tc>
          <w:tcPr>
            <w:tcW w:w="0" w:type="auto"/>
            <w:shd w:val="clear" w:color="auto" w:fill="E2EFD9" w:themeFill="accent6" w:themeFillTint="33"/>
            <w:vAlign w:val="center"/>
            <w:hideMark/>
          </w:tcPr>
          <w:p w14:paraId="444721B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Accelerometer, PA questionnaires</w:t>
            </w:r>
          </w:p>
        </w:tc>
        <w:tc>
          <w:tcPr>
            <w:tcW w:w="0" w:type="auto"/>
            <w:shd w:val="clear" w:color="auto" w:fill="E2EFD9" w:themeFill="accent6" w:themeFillTint="33"/>
            <w:vAlign w:val="center"/>
            <w:hideMark/>
          </w:tcPr>
          <w:p w14:paraId="77E5365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Higher PA reduced stroke risk</w:t>
            </w:r>
          </w:p>
        </w:tc>
        <w:tc>
          <w:tcPr>
            <w:tcW w:w="0" w:type="auto"/>
            <w:shd w:val="clear" w:color="auto" w:fill="E2EFD9" w:themeFill="accent6" w:themeFillTint="33"/>
            <w:vAlign w:val="center"/>
            <w:hideMark/>
          </w:tcPr>
          <w:p w14:paraId="2F6328D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PA may be mismeasured</w:t>
            </w:r>
          </w:p>
        </w:tc>
      </w:tr>
      <w:tr w:rsidR="009575FF" w:rsidRPr="00FD73B4" w14:paraId="7062D6EB" w14:textId="77777777" w:rsidTr="00A1297E">
        <w:trPr>
          <w:tblCellSpacing w:w="15" w:type="dxa"/>
        </w:trPr>
        <w:tc>
          <w:tcPr>
            <w:tcW w:w="0" w:type="auto"/>
            <w:shd w:val="clear" w:color="auto" w:fill="E2EFD9" w:themeFill="accent6" w:themeFillTint="33"/>
            <w:vAlign w:val="center"/>
            <w:hideMark/>
          </w:tcPr>
          <w:p w14:paraId="644648F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Paterson et al. (2018)</w:t>
            </w:r>
          </w:p>
        </w:tc>
        <w:tc>
          <w:tcPr>
            <w:tcW w:w="0" w:type="auto"/>
            <w:shd w:val="clear" w:color="auto" w:fill="E2EFD9" w:themeFill="accent6" w:themeFillTint="33"/>
            <w:vAlign w:val="center"/>
            <w:hideMark/>
          </w:tcPr>
          <w:p w14:paraId="776B21B2"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63F8994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23,000</w:t>
            </w:r>
          </w:p>
        </w:tc>
        <w:tc>
          <w:tcPr>
            <w:tcW w:w="0" w:type="auto"/>
            <w:shd w:val="clear" w:color="auto" w:fill="E2EFD9" w:themeFill="accent6" w:themeFillTint="33"/>
            <w:vAlign w:val="center"/>
            <w:hideMark/>
          </w:tcPr>
          <w:p w14:paraId="531E380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women</w:t>
            </w:r>
          </w:p>
        </w:tc>
        <w:tc>
          <w:tcPr>
            <w:tcW w:w="0" w:type="auto"/>
            <w:shd w:val="clear" w:color="auto" w:fill="E2EFD9" w:themeFill="accent6" w:themeFillTint="33"/>
            <w:vAlign w:val="center"/>
            <w:hideMark/>
          </w:tcPr>
          <w:p w14:paraId="4959281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Mediterranean diet</w:t>
            </w:r>
          </w:p>
        </w:tc>
        <w:tc>
          <w:tcPr>
            <w:tcW w:w="0" w:type="auto"/>
            <w:shd w:val="clear" w:color="auto" w:fill="E2EFD9" w:themeFill="accent6" w:themeFillTint="33"/>
            <w:vAlign w:val="center"/>
            <w:hideMark/>
          </w:tcPr>
          <w:p w14:paraId="7C6393E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Incident stroke</w:t>
            </w:r>
          </w:p>
        </w:tc>
        <w:tc>
          <w:tcPr>
            <w:tcW w:w="0" w:type="auto"/>
            <w:shd w:val="clear" w:color="auto" w:fill="E2EFD9" w:themeFill="accent6" w:themeFillTint="33"/>
            <w:vAlign w:val="center"/>
            <w:hideMark/>
          </w:tcPr>
          <w:p w14:paraId="132E02C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FFQ dietary assessment</w:t>
            </w:r>
          </w:p>
        </w:tc>
        <w:tc>
          <w:tcPr>
            <w:tcW w:w="0" w:type="auto"/>
            <w:shd w:val="clear" w:color="auto" w:fill="E2EFD9" w:themeFill="accent6" w:themeFillTint="33"/>
            <w:vAlign w:val="center"/>
            <w:hideMark/>
          </w:tcPr>
          <w:p w14:paraId="672E2BF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Strong diet–stroke association</w:t>
            </w:r>
          </w:p>
        </w:tc>
        <w:tc>
          <w:tcPr>
            <w:tcW w:w="0" w:type="auto"/>
            <w:shd w:val="clear" w:color="auto" w:fill="E2EFD9" w:themeFill="accent6" w:themeFillTint="33"/>
            <w:vAlign w:val="center"/>
            <w:hideMark/>
          </w:tcPr>
          <w:p w14:paraId="7158A29A"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Women-only sample</w:t>
            </w:r>
          </w:p>
        </w:tc>
      </w:tr>
      <w:tr w:rsidR="009575FF" w:rsidRPr="00FD73B4" w14:paraId="72E630B3" w14:textId="77777777" w:rsidTr="00A1297E">
        <w:trPr>
          <w:tblCellSpacing w:w="15" w:type="dxa"/>
        </w:trPr>
        <w:tc>
          <w:tcPr>
            <w:tcW w:w="0" w:type="auto"/>
            <w:shd w:val="clear" w:color="auto" w:fill="E2EFD9" w:themeFill="accent6" w:themeFillTint="33"/>
            <w:vAlign w:val="center"/>
            <w:hideMark/>
          </w:tcPr>
          <w:p w14:paraId="1ADBE1A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Rutten-Jacobs et al. (2018)</w:t>
            </w:r>
          </w:p>
        </w:tc>
        <w:tc>
          <w:tcPr>
            <w:tcW w:w="0" w:type="auto"/>
            <w:shd w:val="clear" w:color="auto" w:fill="E2EFD9" w:themeFill="accent6" w:themeFillTint="33"/>
            <w:vAlign w:val="center"/>
            <w:hideMark/>
          </w:tcPr>
          <w:p w14:paraId="006C3C8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535BBD3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400,000</w:t>
            </w:r>
          </w:p>
        </w:tc>
        <w:tc>
          <w:tcPr>
            <w:tcW w:w="0" w:type="auto"/>
            <w:shd w:val="clear" w:color="auto" w:fill="E2EFD9" w:themeFill="accent6" w:themeFillTint="33"/>
            <w:vAlign w:val="center"/>
            <w:hideMark/>
          </w:tcPr>
          <w:p w14:paraId="0177F36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w:t>
            </w:r>
          </w:p>
        </w:tc>
        <w:tc>
          <w:tcPr>
            <w:tcW w:w="0" w:type="auto"/>
            <w:shd w:val="clear" w:color="auto" w:fill="E2EFD9" w:themeFill="accent6" w:themeFillTint="33"/>
            <w:vAlign w:val="center"/>
            <w:hideMark/>
          </w:tcPr>
          <w:p w14:paraId="71C28439"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Genetic &amp; lifestyle factors</w:t>
            </w:r>
          </w:p>
        </w:tc>
        <w:tc>
          <w:tcPr>
            <w:tcW w:w="0" w:type="auto"/>
            <w:shd w:val="clear" w:color="auto" w:fill="E2EFD9" w:themeFill="accent6" w:themeFillTint="33"/>
            <w:vAlign w:val="center"/>
            <w:hideMark/>
          </w:tcPr>
          <w:p w14:paraId="4E57609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Early-onset stroke</w:t>
            </w:r>
          </w:p>
        </w:tc>
        <w:tc>
          <w:tcPr>
            <w:tcW w:w="0" w:type="auto"/>
            <w:shd w:val="clear" w:color="auto" w:fill="E2EFD9" w:themeFill="accent6" w:themeFillTint="33"/>
            <w:vAlign w:val="center"/>
            <w:hideMark/>
          </w:tcPr>
          <w:p w14:paraId="0920623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Genetic profiling</w:t>
            </w:r>
          </w:p>
        </w:tc>
        <w:tc>
          <w:tcPr>
            <w:tcW w:w="0" w:type="auto"/>
            <w:shd w:val="clear" w:color="auto" w:fill="E2EFD9" w:themeFill="accent6" w:themeFillTint="33"/>
            <w:vAlign w:val="center"/>
            <w:hideMark/>
          </w:tcPr>
          <w:p w14:paraId="3A655D2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Healthy lifestyle reduced genetic risk</w:t>
            </w:r>
          </w:p>
        </w:tc>
        <w:tc>
          <w:tcPr>
            <w:tcW w:w="0" w:type="auto"/>
            <w:shd w:val="clear" w:color="auto" w:fill="E2EFD9" w:themeFill="accent6" w:themeFillTint="33"/>
            <w:vAlign w:val="center"/>
            <w:hideMark/>
          </w:tcPr>
          <w:p w14:paraId="5DB48F3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Residual confounding</w:t>
            </w:r>
          </w:p>
        </w:tc>
      </w:tr>
      <w:tr w:rsidR="009575FF" w:rsidRPr="00FD73B4" w14:paraId="2ED7DDE4" w14:textId="77777777" w:rsidTr="00A1297E">
        <w:trPr>
          <w:tblCellSpacing w:w="15" w:type="dxa"/>
        </w:trPr>
        <w:tc>
          <w:tcPr>
            <w:tcW w:w="0" w:type="auto"/>
            <w:shd w:val="clear" w:color="auto" w:fill="E2EFD9" w:themeFill="accent6" w:themeFillTint="33"/>
            <w:vAlign w:val="center"/>
            <w:hideMark/>
          </w:tcPr>
          <w:p w14:paraId="03E7446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Shi et al. (2025)</w:t>
            </w:r>
          </w:p>
        </w:tc>
        <w:tc>
          <w:tcPr>
            <w:tcW w:w="0" w:type="auto"/>
            <w:shd w:val="clear" w:color="auto" w:fill="E2EFD9" w:themeFill="accent6" w:themeFillTint="33"/>
            <w:vAlign w:val="center"/>
            <w:hideMark/>
          </w:tcPr>
          <w:p w14:paraId="5A38FE1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5779635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220,000+</w:t>
            </w:r>
          </w:p>
        </w:tc>
        <w:tc>
          <w:tcPr>
            <w:tcW w:w="0" w:type="auto"/>
            <w:shd w:val="clear" w:color="auto" w:fill="E2EFD9" w:themeFill="accent6" w:themeFillTint="33"/>
            <w:vAlign w:val="center"/>
            <w:hideMark/>
          </w:tcPr>
          <w:p w14:paraId="66E410E3"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w:t>
            </w:r>
          </w:p>
        </w:tc>
        <w:tc>
          <w:tcPr>
            <w:tcW w:w="0" w:type="auto"/>
            <w:shd w:val="clear" w:color="auto" w:fill="E2EFD9" w:themeFill="accent6" w:themeFillTint="33"/>
            <w:vAlign w:val="center"/>
            <w:hideMark/>
          </w:tcPr>
          <w:p w14:paraId="5668B4F9"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Outdoor time</w:t>
            </w:r>
          </w:p>
        </w:tc>
        <w:tc>
          <w:tcPr>
            <w:tcW w:w="0" w:type="auto"/>
            <w:shd w:val="clear" w:color="auto" w:fill="E2EFD9" w:themeFill="accent6" w:themeFillTint="33"/>
            <w:vAlign w:val="center"/>
            <w:hideMark/>
          </w:tcPr>
          <w:p w14:paraId="09F38C8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Stroke incidence</w:t>
            </w:r>
          </w:p>
        </w:tc>
        <w:tc>
          <w:tcPr>
            <w:tcW w:w="0" w:type="auto"/>
            <w:shd w:val="clear" w:color="auto" w:fill="E2EFD9" w:themeFill="accent6" w:themeFillTint="33"/>
            <w:vAlign w:val="center"/>
            <w:hideMark/>
          </w:tcPr>
          <w:p w14:paraId="5F61CE62"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Environmental sensors</w:t>
            </w:r>
          </w:p>
        </w:tc>
        <w:tc>
          <w:tcPr>
            <w:tcW w:w="0" w:type="auto"/>
            <w:shd w:val="clear" w:color="auto" w:fill="E2EFD9" w:themeFill="accent6" w:themeFillTint="33"/>
            <w:vAlign w:val="center"/>
            <w:hideMark/>
          </w:tcPr>
          <w:p w14:paraId="4637752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More outdoor time lowered risk</w:t>
            </w:r>
          </w:p>
        </w:tc>
        <w:tc>
          <w:tcPr>
            <w:tcW w:w="0" w:type="auto"/>
            <w:shd w:val="clear" w:color="auto" w:fill="E2EFD9" w:themeFill="accent6" w:themeFillTint="33"/>
            <w:vAlign w:val="center"/>
            <w:hideMark/>
          </w:tcPr>
          <w:p w14:paraId="5896DE38"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Weather confounders</w:t>
            </w:r>
          </w:p>
        </w:tc>
      </w:tr>
      <w:tr w:rsidR="009575FF" w:rsidRPr="00FD73B4" w14:paraId="38D74A99" w14:textId="77777777" w:rsidTr="00A1297E">
        <w:trPr>
          <w:tblCellSpacing w:w="15" w:type="dxa"/>
        </w:trPr>
        <w:tc>
          <w:tcPr>
            <w:tcW w:w="0" w:type="auto"/>
            <w:shd w:val="clear" w:color="auto" w:fill="E2EFD9" w:themeFill="accent6" w:themeFillTint="33"/>
            <w:vAlign w:val="center"/>
            <w:hideMark/>
          </w:tcPr>
          <w:p w14:paraId="2A683B9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Threapleton et al. (2015)</w:t>
            </w:r>
          </w:p>
        </w:tc>
        <w:tc>
          <w:tcPr>
            <w:tcW w:w="0" w:type="auto"/>
            <w:shd w:val="clear" w:color="auto" w:fill="E2EFD9" w:themeFill="accent6" w:themeFillTint="33"/>
            <w:vAlign w:val="center"/>
            <w:hideMark/>
          </w:tcPr>
          <w:p w14:paraId="7BC3A9F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1C5C177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200,000+</w:t>
            </w:r>
          </w:p>
        </w:tc>
        <w:tc>
          <w:tcPr>
            <w:tcW w:w="0" w:type="auto"/>
            <w:shd w:val="clear" w:color="auto" w:fill="E2EFD9" w:themeFill="accent6" w:themeFillTint="33"/>
            <w:vAlign w:val="center"/>
            <w:hideMark/>
          </w:tcPr>
          <w:p w14:paraId="13FDD714"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w:t>
            </w:r>
          </w:p>
        </w:tc>
        <w:tc>
          <w:tcPr>
            <w:tcW w:w="0" w:type="auto"/>
            <w:shd w:val="clear" w:color="auto" w:fill="E2EFD9" w:themeFill="accent6" w:themeFillTint="33"/>
            <w:vAlign w:val="center"/>
            <w:hideMark/>
          </w:tcPr>
          <w:p w14:paraId="0C30C46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Dietary fibre intake</w:t>
            </w:r>
          </w:p>
        </w:tc>
        <w:tc>
          <w:tcPr>
            <w:tcW w:w="0" w:type="auto"/>
            <w:shd w:val="clear" w:color="auto" w:fill="E2EFD9" w:themeFill="accent6" w:themeFillTint="33"/>
            <w:vAlign w:val="center"/>
            <w:hideMark/>
          </w:tcPr>
          <w:p w14:paraId="45EA73D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Stroke mortality</w:t>
            </w:r>
          </w:p>
        </w:tc>
        <w:tc>
          <w:tcPr>
            <w:tcW w:w="0" w:type="auto"/>
            <w:shd w:val="clear" w:color="auto" w:fill="E2EFD9" w:themeFill="accent6" w:themeFillTint="33"/>
            <w:vAlign w:val="center"/>
            <w:hideMark/>
          </w:tcPr>
          <w:p w14:paraId="4E6BA8B8"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National diet data</w:t>
            </w:r>
          </w:p>
        </w:tc>
        <w:tc>
          <w:tcPr>
            <w:tcW w:w="0" w:type="auto"/>
            <w:shd w:val="clear" w:color="auto" w:fill="E2EFD9" w:themeFill="accent6" w:themeFillTint="33"/>
            <w:vAlign w:val="center"/>
            <w:hideMark/>
          </w:tcPr>
          <w:p w14:paraId="133486F8"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 xml:space="preserve">Higher fibre reduced </w:t>
            </w:r>
            <w:r w:rsidRPr="00FD73B4">
              <w:rPr>
                <w:rFonts w:ascii="Arial" w:eastAsia="Times New Roman" w:hAnsi="Arial" w:cs="Arial"/>
              </w:rPr>
              <w:lastRenderedPageBreak/>
              <w:t>stroke risk</w:t>
            </w:r>
          </w:p>
        </w:tc>
        <w:tc>
          <w:tcPr>
            <w:tcW w:w="0" w:type="auto"/>
            <w:shd w:val="clear" w:color="auto" w:fill="E2EFD9" w:themeFill="accent6" w:themeFillTint="33"/>
            <w:vAlign w:val="center"/>
            <w:hideMark/>
          </w:tcPr>
          <w:p w14:paraId="612A8FB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lastRenderedPageBreak/>
              <w:t>Dietary recall bias</w:t>
            </w:r>
          </w:p>
        </w:tc>
      </w:tr>
      <w:tr w:rsidR="009575FF" w:rsidRPr="00FD73B4" w14:paraId="3561EDE7" w14:textId="77777777" w:rsidTr="00A1297E">
        <w:trPr>
          <w:tblCellSpacing w:w="15" w:type="dxa"/>
        </w:trPr>
        <w:tc>
          <w:tcPr>
            <w:tcW w:w="0" w:type="auto"/>
            <w:shd w:val="clear" w:color="auto" w:fill="E2EFD9" w:themeFill="accent6" w:themeFillTint="33"/>
            <w:vAlign w:val="center"/>
            <w:hideMark/>
          </w:tcPr>
          <w:p w14:paraId="3655AC7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Tong et al. (2019)</w:t>
            </w:r>
          </w:p>
        </w:tc>
        <w:tc>
          <w:tcPr>
            <w:tcW w:w="0" w:type="auto"/>
            <w:shd w:val="clear" w:color="auto" w:fill="E2EFD9" w:themeFill="accent6" w:themeFillTint="33"/>
            <w:vAlign w:val="center"/>
            <w:hideMark/>
          </w:tcPr>
          <w:p w14:paraId="0FC7409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Cohort study</w:t>
            </w:r>
          </w:p>
        </w:tc>
        <w:tc>
          <w:tcPr>
            <w:tcW w:w="0" w:type="auto"/>
            <w:shd w:val="clear" w:color="auto" w:fill="E2EFD9" w:themeFill="accent6" w:themeFillTint="33"/>
            <w:vAlign w:val="center"/>
            <w:hideMark/>
          </w:tcPr>
          <w:p w14:paraId="6A06443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50,000</w:t>
            </w:r>
          </w:p>
        </w:tc>
        <w:tc>
          <w:tcPr>
            <w:tcW w:w="0" w:type="auto"/>
            <w:shd w:val="clear" w:color="auto" w:fill="E2EFD9" w:themeFill="accent6" w:themeFillTint="33"/>
            <w:vAlign w:val="center"/>
            <w:hideMark/>
          </w:tcPr>
          <w:p w14:paraId="0D72C30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UK adults</w:t>
            </w:r>
          </w:p>
        </w:tc>
        <w:tc>
          <w:tcPr>
            <w:tcW w:w="0" w:type="auto"/>
            <w:shd w:val="clear" w:color="auto" w:fill="E2EFD9" w:themeFill="accent6" w:themeFillTint="33"/>
            <w:vAlign w:val="center"/>
            <w:hideMark/>
          </w:tcPr>
          <w:p w14:paraId="06B09201"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Vegetarian diet</w:t>
            </w:r>
          </w:p>
        </w:tc>
        <w:tc>
          <w:tcPr>
            <w:tcW w:w="0" w:type="auto"/>
            <w:shd w:val="clear" w:color="auto" w:fill="E2EFD9" w:themeFill="accent6" w:themeFillTint="33"/>
            <w:vAlign w:val="center"/>
            <w:hideMark/>
          </w:tcPr>
          <w:p w14:paraId="3EDDD527"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Ischemic stroke</w:t>
            </w:r>
          </w:p>
        </w:tc>
        <w:tc>
          <w:tcPr>
            <w:tcW w:w="0" w:type="auto"/>
            <w:shd w:val="clear" w:color="auto" w:fill="E2EFD9" w:themeFill="accent6" w:themeFillTint="33"/>
            <w:vAlign w:val="center"/>
            <w:hideMark/>
          </w:tcPr>
          <w:p w14:paraId="5F471A2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Dietary recall</w:t>
            </w:r>
          </w:p>
        </w:tc>
        <w:tc>
          <w:tcPr>
            <w:tcW w:w="0" w:type="auto"/>
            <w:shd w:val="clear" w:color="auto" w:fill="E2EFD9" w:themeFill="accent6" w:themeFillTint="33"/>
            <w:vAlign w:val="center"/>
            <w:hideMark/>
          </w:tcPr>
          <w:p w14:paraId="45C2191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Vegetarians had mixed risk profile</w:t>
            </w:r>
          </w:p>
        </w:tc>
        <w:tc>
          <w:tcPr>
            <w:tcW w:w="0" w:type="auto"/>
            <w:shd w:val="clear" w:color="auto" w:fill="E2EFD9" w:themeFill="accent6" w:themeFillTint="33"/>
            <w:vAlign w:val="center"/>
            <w:hideMark/>
          </w:tcPr>
          <w:p w14:paraId="424A3F0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Uncontrolled diet variation</w:t>
            </w:r>
          </w:p>
        </w:tc>
      </w:tr>
    </w:tbl>
    <w:p w14:paraId="08F08D64" w14:textId="77777777" w:rsidR="009575FF" w:rsidRPr="00FD73B4" w:rsidRDefault="009575FF" w:rsidP="009575FF">
      <w:pPr>
        <w:rPr>
          <w:rFonts w:ascii="Arial" w:hAnsi="Arial" w:cs="Arial"/>
        </w:rPr>
      </w:pPr>
    </w:p>
    <w:p w14:paraId="0F6CD9F9" w14:textId="77777777" w:rsidR="009575FF" w:rsidRPr="00FD73B4" w:rsidRDefault="009575FF" w:rsidP="009575FF">
      <w:pPr>
        <w:rPr>
          <w:rFonts w:ascii="Arial" w:hAnsi="Arial" w:cs="Arial"/>
        </w:rPr>
      </w:pPr>
    </w:p>
    <w:p w14:paraId="35F2AF7A" w14:textId="77777777" w:rsidR="009575FF" w:rsidRPr="00FD73B4" w:rsidRDefault="009575FF" w:rsidP="009575FF">
      <w:pPr>
        <w:rPr>
          <w:rFonts w:ascii="Arial" w:hAnsi="Arial" w:cs="Arial"/>
          <w:b/>
        </w:rPr>
      </w:pPr>
      <w:r w:rsidRPr="00FD73B4">
        <w:rPr>
          <w:rFonts w:ascii="Arial" w:hAnsi="Arial" w:cs="Arial"/>
          <w:b/>
        </w:rPr>
        <w:t>Appendix B: CASP Critical Appraisal of Lawrence et al. (2010)</w:t>
      </w:r>
    </w:p>
    <w:p w14:paraId="3A42ADD1" w14:textId="77777777" w:rsidR="009575FF" w:rsidRPr="00FD73B4" w:rsidRDefault="009575FF" w:rsidP="009575FF">
      <w:pPr>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1"/>
        <w:gridCol w:w="7019"/>
      </w:tblGrid>
      <w:tr w:rsidR="009575FF" w:rsidRPr="00FD73B4" w14:paraId="10971988" w14:textId="77777777" w:rsidTr="00A1297E">
        <w:trPr>
          <w:tblHeader/>
          <w:tblCellSpacing w:w="15" w:type="dxa"/>
        </w:trPr>
        <w:tc>
          <w:tcPr>
            <w:tcW w:w="0" w:type="auto"/>
            <w:vAlign w:val="center"/>
            <w:hideMark/>
          </w:tcPr>
          <w:p w14:paraId="2B13043E"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CASP Criteria</w:t>
            </w:r>
          </w:p>
        </w:tc>
        <w:tc>
          <w:tcPr>
            <w:tcW w:w="0" w:type="auto"/>
            <w:vAlign w:val="center"/>
            <w:hideMark/>
          </w:tcPr>
          <w:p w14:paraId="139685C9" w14:textId="77777777" w:rsidR="009575FF" w:rsidRPr="00FD73B4" w:rsidRDefault="009575FF" w:rsidP="00A1297E">
            <w:pPr>
              <w:spacing w:after="0" w:line="360" w:lineRule="auto"/>
              <w:jc w:val="center"/>
              <w:rPr>
                <w:rFonts w:ascii="Arial" w:eastAsia="Times New Roman" w:hAnsi="Arial" w:cs="Arial"/>
                <w:b/>
                <w:bCs/>
              </w:rPr>
            </w:pPr>
            <w:r w:rsidRPr="00FD73B4">
              <w:rPr>
                <w:rFonts w:ascii="Arial" w:eastAsia="Times New Roman" w:hAnsi="Arial" w:cs="Arial"/>
                <w:b/>
                <w:bCs/>
              </w:rPr>
              <w:t>Appraisal of Lawrence et al. (2010)</w:t>
            </w:r>
          </w:p>
        </w:tc>
      </w:tr>
      <w:tr w:rsidR="009575FF" w:rsidRPr="00FD73B4" w14:paraId="3BE37A1D" w14:textId="77777777" w:rsidTr="00A1297E">
        <w:trPr>
          <w:tblCellSpacing w:w="15" w:type="dxa"/>
        </w:trPr>
        <w:tc>
          <w:tcPr>
            <w:tcW w:w="0" w:type="auto"/>
            <w:vAlign w:val="center"/>
            <w:hideMark/>
          </w:tcPr>
          <w:p w14:paraId="0FBB4203"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Clear statement of aims</w:t>
            </w:r>
          </w:p>
        </w:tc>
        <w:tc>
          <w:tcPr>
            <w:tcW w:w="0" w:type="auto"/>
            <w:vAlign w:val="center"/>
            <w:hideMark/>
          </w:tcPr>
          <w:p w14:paraId="1DE02B22"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The study clearly stated its aim to explore lifestyle perceptions and behaviours following stroke. The rationale was well justified due to the importance of lifestyle modification in secondary stroke prevention.</w:t>
            </w:r>
          </w:p>
        </w:tc>
      </w:tr>
      <w:tr w:rsidR="009575FF" w:rsidRPr="00FD73B4" w14:paraId="4A9FDB1B" w14:textId="77777777" w:rsidTr="00A1297E">
        <w:trPr>
          <w:tblCellSpacing w:w="15" w:type="dxa"/>
        </w:trPr>
        <w:tc>
          <w:tcPr>
            <w:tcW w:w="0" w:type="auto"/>
            <w:vAlign w:val="center"/>
            <w:hideMark/>
          </w:tcPr>
          <w:p w14:paraId="20D07E4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Appropriate qualitative methodology</w:t>
            </w:r>
          </w:p>
        </w:tc>
        <w:tc>
          <w:tcPr>
            <w:tcW w:w="0" w:type="auto"/>
            <w:vAlign w:val="center"/>
            <w:hideMark/>
          </w:tcPr>
          <w:p w14:paraId="798A5305"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A qualitative approach was appropriate to explore lived experiences, beliefs, motivations, and perceived barriers following stroke.</w:t>
            </w:r>
          </w:p>
        </w:tc>
      </w:tr>
      <w:tr w:rsidR="009575FF" w:rsidRPr="00FD73B4" w14:paraId="5081D69B" w14:textId="77777777" w:rsidTr="00A1297E">
        <w:trPr>
          <w:tblCellSpacing w:w="15" w:type="dxa"/>
        </w:trPr>
        <w:tc>
          <w:tcPr>
            <w:tcW w:w="0" w:type="auto"/>
            <w:vAlign w:val="center"/>
            <w:hideMark/>
          </w:tcPr>
          <w:p w14:paraId="71A5710C"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Appropriate research design</w:t>
            </w:r>
          </w:p>
        </w:tc>
        <w:tc>
          <w:tcPr>
            <w:tcW w:w="0" w:type="auto"/>
            <w:vAlign w:val="center"/>
            <w:hideMark/>
          </w:tcPr>
          <w:p w14:paraId="72EEDC2E"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Focus group discussions were suitable for encouraging shared reflection and discussion around lifestyle behaviours post-stroke.</w:t>
            </w:r>
          </w:p>
        </w:tc>
      </w:tr>
      <w:tr w:rsidR="009575FF" w:rsidRPr="00FD73B4" w14:paraId="65B95978" w14:textId="77777777" w:rsidTr="00A1297E">
        <w:trPr>
          <w:tblCellSpacing w:w="15" w:type="dxa"/>
        </w:trPr>
        <w:tc>
          <w:tcPr>
            <w:tcW w:w="0" w:type="auto"/>
            <w:vAlign w:val="center"/>
            <w:hideMark/>
          </w:tcPr>
          <w:p w14:paraId="2012E8EE"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Appropriate recruitment strategy</w:t>
            </w:r>
          </w:p>
        </w:tc>
        <w:tc>
          <w:tcPr>
            <w:tcW w:w="0" w:type="auto"/>
            <w:vAlign w:val="center"/>
            <w:hideMark/>
          </w:tcPr>
          <w:p w14:paraId="107EA62A"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Participants were purposively sampled from post-stroke populations, ensuring relevance to the research aim. However, sample diversity was limited, which may affect transferability.</w:t>
            </w:r>
          </w:p>
        </w:tc>
      </w:tr>
      <w:tr w:rsidR="009575FF" w:rsidRPr="00FD73B4" w14:paraId="565FDDBE" w14:textId="77777777" w:rsidTr="00A1297E">
        <w:trPr>
          <w:tblCellSpacing w:w="15" w:type="dxa"/>
        </w:trPr>
        <w:tc>
          <w:tcPr>
            <w:tcW w:w="0" w:type="auto"/>
            <w:vAlign w:val="center"/>
            <w:hideMark/>
          </w:tcPr>
          <w:p w14:paraId="12AA43F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Rigorous data collection</w:t>
            </w:r>
          </w:p>
        </w:tc>
        <w:tc>
          <w:tcPr>
            <w:tcW w:w="0" w:type="auto"/>
            <w:vAlign w:val="center"/>
            <w:hideMark/>
          </w:tcPr>
          <w:p w14:paraId="28FEE9E6"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Semi-structured group discussions generated rich data. Open-ended questions enhanced depth, although group conformity bias may have influenced some responses.</w:t>
            </w:r>
          </w:p>
        </w:tc>
      </w:tr>
      <w:tr w:rsidR="009575FF" w:rsidRPr="00FD73B4" w14:paraId="12B7E0DE" w14:textId="77777777" w:rsidTr="00A1297E">
        <w:trPr>
          <w:tblCellSpacing w:w="15" w:type="dxa"/>
        </w:trPr>
        <w:tc>
          <w:tcPr>
            <w:tcW w:w="0" w:type="auto"/>
            <w:vAlign w:val="center"/>
            <w:hideMark/>
          </w:tcPr>
          <w:p w14:paraId="36CA9CEA"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lastRenderedPageBreak/>
              <w:t>Researcher reflexivity</w:t>
            </w:r>
          </w:p>
        </w:tc>
        <w:tc>
          <w:tcPr>
            <w:tcW w:w="0" w:type="auto"/>
            <w:vAlign w:val="center"/>
            <w:hideMark/>
          </w:tcPr>
          <w:p w14:paraId="15F27D26"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Partial – Some reflexive awareness was demonstrated, but limited detail was provided regarding how researchers’ backgrounds or assumptions influenced data interpretation.</w:t>
            </w:r>
          </w:p>
        </w:tc>
      </w:tr>
      <w:tr w:rsidR="009575FF" w:rsidRPr="00FD73B4" w14:paraId="6432354A" w14:textId="77777777" w:rsidTr="00A1297E">
        <w:trPr>
          <w:tblCellSpacing w:w="15" w:type="dxa"/>
        </w:trPr>
        <w:tc>
          <w:tcPr>
            <w:tcW w:w="0" w:type="auto"/>
            <w:vAlign w:val="center"/>
            <w:hideMark/>
          </w:tcPr>
          <w:p w14:paraId="333A51C2"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Ethical considerations</w:t>
            </w:r>
          </w:p>
        </w:tc>
        <w:tc>
          <w:tcPr>
            <w:tcW w:w="0" w:type="auto"/>
            <w:vAlign w:val="center"/>
            <w:hideMark/>
          </w:tcPr>
          <w:p w14:paraId="5F5F404A"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Ethical approval was obtained, and informed consent procedures were clearly described.</w:t>
            </w:r>
          </w:p>
        </w:tc>
      </w:tr>
      <w:tr w:rsidR="009575FF" w:rsidRPr="00FD73B4" w14:paraId="1EE2D3BC" w14:textId="77777777" w:rsidTr="00A1297E">
        <w:trPr>
          <w:tblCellSpacing w:w="15" w:type="dxa"/>
        </w:trPr>
        <w:tc>
          <w:tcPr>
            <w:tcW w:w="0" w:type="auto"/>
            <w:vAlign w:val="center"/>
            <w:hideMark/>
          </w:tcPr>
          <w:p w14:paraId="753352FD"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Rigorous data analysis</w:t>
            </w:r>
          </w:p>
        </w:tc>
        <w:tc>
          <w:tcPr>
            <w:tcW w:w="0" w:type="auto"/>
            <w:vAlign w:val="center"/>
            <w:hideMark/>
          </w:tcPr>
          <w:p w14:paraId="4D039E7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rPr>
              <w:t>Partial – Thematic analysis was used and themes were logically presented with supporting quotations. However, limited detail was provided on analytical procedures, reducing transparency.</w:t>
            </w:r>
          </w:p>
        </w:tc>
      </w:tr>
      <w:tr w:rsidR="009575FF" w:rsidRPr="00FD73B4" w14:paraId="52F78437" w14:textId="77777777" w:rsidTr="00A1297E">
        <w:trPr>
          <w:tblCellSpacing w:w="15" w:type="dxa"/>
        </w:trPr>
        <w:tc>
          <w:tcPr>
            <w:tcW w:w="0" w:type="auto"/>
            <w:vAlign w:val="center"/>
            <w:hideMark/>
          </w:tcPr>
          <w:p w14:paraId="7EE195FB"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Clear statement of findings</w:t>
            </w:r>
          </w:p>
        </w:tc>
        <w:tc>
          <w:tcPr>
            <w:tcW w:w="0" w:type="auto"/>
            <w:vAlign w:val="center"/>
            <w:hideMark/>
          </w:tcPr>
          <w:p w14:paraId="2F43B15A"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Findings were clearly presented, highlighting psychological, social, and environmental barriers to lifestyle change following stroke.</w:t>
            </w:r>
          </w:p>
        </w:tc>
      </w:tr>
      <w:tr w:rsidR="009575FF" w:rsidRPr="00FD73B4" w14:paraId="40168098" w14:textId="77777777" w:rsidTr="00A1297E">
        <w:trPr>
          <w:tblCellSpacing w:w="15" w:type="dxa"/>
        </w:trPr>
        <w:tc>
          <w:tcPr>
            <w:tcW w:w="0" w:type="auto"/>
            <w:vAlign w:val="center"/>
            <w:hideMark/>
          </w:tcPr>
          <w:p w14:paraId="7C98067F"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Research value</w:t>
            </w:r>
          </w:p>
        </w:tc>
        <w:tc>
          <w:tcPr>
            <w:tcW w:w="0" w:type="auto"/>
            <w:vAlign w:val="center"/>
            <w:hideMark/>
          </w:tcPr>
          <w:p w14:paraId="6F3E3224" w14:textId="77777777" w:rsidR="009575FF" w:rsidRPr="00FD73B4" w:rsidRDefault="009575FF" w:rsidP="00A1297E">
            <w:pPr>
              <w:spacing w:after="0" w:line="360" w:lineRule="auto"/>
              <w:rPr>
                <w:rFonts w:ascii="Arial" w:eastAsia="Times New Roman" w:hAnsi="Arial" w:cs="Arial"/>
              </w:rPr>
            </w:pPr>
            <w:r w:rsidRPr="00FD73B4">
              <w:rPr>
                <w:rFonts w:ascii="Segoe UI Symbol" w:eastAsia="Times New Roman" w:hAnsi="Segoe UI Symbol" w:cs="Segoe UI Symbol"/>
              </w:rPr>
              <w:t>✓</w:t>
            </w:r>
            <w:r w:rsidRPr="00FD73B4">
              <w:rPr>
                <w:rFonts w:ascii="Arial" w:eastAsia="Times New Roman" w:hAnsi="Arial" w:cs="Arial"/>
              </w:rPr>
              <w:t xml:space="preserve"> The study adds value by providing insight into subjective and contextual influences on lifestyle behaviours often overlooked in quantitative research.</w:t>
            </w:r>
          </w:p>
        </w:tc>
      </w:tr>
      <w:tr w:rsidR="009575FF" w:rsidRPr="00FD73B4" w14:paraId="16BF4A28" w14:textId="77777777" w:rsidTr="00A1297E">
        <w:trPr>
          <w:tblCellSpacing w:w="15" w:type="dxa"/>
        </w:trPr>
        <w:tc>
          <w:tcPr>
            <w:tcW w:w="0" w:type="auto"/>
            <w:vAlign w:val="center"/>
            <w:hideMark/>
          </w:tcPr>
          <w:p w14:paraId="3A502840"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Overall CASP judgement</w:t>
            </w:r>
          </w:p>
        </w:tc>
        <w:tc>
          <w:tcPr>
            <w:tcW w:w="0" w:type="auto"/>
            <w:vAlign w:val="center"/>
            <w:hideMark/>
          </w:tcPr>
          <w:p w14:paraId="302501B5" w14:textId="77777777" w:rsidR="009575FF" w:rsidRPr="00FD73B4" w:rsidRDefault="009575FF" w:rsidP="00A1297E">
            <w:pPr>
              <w:spacing w:after="0" w:line="360" w:lineRule="auto"/>
              <w:rPr>
                <w:rFonts w:ascii="Arial" w:eastAsia="Times New Roman" w:hAnsi="Arial" w:cs="Arial"/>
              </w:rPr>
            </w:pPr>
            <w:r w:rsidRPr="00FD73B4">
              <w:rPr>
                <w:rFonts w:ascii="Arial" w:eastAsia="Times New Roman" w:hAnsi="Arial" w:cs="Arial"/>
                <w:b/>
                <w:bCs/>
              </w:rPr>
              <w:t>Moderate to High quality – Included in the review</w:t>
            </w:r>
          </w:p>
        </w:tc>
      </w:tr>
    </w:tbl>
    <w:p w14:paraId="438CAC5C" w14:textId="77777777" w:rsidR="009575FF" w:rsidRPr="00FD73B4" w:rsidRDefault="009575FF" w:rsidP="009575FF">
      <w:pPr>
        <w:rPr>
          <w:rFonts w:ascii="Arial" w:hAnsi="Arial" w:cs="Arial"/>
        </w:rPr>
      </w:pPr>
    </w:p>
    <w:p w14:paraId="52A892B7" w14:textId="77777777" w:rsidR="0062404D" w:rsidRPr="00FD73B4" w:rsidRDefault="0062404D" w:rsidP="00176465">
      <w:pPr>
        <w:spacing w:line="360" w:lineRule="auto"/>
        <w:rPr>
          <w:rFonts w:ascii="Arial" w:hAnsi="Arial" w:cs="Arial"/>
        </w:rPr>
      </w:pPr>
    </w:p>
    <w:sectPr w:rsidR="0062404D" w:rsidRPr="00FD73B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FC37B" w14:textId="77777777" w:rsidR="004D1DF4" w:rsidRDefault="004D1DF4" w:rsidP="007B26E7">
      <w:pPr>
        <w:spacing w:after="0" w:line="240" w:lineRule="auto"/>
      </w:pPr>
      <w:r>
        <w:separator/>
      </w:r>
    </w:p>
  </w:endnote>
  <w:endnote w:type="continuationSeparator" w:id="0">
    <w:p w14:paraId="7EAC6461" w14:textId="77777777" w:rsidR="004D1DF4" w:rsidRDefault="004D1DF4" w:rsidP="007B2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047659"/>
      <w:docPartObj>
        <w:docPartGallery w:val="Page Numbers (Bottom of Page)"/>
        <w:docPartUnique/>
      </w:docPartObj>
    </w:sdtPr>
    <w:sdtEndPr>
      <w:rPr>
        <w:noProof/>
      </w:rPr>
    </w:sdtEndPr>
    <w:sdtContent>
      <w:p w14:paraId="0B65F9A6" w14:textId="027E4A43" w:rsidR="00525DC7" w:rsidRDefault="00525D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0E042" w14:textId="77777777" w:rsidR="007B26E7" w:rsidRDefault="007B2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B3EAB" w14:textId="77777777" w:rsidR="004D1DF4" w:rsidRDefault="004D1DF4" w:rsidP="007B26E7">
      <w:pPr>
        <w:spacing w:after="0" w:line="240" w:lineRule="auto"/>
      </w:pPr>
      <w:r>
        <w:separator/>
      </w:r>
    </w:p>
  </w:footnote>
  <w:footnote w:type="continuationSeparator" w:id="0">
    <w:p w14:paraId="7F67EB62" w14:textId="77777777" w:rsidR="004D1DF4" w:rsidRDefault="004D1DF4" w:rsidP="007B2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0350"/>
    <w:multiLevelType w:val="multilevel"/>
    <w:tmpl w:val="8D0C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56B0"/>
    <w:multiLevelType w:val="multilevel"/>
    <w:tmpl w:val="BAA856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179D8"/>
    <w:multiLevelType w:val="multilevel"/>
    <w:tmpl w:val="5EEC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55D25"/>
    <w:multiLevelType w:val="multilevel"/>
    <w:tmpl w:val="34B2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3569E9"/>
    <w:multiLevelType w:val="multilevel"/>
    <w:tmpl w:val="D5FE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61F78"/>
    <w:multiLevelType w:val="multilevel"/>
    <w:tmpl w:val="E37E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15987"/>
    <w:multiLevelType w:val="multilevel"/>
    <w:tmpl w:val="BDC2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617CE"/>
    <w:multiLevelType w:val="multilevel"/>
    <w:tmpl w:val="F784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B36CD"/>
    <w:multiLevelType w:val="multilevel"/>
    <w:tmpl w:val="47F4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238AF"/>
    <w:multiLevelType w:val="multilevel"/>
    <w:tmpl w:val="C29A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A6921"/>
    <w:multiLevelType w:val="multilevel"/>
    <w:tmpl w:val="E944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1C0640"/>
    <w:multiLevelType w:val="multilevel"/>
    <w:tmpl w:val="E4AC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EA5BF0"/>
    <w:multiLevelType w:val="multilevel"/>
    <w:tmpl w:val="49861FB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221296"/>
    <w:multiLevelType w:val="multilevel"/>
    <w:tmpl w:val="5712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F6EA7"/>
    <w:multiLevelType w:val="hybridMultilevel"/>
    <w:tmpl w:val="8FF2A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344CF3"/>
    <w:multiLevelType w:val="multilevel"/>
    <w:tmpl w:val="75D0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93CDD"/>
    <w:multiLevelType w:val="multilevel"/>
    <w:tmpl w:val="48729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0F3B48"/>
    <w:multiLevelType w:val="multilevel"/>
    <w:tmpl w:val="EDA4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082B7C"/>
    <w:multiLevelType w:val="multilevel"/>
    <w:tmpl w:val="FF60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8F5526"/>
    <w:multiLevelType w:val="multilevel"/>
    <w:tmpl w:val="D54C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5264D"/>
    <w:multiLevelType w:val="multilevel"/>
    <w:tmpl w:val="3A66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22118"/>
    <w:multiLevelType w:val="multilevel"/>
    <w:tmpl w:val="A064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705B86"/>
    <w:multiLevelType w:val="multilevel"/>
    <w:tmpl w:val="E288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BD1D3B"/>
    <w:multiLevelType w:val="multilevel"/>
    <w:tmpl w:val="360C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9731DD"/>
    <w:multiLevelType w:val="multilevel"/>
    <w:tmpl w:val="4038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8D36D5"/>
    <w:multiLevelType w:val="multilevel"/>
    <w:tmpl w:val="A170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23116"/>
    <w:multiLevelType w:val="multilevel"/>
    <w:tmpl w:val="B0A07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334510"/>
    <w:multiLevelType w:val="multilevel"/>
    <w:tmpl w:val="54D6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A84DB2"/>
    <w:multiLevelType w:val="multilevel"/>
    <w:tmpl w:val="E0CA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1D1B0C"/>
    <w:multiLevelType w:val="hybridMultilevel"/>
    <w:tmpl w:val="74AE98A4"/>
    <w:lvl w:ilvl="0" w:tplc="C040D8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321F14"/>
    <w:multiLevelType w:val="multilevel"/>
    <w:tmpl w:val="0AB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2E578F"/>
    <w:multiLevelType w:val="multilevel"/>
    <w:tmpl w:val="B45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740491">
    <w:abstractNumId w:val="2"/>
  </w:num>
  <w:num w:numId="2" w16cid:durableId="1523087608">
    <w:abstractNumId w:val="21"/>
  </w:num>
  <w:num w:numId="3" w16cid:durableId="1645772027">
    <w:abstractNumId w:val="17"/>
  </w:num>
  <w:num w:numId="4" w16cid:durableId="225649506">
    <w:abstractNumId w:val="26"/>
  </w:num>
  <w:num w:numId="5" w16cid:durableId="2036997990">
    <w:abstractNumId w:val="28"/>
  </w:num>
  <w:num w:numId="6" w16cid:durableId="1076586259">
    <w:abstractNumId w:val="22"/>
  </w:num>
  <w:num w:numId="7" w16cid:durableId="709186849">
    <w:abstractNumId w:val="11"/>
  </w:num>
  <w:num w:numId="8" w16cid:durableId="573929885">
    <w:abstractNumId w:val="10"/>
  </w:num>
  <w:num w:numId="9" w16cid:durableId="1934119888">
    <w:abstractNumId w:val="8"/>
  </w:num>
  <w:num w:numId="10" w16cid:durableId="285431441">
    <w:abstractNumId w:val="1"/>
  </w:num>
  <w:num w:numId="11" w16cid:durableId="974793291">
    <w:abstractNumId w:val="27"/>
  </w:num>
  <w:num w:numId="12" w16cid:durableId="1925140253">
    <w:abstractNumId w:val="24"/>
  </w:num>
  <w:num w:numId="13" w16cid:durableId="366219843">
    <w:abstractNumId w:val="19"/>
  </w:num>
  <w:num w:numId="14" w16cid:durableId="376124074">
    <w:abstractNumId w:val="12"/>
  </w:num>
  <w:num w:numId="15" w16cid:durableId="1943487444">
    <w:abstractNumId w:val="15"/>
  </w:num>
  <w:num w:numId="16" w16cid:durableId="1632057946">
    <w:abstractNumId w:val="25"/>
  </w:num>
  <w:num w:numId="17" w16cid:durableId="1630429820">
    <w:abstractNumId w:val="4"/>
  </w:num>
  <w:num w:numId="18" w16cid:durableId="1951013563">
    <w:abstractNumId w:val="14"/>
  </w:num>
  <w:num w:numId="19" w16cid:durableId="412974762">
    <w:abstractNumId w:val="20"/>
  </w:num>
  <w:num w:numId="20" w16cid:durableId="1350251681">
    <w:abstractNumId w:val="16"/>
  </w:num>
  <w:num w:numId="21" w16cid:durableId="244919916">
    <w:abstractNumId w:val="23"/>
  </w:num>
  <w:num w:numId="22" w16cid:durableId="382212900">
    <w:abstractNumId w:val="7"/>
  </w:num>
  <w:num w:numId="23" w16cid:durableId="567037218">
    <w:abstractNumId w:val="31"/>
  </w:num>
  <w:num w:numId="24" w16cid:durableId="496120683">
    <w:abstractNumId w:val="0"/>
  </w:num>
  <w:num w:numId="25" w16cid:durableId="1583102975">
    <w:abstractNumId w:val="3"/>
  </w:num>
  <w:num w:numId="26" w16cid:durableId="463012254">
    <w:abstractNumId w:val="13"/>
  </w:num>
  <w:num w:numId="27" w16cid:durableId="760613573">
    <w:abstractNumId w:val="29"/>
  </w:num>
  <w:num w:numId="28" w16cid:durableId="771128317">
    <w:abstractNumId w:val="30"/>
  </w:num>
  <w:num w:numId="29" w16cid:durableId="37821455">
    <w:abstractNumId w:val="18"/>
  </w:num>
  <w:num w:numId="30" w16cid:durableId="1980304007">
    <w:abstractNumId w:val="5"/>
  </w:num>
  <w:num w:numId="31" w16cid:durableId="637613353">
    <w:abstractNumId w:val="9"/>
  </w:num>
  <w:num w:numId="32" w16cid:durableId="7077974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C4C"/>
    <w:rsid w:val="00022028"/>
    <w:rsid w:val="00077C50"/>
    <w:rsid w:val="000D72A4"/>
    <w:rsid w:val="00103FBF"/>
    <w:rsid w:val="00133522"/>
    <w:rsid w:val="00176465"/>
    <w:rsid w:val="00183E09"/>
    <w:rsid w:val="001B798B"/>
    <w:rsid w:val="001D5C4C"/>
    <w:rsid w:val="0027513E"/>
    <w:rsid w:val="00292705"/>
    <w:rsid w:val="002B4FFD"/>
    <w:rsid w:val="002D6D0B"/>
    <w:rsid w:val="002F1B64"/>
    <w:rsid w:val="003432CA"/>
    <w:rsid w:val="00351C36"/>
    <w:rsid w:val="00400B80"/>
    <w:rsid w:val="00415A2A"/>
    <w:rsid w:val="004613A3"/>
    <w:rsid w:val="004A61B2"/>
    <w:rsid w:val="004B0E96"/>
    <w:rsid w:val="004C5784"/>
    <w:rsid w:val="004D1DF4"/>
    <w:rsid w:val="004E5067"/>
    <w:rsid w:val="004F56ED"/>
    <w:rsid w:val="00525DC7"/>
    <w:rsid w:val="00550147"/>
    <w:rsid w:val="00564FF0"/>
    <w:rsid w:val="005A3BB7"/>
    <w:rsid w:val="0060140F"/>
    <w:rsid w:val="00617220"/>
    <w:rsid w:val="0062404D"/>
    <w:rsid w:val="0068298B"/>
    <w:rsid w:val="00685B18"/>
    <w:rsid w:val="006D2DE1"/>
    <w:rsid w:val="006F0BFE"/>
    <w:rsid w:val="00726889"/>
    <w:rsid w:val="00747DE4"/>
    <w:rsid w:val="007833DD"/>
    <w:rsid w:val="007B26E7"/>
    <w:rsid w:val="00814BE6"/>
    <w:rsid w:val="00823E41"/>
    <w:rsid w:val="0082770D"/>
    <w:rsid w:val="008632B0"/>
    <w:rsid w:val="00875219"/>
    <w:rsid w:val="008869BD"/>
    <w:rsid w:val="008B34A0"/>
    <w:rsid w:val="009002C0"/>
    <w:rsid w:val="009175FF"/>
    <w:rsid w:val="00947F31"/>
    <w:rsid w:val="0095621B"/>
    <w:rsid w:val="009575FF"/>
    <w:rsid w:val="00976847"/>
    <w:rsid w:val="009E0432"/>
    <w:rsid w:val="009E58FB"/>
    <w:rsid w:val="009F55EE"/>
    <w:rsid w:val="00A2771E"/>
    <w:rsid w:val="00A4227A"/>
    <w:rsid w:val="00AC06F1"/>
    <w:rsid w:val="00AC3E98"/>
    <w:rsid w:val="00BD7C62"/>
    <w:rsid w:val="00C1231E"/>
    <w:rsid w:val="00C42BCD"/>
    <w:rsid w:val="00C46A63"/>
    <w:rsid w:val="00C479D9"/>
    <w:rsid w:val="00C50846"/>
    <w:rsid w:val="00C76E6A"/>
    <w:rsid w:val="00CA2F45"/>
    <w:rsid w:val="00CF7916"/>
    <w:rsid w:val="00D303F6"/>
    <w:rsid w:val="00D555DA"/>
    <w:rsid w:val="00DA34B0"/>
    <w:rsid w:val="00DA4A3D"/>
    <w:rsid w:val="00DB2564"/>
    <w:rsid w:val="00DC442A"/>
    <w:rsid w:val="00E147CE"/>
    <w:rsid w:val="00E264BA"/>
    <w:rsid w:val="00E61E92"/>
    <w:rsid w:val="00EE3021"/>
    <w:rsid w:val="00EF1D57"/>
    <w:rsid w:val="00F05CC8"/>
    <w:rsid w:val="00F55B2F"/>
    <w:rsid w:val="00F6572B"/>
    <w:rsid w:val="00F72C00"/>
    <w:rsid w:val="00F8268E"/>
    <w:rsid w:val="00F948DC"/>
    <w:rsid w:val="00FC22CE"/>
    <w:rsid w:val="00FD7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000B6"/>
  <w15:chartTrackingRefBased/>
  <w15:docId w15:val="{F4F7C4F2-8F50-40D6-B0EC-7699D7242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0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8268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8268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8268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268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8268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8268E"/>
    <w:rPr>
      <w:rFonts w:ascii="Times New Roman" w:eastAsia="Times New Roman" w:hAnsi="Times New Roman" w:cs="Times New Roman"/>
      <w:b/>
      <w:bCs/>
      <w:sz w:val="24"/>
      <w:szCs w:val="24"/>
    </w:rPr>
  </w:style>
  <w:style w:type="paragraph" w:styleId="NormalWeb">
    <w:name w:val="Normal (Web)"/>
    <w:basedOn w:val="Normal"/>
    <w:uiPriority w:val="99"/>
    <w:unhideWhenUsed/>
    <w:rsid w:val="00F826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268E"/>
    <w:rPr>
      <w:b/>
      <w:bCs/>
    </w:rPr>
  </w:style>
  <w:style w:type="character" w:styleId="Emphasis">
    <w:name w:val="Emphasis"/>
    <w:basedOn w:val="DefaultParagraphFont"/>
    <w:uiPriority w:val="20"/>
    <w:qFormat/>
    <w:rsid w:val="00F8268E"/>
    <w:rPr>
      <w:i/>
      <w:iCs/>
    </w:rPr>
  </w:style>
  <w:style w:type="character" w:customStyle="1" w:styleId="Heading1Char">
    <w:name w:val="Heading 1 Char"/>
    <w:basedOn w:val="DefaultParagraphFont"/>
    <w:link w:val="Heading1"/>
    <w:uiPriority w:val="9"/>
    <w:rsid w:val="00EE302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2404D"/>
    <w:pPr>
      <w:ind w:left="720"/>
      <w:contextualSpacing/>
    </w:pPr>
  </w:style>
  <w:style w:type="paragraph" w:styleId="Header">
    <w:name w:val="header"/>
    <w:basedOn w:val="Normal"/>
    <w:link w:val="HeaderChar"/>
    <w:uiPriority w:val="99"/>
    <w:unhideWhenUsed/>
    <w:rsid w:val="007B26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6E7"/>
  </w:style>
  <w:style w:type="paragraph" w:styleId="Footer">
    <w:name w:val="footer"/>
    <w:basedOn w:val="Normal"/>
    <w:link w:val="FooterChar"/>
    <w:uiPriority w:val="99"/>
    <w:unhideWhenUsed/>
    <w:rsid w:val="007B26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6E7"/>
  </w:style>
  <w:style w:type="character" w:styleId="Hyperlink">
    <w:name w:val="Hyperlink"/>
    <w:basedOn w:val="DefaultParagraphFont"/>
    <w:uiPriority w:val="99"/>
    <w:unhideWhenUsed/>
    <w:rsid w:val="009F55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08892">
      <w:bodyDiv w:val="1"/>
      <w:marLeft w:val="0"/>
      <w:marRight w:val="0"/>
      <w:marTop w:val="0"/>
      <w:marBottom w:val="0"/>
      <w:divBdr>
        <w:top w:val="none" w:sz="0" w:space="0" w:color="auto"/>
        <w:left w:val="none" w:sz="0" w:space="0" w:color="auto"/>
        <w:bottom w:val="none" w:sz="0" w:space="0" w:color="auto"/>
        <w:right w:val="none" w:sz="0" w:space="0" w:color="auto"/>
      </w:divBdr>
    </w:div>
    <w:div w:id="843207346">
      <w:bodyDiv w:val="1"/>
      <w:marLeft w:val="0"/>
      <w:marRight w:val="0"/>
      <w:marTop w:val="0"/>
      <w:marBottom w:val="0"/>
      <w:divBdr>
        <w:top w:val="none" w:sz="0" w:space="0" w:color="auto"/>
        <w:left w:val="none" w:sz="0" w:space="0" w:color="auto"/>
        <w:bottom w:val="none" w:sz="0" w:space="0" w:color="auto"/>
        <w:right w:val="none" w:sz="0" w:space="0" w:color="auto"/>
      </w:divBdr>
      <w:divsChild>
        <w:div w:id="208942495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3318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bmjoq-2020-001145" TargetMode="External"/><Relationship Id="rId21" Type="http://schemas.openxmlformats.org/officeDocument/2006/relationships/hyperlink" Target="https://doi.org/10.3390/ijerph19148225" TargetMode="External"/><Relationship Id="rId42" Type="http://schemas.openxmlformats.org/officeDocument/2006/relationships/hyperlink" Target="https://doi.org/10.1038/s41598-024-66639-0" TargetMode="External"/><Relationship Id="rId47" Type="http://schemas.openxmlformats.org/officeDocument/2006/relationships/hyperlink" Target="https://doi.org/10.1016/j.jclinepi.2006.11.008" TargetMode="External"/><Relationship Id="rId63" Type="http://schemas.openxmlformats.org/officeDocument/2006/relationships/hyperlink" Target="https://doi.org/10.1371/journal.pone.0166846" TargetMode="External"/><Relationship Id="rId68" Type="http://schemas.openxmlformats.org/officeDocument/2006/relationships/hyperlink" Target="https://doi.org/10.1186/s12909-018-1240-0" TargetMode="External"/><Relationship Id="rId84" Type="http://schemas.openxmlformats.org/officeDocument/2006/relationships/hyperlink" Target="https://doi.org/10.1186/1471-2288-13-101" TargetMode="External"/><Relationship Id="rId89" Type="http://schemas.openxmlformats.org/officeDocument/2006/relationships/hyperlink" Target="https://doi.org/10.1017/s0007114513001931" TargetMode="External"/><Relationship Id="rId16" Type="http://schemas.openxmlformats.org/officeDocument/2006/relationships/hyperlink" Target="https://doi.org/10.1111/obr.12759" TargetMode="External"/><Relationship Id="rId107" Type="http://schemas.openxmlformats.org/officeDocument/2006/relationships/hyperlink" Target="https://doi.org/10.1177/2050312116666941" TargetMode="External"/><Relationship Id="rId11" Type="http://schemas.openxmlformats.org/officeDocument/2006/relationships/hyperlink" Target="https://doi.org/10.1186/s12916-019-1397-3" TargetMode="External"/><Relationship Id="rId32" Type="http://schemas.openxmlformats.org/officeDocument/2006/relationships/hyperlink" Target="https://doi.org/10.1093/arclin/acab083" TargetMode="External"/><Relationship Id="rId37" Type="http://schemas.openxmlformats.org/officeDocument/2006/relationships/hyperlink" Target="https://doi.org/10.1136/bmjopen-2021-051183" TargetMode="External"/><Relationship Id="rId53" Type="http://schemas.openxmlformats.org/officeDocument/2006/relationships/hyperlink" Target="https://doi.org/10.1111/1460-6984.12592" TargetMode="External"/><Relationship Id="rId58" Type="http://schemas.openxmlformats.org/officeDocument/2006/relationships/hyperlink" Target="https://doi.org/10.1016/j.pmedr.2022.102005" TargetMode="External"/><Relationship Id="rId74" Type="http://schemas.openxmlformats.org/officeDocument/2006/relationships/hyperlink" Target="https://doi.org/10.1136/bmj.k4168" TargetMode="External"/><Relationship Id="rId79" Type="http://schemas.openxmlformats.org/officeDocument/2006/relationships/hyperlink" Target="https://doi.org/10.1186/1471-2288-8-45" TargetMode="External"/><Relationship Id="rId102" Type="http://schemas.openxmlformats.org/officeDocument/2006/relationships/hyperlink" Target="https://doi.org/10.3390/ijerph19169936" TargetMode="External"/><Relationship Id="rId5" Type="http://schemas.openxmlformats.org/officeDocument/2006/relationships/footnotes" Target="footnotes.xml"/><Relationship Id="rId90" Type="http://schemas.openxmlformats.org/officeDocument/2006/relationships/hyperlink" Target="https://doi.org/10.32725/kont.2019.036" TargetMode="External"/><Relationship Id="rId95" Type="http://schemas.openxmlformats.org/officeDocument/2006/relationships/hyperlink" Target="https://doi.org/10.1136/bmj.l4897" TargetMode="External"/><Relationship Id="rId22" Type="http://schemas.openxmlformats.org/officeDocument/2006/relationships/hyperlink" Target="https://doi.org/10.1139/apnm-2021-0010" TargetMode="External"/><Relationship Id="rId27" Type="http://schemas.openxmlformats.org/officeDocument/2006/relationships/hyperlink" Target="https://doi.org/10.1097/md.0000000000012450" TargetMode="External"/><Relationship Id="rId43" Type="http://schemas.openxmlformats.org/officeDocument/2006/relationships/hyperlink" Target="https://doi.org/10.1159/000536643" TargetMode="External"/><Relationship Id="rId48" Type="http://schemas.openxmlformats.org/officeDocument/2006/relationships/hyperlink" Target="https://doi.org/10.1038/ejcn.2011.100" TargetMode="External"/><Relationship Id="rId64" Type="http://schemas.openxmlformats.org/officeDocument/2006/relationships/hyperlink" Target="https://doi.org/10.1111/dmcn.14830" TargetMode="External"/><Relationship Id="rId69" Type="http://schemas.openxmlformats.org/officeDocument/2006/relationships/hyperlink" Target="https://doi.org/10.1186/s13063-016-1176-9" TargetMode="External"/><Relationship Id="rId80" Type="http://schemas.openxmlformats.org/officeDocument/2006/relationships/hyperlink" Target="https://doi.org/10.1161/jaha.122.025245" TargetMode="External"/><Relationship Id="rId85" Type="http://schemas.openxmlformats.org/officeDocument/2006/relationships/hyperlink" Target="https://doi.org/10.1038/s41598-022-22469-6" TargetMode="External"/><Relationship Id="rId12" Type="http://schemas.openxmlformats.org/officeDocument/2006/relationships/hyperlink" Target="https://doi.org/10.1186/1471-2288-9-59" TargetMode="External"/><Relationship Id="rId17" Type="http://schemas.openxmlformats.org/officeDocument/2006/relationships/hyperlink" Target="https://doi.org/10.1038/ejcn.2012.158" TargetMode="External"/><Relationship Id="rId33" Type="http://schemas.openxmlformats.org/officeDocument/2006/relationships/hyperlink" Target="https://doi.org/10.1186/s12966-018-0691-3" TargetMode="External"/><Relationship Id="rId38" Type="http://schemas.openxmlformats.org/officeDocument/2006/relationships/hyperlink" Target="https://doi.org/10.1161/strokeaha.113.003044" TargetMode="External"/><Relationship Id="rId59" Type="http://schemas.openxmlformats.org/officeDocument/2006/relationships/hyperlink" Target="https://doi.org/10.1111/j.1524-4733.2007.00307.x" TargetMode="External"/><Relationship Id="rId103" Type="http://schemas.openxmlformats.org/officeDocument/2006/relationships/hyperlink" Target="https://doi.org/10.1161/atvbaha.124.321214" TargetMode="External"/><Relationship Id="rId108" Type="http://schemas.openxmlformats.org/officeDocument/2006/relationships/hyperlink" Target="https://doi.org/10.1136/bmj.n604" TargetMode="External"/><Relationship Id="rId54" Type="http://schemas.openxmlformats.org/officeDocument/2006/relationships/hyperlink" Target="https://doi.org/10.1186/1471-2296-11-97" TargetMode="External"/><Relationship Id="rId70" Type="http://schemas.openxmlformats.org/officeDocument/2006/relationships/hyperlink" Target="https://doi.org/10.1017/s0007114524000394" TargetMode="External"/><Relationship Id="rId75" Type="http://schemas.openxmlformats.org/officeDocument/2006/relationships/hyperlink" Target="https://doi.org/10.1186/s12916-020-01813-5" TargetMode="External"/><Relationship Id="rId91" Type="http://schemas.openxmlformats.org/officeDocument/2006/relationships/hyperlink" Target="https://doi.org/10.1186/1471-2288-12-181" TargetMode="External"/><Relationship Id="rId96" Type="http://schemas.openxmlformats.org/officeDocument/2006/relationships/hyperlink" Target="https://doi.org/10.1186/s12966-017-0525-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371/journal.pone.0036345" TargetMode="External"/><Relationship Id="rId23" Type="http://schemas.openxmlformats.org/officeDocument/2006/relationships/hyperlink" Target="https://doi.org/10.1186/1471-2458-11-692" TargetMode="External"/><Relationship Id="rId28" Type="http://schemas.openxmlformats.org/officeDocument/2006/relationships/hyperlink" Target="https://doi.org/10.1002/wps.20773" TargetMode="External"/><Relationship Id="rId36" Type="http://schemas.openxmlformats.org/officeDocument/2006/relationships/hyperlink" Target="https://doi.org/10.1001/jamaneurol.2023.4929" TargetMode="External"/><Relationship Id="rId49" Type="http://schemas.openxmlformats.org/officeDocument/2006/relationships/hyperlink" Target="https://doi.org/10.1371/journal.pone.0037696" TargetMode="External"/><Relationship Id="rId57" Type="http://schemas.openxmlformats.org/officeDocument/2006/relationships/hyperlink" Target="https://doi.org/10.1371/journal.pone.0213263" TargetMode="External"/><Relationship Id="rId106" Type="http://schemas.openxmlformats.org/officeDocument/2006/relationships/hyperlink" Target="https://doi.org/10.1101/2021.02.15.21251790" TargetMode="External"/><Relationship Id="rId10" Type="http://schemas.openxmlformats.org/officeDocument/2006/relationships/hyperlink" Target="https://doi.org/10.1186/s12875-018-0860-0" TargetMode="External"/><Relationship Id="rId31" Type="http://schemas.openxmlformats.org/officeDocument/2006/relationships/hyperlink" Target="https://doi.org/10.1186/s12889-019-7141-2" TargetMode="External"/><Relationship Id="rId44" Type="http://schemas.openxmlformats.org/officeDocument/2006/relationships/hyperlink" Target="https://doi.org/10.1161/strokeaha.121.034985" TargetMode="External"/><Relationship Id="rId52" Type="http://schemas.openxmlformats.org/officeDocument/2006/relationships/hyperlink" Target="https://doi.org/10.1212/wnl.0000000000000954" TargetMode="External"/><Relationship Id="rId60" Type="http://schemas.openxmlformats.org/officeDocument/2006/relationships/hyperlink" Target="https://doi.org/10.3390/nu13124283" TargetMode="External"/><Relationship Id="rId65" Type="http://schemas.openxmlformats.org/officeDocument/2006/relationships/hyperlink" Target="https://doi.org/10.1016/j.envres.2021.111350" TargetMode="External"/><Relationship Id="rId73" Type="http://schemas.openxmlformats.org/officeDocument/2006/relationships/hyperlink" Target="https://doi.org/10.1371/journal.pone.0030972" TargetMode="External"/><Relationship Id="rId78" Type="http://schemas.openxmlformats.org/officeDocument/2006/relationships/hyperlink" Target="https://doi.org/10.2196/17790" TargetMode="External"/><Relationship Id="rId81" Type="http://schemas.openxmlformats.org/officeDocument/2006/relationships/hyperlink" Target="https://doi.org/10.1186/s12889-025-23820-y" TargetMode="External"/><Relationship Id="rId86" Type="http://schemas.openxmlformats.org/officeDocument/2006/relationships/hyperlink" Target="https://doi.org/10.21203/rs.3.rs-1986313/v2" TargetMode="External"/><Relationship Id="rId94" Type="http://schemas.openxmlformats.org/officeDocument/2006/relationships/hyperlink" Target="https://doi.org/10.1186/s12916-016-0677-4" TargetMode="External"/><Relationship Id="rId99" Type="http://schemas.openxmlformats.org/officeDocument/2006/relationships/hyperlink" Target="https://doi.org/10.1093/tbm/iby017" TargetMode="External"/><Relationship Id="rId101" Type="http://schemas.openxmlformats.org/officeDocument/2006/relationships/hyperlink" Target="https://doi.org/10.1161/strokeaha.119.027013" TargetMode="External"/><Relationship Id="rId4" Type="http://schemas.openxmlformats.org/officeDocument/2006/relationships/webSettings" Target="webSettings.xml"/><Relationship Id="rId9" Type="http://schemas.openxmlformats.org/officeDocument/2006/relationships/hyperlink" Target="https://doi.org/10.3389/fpubh.2025.1593898" TargetMode="External"/><Relationship Id="rId13" Type="http://schemas.openxmlformats.org/officeDocument/2006/relationships/hyperlink" Target="https://doi.org/10.1093/pubmed/fdy144" TargetMode="External"/><Relationship Id="rId18" Type="http://schemas.openxmlformats.org/officeDocument/2006/relationships/hyperlink" Target="https://doi.org/10.1161/circulationaha.108.781062" TargetMode="External"/><Relationship Id="rId39" Type="http://schemas.openxmlformats.org/officeDocument/2006/relationships/hyperlink" Target="https://doi.org/10.1159/000094853" TargetMode="External"/><Relationship Id="rId109" Type="http://schemas.openxmlformats.org/officeDocument/2006/relationships/hyperlink" Target="https://doi.org/10.1371/journal.pmed.1003830" TargetMode="External"/><Relationship Id="rId34" Type="http://schemas.openxmlformats.org/officeDocument/2006/relationships/hyperlink" Target="https://doi.org/10.1007/s12170-016-0485-6" TargetMode="External"/><Relationship Id="rId50" Type="http://schemas.openxmlformats.org/officeDocument/2006/relationships/hyperlink" Target="https://doi.org/10.1186/1479-5868-10-47" TargetMode="External"/><Relationship Id="rId55" Type="http://schemas.openxmlformats.org/officeDocument/2006/relationships/hyperlink" Target="https://doi.org/10.1038/s41598-020-66742-y" TargetMode="External"/><Relationship Id="rId76" Type="http://schemas.openxmlformats.org/officeDocument/2006/relationships/hyperlink" Target="https://doi.org/10.1186/s12889-017-4361-1" TargetMode="External"/><Relationship Id="rId97" Type="http://schemas.openxmlformats.org/officeDocument/2006/relationships/hyperlink" Target="https://doi.org/10.1038/s41598-021-01213-6" TargetMode="External"/><Relationship Id="rId104" Type="http://schemas.openxmlformats.org/officeDocument/2006/relationships/hyperlink" Target="https://doi.org/10.1212/wnl.0000000000200774" TargetMode="External"/><Relationship Id="rId7" Type="http://schemas.openxmlformats.org/officeDocument/2006/relationships/image" Target="media/image1.png"/><Relationship Id="rId71" Type="http://schemas.openxmlformats.org/officeDocument/2006/relationships/hyperlink" Target="https://doi.org/10.1161/STROKEAHA.117.020258" TargetMode="External"/><Relationship Id="rId92" Type="http://schemas.openxmlformats.org/officeDocument/2006/relationships/hyperlink" Target="https://doi.org/10.1136/bmj.l4897" TargetMode="External"/><Relationship Id="rId2" Type="http://schemas.openxmlformats.org/officeDocument/2006/relationships/styles" Target="styles.xml"/><Relationship Id="rId29" Type="http://schemas.openxmlformats.org/officeDocument/2006/relationships/hyperlink" Target="https://doi.org/10.1161/jaha.114.001288" TargetMode="External"/><Relationship Id="rId24" Type="http://schemas.openxmlformats.org/officeDocument/2006/relationships/hyperlink" Target="https://doi.org/10.3389/fnut.2022.936926" TargetMode="External"/><Relationship Id="rId40" Type="http://schemas.openxmlformats.org/officeDocument/2006/relationships/hyperlink" Target="https://doi.org/10.1186/s13075-020-02253-5" TargetMode="External"/><Relationship Id="rId45" Type="http://schemas.openxmlformats.org/officeDocument/2006/relationships/hyperlink" Target="https://doi.org/10.1136/bmjopen-2021-059548" TargetMode="External"/><Relationship Id="rId66" Type="http://schemas.openxmlformats.org/officeDocument/2006/relationships/hyperlink" Target="https://doi.org/10.1186/s12874-019-0728-6" TargetMode="External"/><Relationship Id="rId87" Type="http://schemas.openxmlformats.org/officeDocument/2006/relationships/hyperlink" Target="https://doi.org/10.1186/1471-2288-8-45" TargetMode="External"/><Relationship Id="rId110" Type="http://schemas.openxmlformats.org/officeDocument/2006/relationships/fontTable" Target="fontTable.xml"/><Relationship Id="rId61" Type="http://schemas.openxmlformats.org/officeDocument/2006/relationships/hyperlink" Target="https://doi.org/10.1136/bmjopen-2017-017706" TargetMode="External"/><Relationship Id="rId82" Type="http://schemas.openxmlformats.org/officeDocument/2006/relationships/hyperlink" Target="https://doi.org/10.3390/v15020553" TargetMode="External"/><Relationship Id="rId19" Type="http://schemas.openxmlformats.org/officeDocument/2006/relationships/hyperlink" Target="https://doi.org/10.1016/j.jacc.2013.03.031" TargetMode="External"/><Relationship Id="rId14" Type="http://schemas.openxmlformats.org/officeDocument/2006/relationships/hyperlink" Target="https://doi.org/10.1136/bjsports-2020-102955" TargetMode="External"/><Relationship Id="rId30" Type="http://schemas.openxmlformats.org/officeDocument/2006/relationships/hyperlink" Target="https://doi.org/10.1186/s13643-017-0499-2" TargetMode="External"/><Relationship Id="rId35" Type="http://schemas.openxmlformats.org/officeDocument/2006/relationships/hyperlink" Target="https://doi.org/10.3945/ajcn.115.118216" TargetMode="External"/><Relationship Id="rId56" Type="http://schemas.openxmlformats.org/officeDocument/2006/relationships/hyperlink" Target="https://doi.org/10.1111/1742-6723.14498" TargetMode="External"/><Relationship Id="rId77" Type="http://schemas.openxmlformats.org/officeDocument/2006/relationships/hyperlink" Target="https://doi.org/10.3390/ijerph19159646" TargetMode="External"/><Relationship Id="rId100" Type="http://schemas.openxmlformats.org/officeDocument/2006/relationships/hyperlink" Target="https://doi.org/10.1016/j.pmedr.2015.05.003" TargetMode="External"/><Relationship Id="rId105" Type="http://schemas.openxmlformats.org/officeDocument/2006/relationships/hyperlink" Target="https://doi.org/10.1097/md.0000000000012838" TargetMode="External"/><Relationship Id="rId8" Type="http://schemas.openxmlformats.org/officeDocument/2006/relationships/footer" Target="footer1.xml"/><Relationship Id="rId51" Type="http://schemas.openxmlformats.org/officeDocument/2006/relationships/hyperlink" Target="https://doi.org/10.1007/s00125-011-2182-9" TargetMode="External"/><Relationship Id="rId72" Type="http://schemas.openxmlformats.org/officeDocument/2006/relationships/hyperlink" Target="https://doi.org/10.1017/s0007114515002500" TargetMode="External"/><Relationship Id="rId93" Type="http://schemas.openxmlformats.org/officeDocument/2006/relationships/hyperlink" Target="https://doi.org/10.1093/jn/nxab192" TargetMode="External"/><Relationship Id="rId98" Type="http://schemas.openxmlformats.org/officeDocument/2006/relationships/hyperlink" Target="https://doi.org/10.1186/s44167-023-00025-5" TargetMode="External"/><Relationship Id="rId3" Type="http://schemas.openxmlformats.org/officeDocument/2006/relationships/settings" Target="settings.xml"/><Relationship Id="rId25" Type="http://schemas.openxmlformats.org/officeDocument/2006/relationships/hyperlink" Target="https://doi.org/10.2147/NSS.S475263" TargetMode="External"/><Relationship Id="rId46" Type="http://schemas.openxmlformats.org/officeDocument/2006/relationships/hyperlink" Target="https://doi.org/10.1111/1758-2229.12079" TargetMode="External"/><Relationship Id="rId67" Type="http://schemas.openxmlformats.org/officeDocument/2006/relationships/hyperlink" Target="https://doi.org/10.3390/nu12030859" TargetMode="External"/><Relationship Id="rId20" Type="http://schemas.openxmlformats.org/officeDocument/2006/relationships/hyperlink" Target="https://doi.org/10.14789/jmj.2018.64.jmj18-p28" TargetMode="External"/><Relationship Id="rId41" Type="http://schemas.openxmlformats.org/officeDocument/2006/relationships/hyperlink" Target="https://doi.org/10.1038/s41598-019-49686-w" TargetMode="External"/><Relationship Id="rId62" Type="http://schemas.openxmlformats.org/officeDocument/2006/relationships/hyperlink" Target="https://doi.org/10.1186/1471-2458-11-387" TargetMode="External"/><Relationship Id="rId83" Type="http://schemas.openxmlformats.org/officeDocument/2006/relationships/hyperlink" Target="https://doi.org/10.1159/000543319" TargetMode="External"/><Relationship Id="rId88" Type="http://schemas.openxmlformats.org/officeDocument/2006/relationships/hyperlink" Target="https://doi.org/10.1038/ejcn.2014.260"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82</Pages>
  <Words>23734</Words>
  <Characters>135289</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Mahmudul Hasan Rakib (2330297)</cp:lastModifiedBy>
  <cp:revision>27</cp:revision>
  <dcterms:created xsi:type="dcterms:W3CDTF">2026-01-03T00:09:00Z</dcterms:created>
  <dcterms:modified xsi:type="dcterms:W3CDTF">2026-01-05T18:41:00Z</dcterms:modified>
</cp:coreProperties>
</file>