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FF43E0E">
      <w:pPr>
        <w:spacing w:line="360" w:lineRule="auto"/>
        <w:jc w:val="center"/>
        <w:rPr>
          <w:b/>
          <w:bCs/>
        </w:rPr>
      </w:pPr>
      <w:r>
        <w:rPr>
          <w:b/>
          <w:bCs/>
        </w:rPr>
        <w:drawing>
          <wp:inline distT="0" distB="0" distL="0" distR="0">
            <wp:extent cx="2158365" cy="8655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158365" cy="865505"/>
                    </a:xfrm>
                    <a:prstGeom prst="rect">
                      <a:avLst/>
                    </a:prstGeom>
                    <a:noFill/>
                  </pic:spPr>
                </pic:pic>
              </a:graphicData>
            </a:graphic>
          </wp:inline>
        </w:drawing>
      </w:r>
    </w:p>
    <w:p w14:paraId="73EB6166">
      <w:pPr>
        <w:spacing w:line="360" w:lineRule="auto"/>
        <w:contextualSpacing/>
        <w:jc w:val="center"/>
        <w:rPr>
          <w:color w:val="000000" w:themeColor="text1"/>
          <w14:textFill>
            <w14:solidFill>
              <w14:schemeClr w14:val="tx1"/>
            </w14:solidFill>
          </w14:textFill>
        </w:rPr>
      </w:pPr>
      <w:r>
        <w:rPr>
          <w:color w:val="000000" w:themeColor="text1"/>
          <w14:textFill>
            <w14:solidFill>
              <w14:schemeClr w14:val="tx1"/>
            </w14:solidFill>
          </w14:textFill>
        </w:rPr>
        <w:t>Programme: Master of Business Administration</w:t>
      </w:r>
    </w:p>
    <w:p w14:paraId="28047DDE">
      <w:pPr>
        <w:spacing w:line="360" w:lineRule="auto"/>
        <w:contextualSpacing/>
        <w:jc w:val="center"/>
        <w:rPr>
          <w:color w:val="000000" w:themeColor="text1"/>
          <w14:textFill>
            <w14:solidFill>
              <w14:schemeClr w14:val="tx1"/>
            </w14:solidFill>
          </w14:textFill>
        </w:rPr>
      </w:pPr>
      <w:r>
        <w:rPr>
          <w:color w:val="000000" w:themeColor="text1"/>
          <w14:textFill>
            <w14:solidFill>
              <w14:schemeClr w14:val="tx1"/>
            </w14:solidFill>
          </w14:textFill>
        </w:rPr>
        <w:t>Module: Marketing Management</w:t>
      </w:r>
    </w:p>
    <w:p w14:paraId="4F5D7235">
      <w:pPr>
        <w:spacing w:line="360" w:lineRule="auto"/>
        <w:contextualSpacing/>
        <w:jc w:val="center"/>
        <w:rPr>
          <w:color w:val="000000" w:themeColor="text1"/>
          <w14:textFill>
            <w14:solidFill>
              <w14:schemeClr w14:val="tx1"/>
            </w14:solidFill>
          </w14:textFill>
        </w:rPr>
      </w:pPr>
      <w:r>
        <w:rPr>
          <w:color w:val="000000" w:themeColor="text1"/>
          <w14:textFill>
            <w14:solidFill>
              <w14:schemeClr w14:val="tx1"/>
            </w14:solidFill>
          </w14:textFill>
        </w:rPr>
        <w:t>Module code: LCMB7024</w:t>
      </w:r>
    </w:p>
    <w:p w14:paraId="4EF33CCF">
      <w:pPr>
        <w:spacing w:line="360" w:lineRule="auto"/>
        <w:contextualSpacing/>
        <w:jc w:val="center"/>
        <w:rPr>
          <w:color w:val="000000" w:themeColor="text1"/>
          <w:sz w:val="32"/>
          <w:szCs w:val="32"/>
          <w14:textFill>
            <w14:solidFill>
              <w14:schemeClr w14:val="tx1"/>
            </w14:solidFill>
          </w14:textFill>
        </w:rPr>
      </w:pPr>
    </w:p>
    <w:p w14:paraId="6470BE11">
      <w:pPr>
        <w:spacing w:line="360" w:lineRule="auto"/>
        <w:contextualSpacing/>
        <w:jc w:val="center"/>
        <w:rPr>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Marketing Environment Analysis, Strategic Growth and Critical Reflection on AI Usage: The Case of Codelco</w:t>
      </w:r>
    </w:p>
    <w:p w14:paraId="54388F74">
      <w:pPr>
        <w:spacing w:line="360" w:lineRule="auto"/>
        <w:contextualSpacing/>
        <w:jc w:val="center"/>
        <w:rPr>
          <w:b/>
          <w:bCs/>
          <w:color w:val="000000" w:themeColor="text1"/>
          <w14:textFill>
            <w14:solidFill>
              <w14:schemeClr w14:val="tx1"/>
            </w14:solidFill>
          </w14:textFill>
        </w:rPr>
      </w:pPr>
    </w:p>
    <w:p w14:paraId="18E449F5">
      <w:pPr>
        <w:spacing w:line="360" w:lineRule="auto"/>
        <w:contextualSpacing/>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Student name:</w:t>
      </w:r>
      <w:r>
        <w:rPr>
          <w:rFonts w:hint="default"/>
          <w:color w:val="000000" w:themeColor="text1"/>
          <w:lang w:val="en-US"/>
          <w14:textFill>
            <w14:solidFill>
              <w14:schemeClr w14:val="tx1"/>
            </w14:solidFill>
          </w14:textFill>
        </w:rPr>
        <w:t xml:space="preserve"> Vruta Dipakbhai Gundraniya</w:t>
      </w:r>
    </w:p>
    <w:p w14:paraId="08F5F64D">
      <w:pPr>
        <w:spacing w:line="360" w:lineRule="auto"/>
        <w:contextualSpacing/>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Student id:</w:t>
      </w:r>
      <w:r>
        <w:rPr>
          <w:rFonts w:hint="default"/>
          <w:color w:val="000000" w:themeColor="text1"/>
          <w:lang w:val="en-US"/>
          <w14:textFill>
            <w14:solidFill>
              <w14:schemeClr w14:val="tx1"/>
            </w14:solidFill>
          </w14:textFill>
        </w:rPr>
        <w:t xml:space="preserve"> 2539615</w:t>
      </w:r>
      <w:bookmarkStart w:id="12" w:name="_GoBack"/>
      <w:bookmarkEnd w:id="12"/>
    </w:p>
    <w:p w14:paraId="5EF6A796">
      <w:pPr>
        <w:spacing w:line="360" w:lineRule="auto"/>
        <w:contextualSpacing/>
        <w:jc w:val="center"/>
        <w:rPr>
          <w:color w:val="000000" w:themeColor="text1"/>
          <w14:textFill>
            <w14:solidFill>
              <w14:schemeClr w14:val="tx1"/>
            </w14:solidFill>
          </w14:textFill>
        </w:rPr>
      </w:pPr>
      <w:r>
        <w:rPr>
          <w:color w:val="000000" w:themeColor="text1"/>
          <w14:textFill>
            <w14:solidFill>
              <w14:schemeClr w14:val="tx1"/>
            </w14:solidFill>
          </w14:textFill>
        </w:rPr>
        <w:t>Lecturer name: Laila Maazouz</w:t>
      </w:r>
    </w:p>
    <w:p w14:paraId="37880780">
      <w:pPr>
        <w:spacing w:line="360" w:lineRule="auto"/>
        <w:contextualSpacing/>
        <w:jc w:val="center"/>
        <w:rPr>
          <w:color w:val="000000" w:themeColor="text1"/>
          <w14:textFill>
            <w14:solidFill>
              <w14:schemeClr w14:val="tx1"/>
            </w14:solidFill>
          </w14:textFill>
        </w:rPr>
      </w:pPr>
      <w:r>
        <w:rPr>
          <w:color w:val="000000" w:themeColor="text1"/>
          <w14:textFill>
            <w14:solidFill>
              <w14:schemeClr w14:val="tx1"/>
            </w14:solidFill>
          </w14:textFill>
        </w:rPr>
        <w:t>Word count: 2750</w:t>
      </w:r>
    </w:p>
    <w:p w14:paraId="78948373">
      <w:pPr>
        <w:spacing w:line="360" w:lineRule="auto"/>
        <w:contextualSpacing/>
        <w:jc w:val="center"/>
        <w:rPr>
          <w:color w:val="000000" w:themeColor="text1"/>
          <w14:textFill>
            <w14:solidFill>
              <w14:schemeClr w14:val="tx1"/>
            </w14:solidFill>
          </w14:textFill>
        </w:rPr>
      </w:pPr>
      <w:r>
        <w:rPr>
          <w:color w:val="000000" w:themeColor="text1"/>
          <w14:textFill>
            <w14:solidFill>
              <w14:schemeClr w14:val="tx1"/>
            </w14:solidFill>
          </w14:textFill>
        </w:rPr>
        <w:t>Submission date: 24th July 2026</w:t>
      </w:r>
    </w:p>
    <w:p w14:paraId="70E74913">
      <w:pPr>
        <w:spacing w:line="360" w:lineRule="auto"/>
        <w:jc w:val="center"/>
        <w:rPr>
          <w:b/>
          <w:bCs/>
        </w:rPr>
      </w:pPr>
    </w:p>
    <w:p w14:paraId="564600CE">
      <w:pPr>
        <w:spacing w:line="360" w:lineRule="auto"/>
        <w:jc w:val="center"/>
        <w:rPr>
          <w:i/>
          <w:iCs/>
        </w:rPr>
      </w:pPr>
    </w:p>
    <w:p w14:paraId="5792A588">
      <w:pPr>
        <w:spacing w:line="360" w:lineRule="auto"/>
        <w:jc w:val="both"/>
        <w:rPr>
          <w:i/>
          <w:iCs/>
        </w:rPr>
      </w:pPr>
    </w:p>
    <w:p w14:paraId="087460D1">
      <w:pPr>
        <w:spacing w:line="360" w:lineRule="auto"/>
        <w:jc w:val="both"/>
        <w:rPr>
          <w:i/>
          <w:iCs/>
        </w:rPr>
      </w:pPr>
    </w:p>
    <w:p w14:paraId="32B55F78">
      <w:pPr>
        <w:spacing w:line="360" w:lineRule="auto"/>
        <w:jc w:val="both"/>
        <w:rPr>
          <w:i/>
          <w:iCs/>
        </w:rPr>
      </w:pPr>
    </w:p>
    <w:p w14:paraId="1EBC0B8E">
      <w:pPr>
        <w:spacing w:line="360" w:lineRule="auto"/>
        <w:jc w:val="both"/>
      </w:pPr>
    </w:p>
    <w:p w14:paraId="2D97FC09">
      <w:pPr>
        <w:spacing w:line="360" w:lineRule="auto"/>
        <w:jc w:val="both"/>
      </w:pPr>
    </w:p>
    <w:p w14:paraId="0F1E3301">
      <w:pPr>
        <w:spacing w:line="360" w:lineRule="auto"/>
        <w:jc w:val="both"/>
      </w:pPr>
    </w:p>
    <w:p w14:paraId="0EE96417">
      <w:pPr>
        <w:spacing w:line="360" w:lineRule="auto"/>
        <w:jc w:val="both"/>
      </w:pPr>
    </w:p>
    <w:p w14:paraId="771CE0B8">
      <w:pPr>
        <w:spacing w:line="360" w:lineRule="auto"/>
        <w:jc w:val="both"/>
      </w:pPr>
    </w:p>
    <w:p w14:paraId="7352E648">
      <w:pPr>
        <w:spacing w:line="360" w:lineRule="auto"/>
        <w:jc w:val="both"/>
      </w:pPr>
    </w:p>
    <w:p w14:paraId="54325815">
      <w:pPr>
        <w:spacing w:line="360" w:lineRule="auto"/>
        <w:jc w:val="both"/>
      </w:pPr>
    </w:p>
    <w:p w14:paraId="3FBA5795">
      <w:pPr>
        <w:spacing w:line="360" w:lineRule="auto"/>
        <w:jc w:val="both"/>
      </w:pPr>
    </w:p>
    <w:p w14:paraId="34F13B1A">
      <w:pPr>
        <w:spacing w:line="360" w:lineRule="auto"/>
        <w:jc w:val="both"/>
      </w:pPr>
    </w:p>
    <w:p w14:paraId="1A49E608">
      <w:pPr>
        <w:spacing w:line="360" w:lineRule="auto"/>
        <w:jc w:val="both"/>
      </w:pPr>
    </w:p>
    <w:p w14:paraId="70B59AB2">
      <w:pPr>
        <w:spacing w:line="360" w:lineRule="auto"/>
        <w:jc w:val="both"/>
      </w:pPr>
    </w:p>
    <w:sdt>
      <w:sdtPr>
        <w:rPr>
          <w:rFonts w:ascii="Arial" w:hAnsi="Arial" w:cs="Arial"/>
          <w:sz w:val="24"/>
          <w:szCs w:val="24"/>
        </w:rPr>
        <w:id w:val="783927204"/>
        <w:docPartObj>
          <w:docPartGallery w:val="Table of Contents"/>
          <w:docPartUnique/>
        </w:docPartObj>
      </w:sdtPr>
      <w:sdtEndPr>
        <w:rPr>
          <w:rFonts w:ascii="Arial" w:hAnsi="Arial" w:eastAsia="Arial" w:cs="Arial"/>
          <w:b/>
          <w:bCs/>
          <w:color w:val="auto"/>
          <w:sz w:val="24"/>
          <w:szCs w:val="24"/>
        </w:rPr>
      </w:sdtEndPr>
      <w:sdtContent>
        <w:p w14:paraId="4D53AADE">
          <w:pPr>
            <w:pStyle w:val="29"/>
            <w:spacing w:before="0" w:line="360" w:lineRule="auto"/>
            <w:jc w:val="both"/>
            <w:rPr>
              <w:rFonts w:ascii="Arial" w:hAnsi="Arial" w:cs="Arial"/>
              <w:sz w:val="24"/>
              <w:szCs w:val="24"/>
            </w:rPr>
          </w:pPr>
          <w:r>
            <w:rPr>
              <w:rFonts w:ascii="Arial" w:hAnsi="Arial" w:cs="Arial"/>
              <w:sz w:val="24"/>
              <w:szCs w:val="24"/>
            </w:rPr>
            <w:t>Table of Contents</w:t>
          </w:r>
        </w:p>
        <w:p w14:paraId="50D116FD">
          <w:pPr>
            <w:pStyle w:val="20"/>
            <w:tabs>
              <w:tab w:val="right" w:leader="dot" w:pos="9016"/>
            </w:tabs>
            <w:spacing w:after="0" w:line="360" w:lineRule="auto"/>
            <w:jc w:val="both"/>
          </w:pPr>
          <w:r>
            <w:fldChar w:fldCharType="begin"/>
          </w:r>
          <w:r>
            <w:instrText xml:space="preserve"> TOC \o "1-3" \h \z \u </w:instrText>
          </w:r>
          <w:r>
            <w:fldChar w:fldCharType="separate"/>
          </w:r>
          <w:r>
            <w:fldChar w:fldCharType="begin"/>
          </w:r>
          <w:r>
            <w:instrText xml:space="preserve"> HYPERLINK \l "_Toc235740017" </w:instrText>
          </w:r>
          <w:r>
            <w:fldChar w:fldCharType="separate"/>
          </w:r>
          <w:r>
            <w:rPr>
              <w:rStyle w:val="16"/>
              <w:b/>
              <w:bCs/>
            </w:rPr>
            <w:t>Introduction</w:t>
          </w:r>
          <w:r>
            <w:tab/>
          </w:r>
          <w:r>
            <w:fldChar w:fldCharType="begin"/>
          </w:r>
          <w:r>
            <w:instrText xml:space="preserve"> PAGEREF _Toc235740017 \h </w:instrText>
          </w:r>
          <w:r>
            <w:fldChar w:fldCharType="separate"/>
          </w:r>
          <w:r>
            <w:t>2</w:t>
          </w:r>
          <w:r>
            <w:fldChar w:fldCharType="end"/>
          </w:r>
          <w:r>
            <w:fldChar w:fldCharType="end"/>
          </w:r>
        </w:p>
        <w:p w14:paraId="006BD2E9">
          <w:pPr>
            <w:pStyle w:val="20"/>
            <w:tabs>
              <w:tab w:val="right" w:leader="dot" w:pos="9016"/>
            </w:tabs>
            <w:spacing w:after="0" w:line="360" w:lineRule="auto"/>
            <w:jc w:val="both"/>
          </w:pPr>
          <w:r>
            <w:fldChar w:fldCharType="begin"/>
          </w:r>
          <w:r>
            <w:instrText xml:space="preserve"> HYPERLINK \l "_Toc235740018" </w:instrText>
          </w:r>
          <w:r>
            <w:fldChar w:fldCharType="separate"/>
          </w:r>
          <w:r>
            <w:rPr>
              <w:rStyle w:val="16"/>
              <w:b/>
              <w:bCs/>
            </w:rPr>
            <w:t>Task 1: Marketing Environment Analysis</w:t>
          </w:r>
          <w:r>
            <w:tab/>
          </w:r>
          <w:r>
            <w:fldChar w:fldCharType="begin"/>
          </w:r>
          <w:r>
            <w:instrText xml:space="preserve"> PAGEREF _Toc235740018 \h </w:instrText>
          </w:r>
          <w:r>
            <w:fldChar w:fldCharType="separate"/>
          </w:r>
          <w:r>
            <w:t>2</w:t>
          </w:r>
          <w:r>
            <w:fldChar w:fldCharType="end"/>
          </w:r>
          <w:r>
            <w:fldChar w:fldCharType="end"/>
          </w:r>
        </w:p>
        <w:p w14:paraId="4386F6CE">
          <w:pPr>
            <w:pStyle w:val="21"/>
            <w:tabs>
              <w:tab w:val="right" w:leader="dot" w:pos="9016"/>
            </w:tabs>
            <w:spacing w:after="0" w:line="360" w:lineRule="auto"/>
            <w:jc w:val="both"/>
          </w:pPr>
          <w:r>
            <w:fldChar w:fldCharType="begin"/>
          </w:r>
          <w:r>
            <w:instrText xml:space="preserve"> HYPERLINK \l "_Toc235740019" </w:instrText>
          </w:r>
          <w:r>
            <w:fldChar w:fldCharType="separate"/>
          </w:r>
          <w:r>
            <w:rPr>
              <w:rStyle w:val="16"/>
              <w:b/>
              <w:bCs/>
            </w:rPr>
            <w:t>Codelco and the Marketing Environment</w:t>
          </w:r>
          <w:r>
            <w:tab/>
          </w:r>
          <w:r>
            <w:fldChar w:fldCharType="begin"/>
          </w:r>
          <w:r>
            <w:instrText xml:space="preserve"> PAGEREF _Toc235740019 \h </w:instrText>
          </w:r>
          <w:r>
            <w:fldChar w:fldCharType="separate"/>
          </w:r>
          <w:r>
            <w:t>2</w:t>
          </w:r>
          <w:r>
            <w:fldChar w:fldCharType="end"/>
          </w:r>
          <w:r>
            <w:fldChar w:fldCharType="end"/>
          </w:r>
        </w:p>
        <w:p w14:paraId="2BB72597">
          <w:pPr>
            <w:pStyle w:val="21"/>
            <w:tabs>
              <w:tab w:val="right" w:leader="dot" w:pos="9016"/>
            </w:tabs>
            <w:spacing w:after="0" w:line="360" w:lineRule="auto"/>
            <w:jc w:val="both"/>
          </w:pPr>
          <w:r>
            <w:fldChar w:fldCharType="begin"/>
          </w:r>
          <w:r>
            <w:instrText xml:space="preserve"> HYPERLINK \l "_Toc235740020" </w:instrText>
          </w:r>
          <w:r>
            <w:fldChar w:fldCharType="separate"/>
          </w:r>
          <w:r>
            <w:rPr>
              <w:rStyle w:val="16"/>
              <w:b/>
              <w:bCs/>
            </w:rPr>
            <w:t>The Natural Environment Actor</w:t>
          </w:r>
          <w:r>
            <w:tab/>
          </w:r>
          <w:r>
            <w:fldChar w:fldCharType="begin"/>
          </w:r>
          <w:r>
            <w:instrText xml:space="preserve"> PAGEREF _Toc235740020 \h </w:instrText>
          </w:r>
          <w:r>
            <w:fldChar w:fldCharType="separate"/>
          </w:r>
          <w:r>
            <w:t>2</w:t>
          </w:r>
          <w:r>
            <w:fldChar w:fldCharType="end"/>
          </w:r>
          <w:r>
            <w:fldChar w:fldCharType="end"/>
          </w:r>
        </w:p>
        <w:p w14:paraId="2C29CE40">
          <w:pPr>
            <w:pStyle w:val="21"/>
            <w:tabs>
              <w:tab w:val="right" w:leader="dot" w:pos="9016"/>
            </w:tabs>
            <w:spacing w:after="0" w:line="360" w:lineRule="auto"/>
            <w:jc w:val="both"/>
          </w:pPr>
          <w:r>
            <w:fldChar w:fldCharType="begin"/>
          </w:r>
          <w:r>
            <w:instrText xml:space="preserve"> HYPERLINK \l "_Toc235740021" </w:instrText>
          </w:r>
          <w:r>
            <w:fldChar w:fldCharType="separate"/>
          </w:r>
          <w:r>
            <w:rPr>
              <w:rStyle w:val="16"/>
              <w:b/>
              <w:bCs/>
            </w:rPr>
            <w:t>The Technological Environment Actor</w:t>
          </w:r>
          <w:r>
            <w:tab/>
          </w:r>
          <w:r>
            <w:fldChar w:fldCharType="begin"/>
          </w:r>
          <w:r>
            <w:instrText xml:space="preserve"> PAGEREF _Toc235740021 \h </w:instrText>
          </w:r>
          <w:r>
            <w:fldChar w:fldCharType="separate"/>
          </w:r>
          <w:r>
            <w:t>3</w:t>
          </w:r>
          <w:r>
            <w:fldChar w:fldCharType="end"/>
          </w:r>
          <w:r>
            <w:fldChar w:fldCharType="end"/>
          </w:r>
        </w:p>
        <w:p w14:paraId="5ADA3029">
          <w:pPr>
            <w:pStyle w:val="20"/>
            <w:tabs>
              <w:tab w:val="right" w:leader="dot" w:pos="9016"/>
            </w:tabs>
            <w:spacing w:after="0" w:line="360" w:lineRule="auto"/>
            <w:jc w:val="both"/>
          </w:pPr>
          <w:r>
            <w:fldChar w:fldCharType="begin"/>
          </w:r>
          <w:r>
            <w:instrText xml:space="preserve"> HYPERLINK \l "_Toc235740022" </w:instrText>
          </w:r>
          <w:r>
            <w:fldChar w:fldCharType="separate"/>
          </w:r>
          <w:r>
            <w:rPr>
              <w:rStyle w:val="16"/>
              <w:b/>
              <w:bCs/>
            </w:rPr>
            <w:t>Task 2: Strategic Growth and Competitive Positioning</w:t>
          </w:r>
          <w:r>
            <w:tab/>
          </w:r>
          <w:r>
            <w:fldChar w:fldCharType="begin"/>
          </w:r>
          <w:r>
            <w:instrText xml:space="preserve"> PAGEREF _Toc235740022 \h </w:instrText>
          </w:r>
          <w:r>
            <w:fldChar w:fldCharType="separate"/>
          </w:r>
          <w:r>
            <w:t>5</w:t>
          </w:r>
          <w:r>
            <w:fldChar w:fldCharType="end"/>
          </w:r>
          <w:r>
            <w:fldChar w:fldCharType="end"/>
          </w:r>
        </w:p>
        <w:p w14:paraId="7F767699">
          <w:pPr>
            <w:pStyle w:val="21"/>
            <w:tabs>
              <w:tab w:val="right" w:leader="dot" w:pos="9016"/>
            </w:tabs>
            <w:spacing w:after="0" w:line="360" w:lineRule="auto"/>
            <w:jc w:val="both"/>
          </w:pPr>
          <w:r>
            <w:fldChar w:fldCharType="begin"/>
          </w:r>
          <w:r>
            <w:instrText xml:space="preserve"> HYPERLINK \l "_Toc235740023" </w:instrText>
          </w:r>
          <w:r>
            <w:fldChar w:fldCharType="separate"/>
          </w:r>
          <w:r>
            <w:rPr>
              <w:rStyle w:val="16"/>
              <w:b/>
              <w:bCs/>
            </w:rPr>
            <w:t>Applying the Ansoff Matrix</w:t>
          </w:r>
          <w:r>
            <w:tab/>
          </w:r>
          <w:r>
            <w:fldChar w:fldCharType="begin"/>
          </w:r>
          <w:r>
            <w:instrText xml:space="preserve"> PAGEREF _Toc235740023 \h </w:instrText>
          </w:r>
          <w:r>
            <w:fldChar w:fldCharType="separate"/>
          </w:r>
          <w:r>
            <w:t>6</w:t>
          </w:r>
          <w:r>
            <w:fldChar w:fldCharType="end"/>
          </w:r>
          <w:r>
            <w:fldChar w:fldCharType="end"/>
          </w:r>
        </w:p>
        <w:p w14:paraId="7EB0C663">
          <w:pPr>
            <w:pStyle w:val="21"/>
            <w:tabs>
              <w:tab w:val="right" w:leader="dot" w:pos="9016"/>
            </w:tabs>
            <w:spacing w:after="0" w:line="360" w:lineRule="auto"/>
            <w:jc w:val="both"/>
          </w:pPr>
          <w:r>
            <w:fldChar w:fldCharType="begin"/>
          </w:r>
          <w:r>
            <w:instrText xml:space="preserve"> HYPERLINK \l "_Toc235740024" </w:instrText>
          </w:r>
          <w:r>
            <w:fldChar w:fldCharType="separate"/>
          </w:r>
          <w:r>
            <w:rPr>
              <w:rStyle w:val="16"/>
              <w:b/>
              <w:bCs/>
            </w:rPr>
            <w:t>Product Development and Diversification</w:t>
          </w:r>
          <w:r>
            <w:tab/>
          </w:r>
          <w:r>
            <w:fldChar w:fldCharType="begin"/>
          </w:r>
          <w:r>
            <w:instrText xml:space="preserve"> PAGEREF _Toc235740024 \h </w:instrText>
          </w:r>
          <w:r>
            <w:fldChar w:fldCharType="separate"/>
          </w:r>
          <w:r>
            <w:t>6</w:t>
          </w:r>
          <w:r>
            <w:fldChar w:fldCharType="end"/>
          </w:r>
          <w:r>
            <w:fldChar w:fldCharType="end"/>
          </w:r>
        </w:p>
        <w:p w14:paraId="5EB7B914">
          <w:pPr>
            <w:pStyle w:val="21"/>
            <w:tabs>
              <w:tab w:val="right" w:leader="dot" w:pos="9016"/>
            </w:tabs>
            <w:spacing w:after="0" w:line="360" w:lineRule="auto"/>
            <w:jc w:val="both"/>
          </w:pPr>
          <w:r>
            <w:fldChar w:fldCharType="begin"/>
          </w:r>
          <w:r>
            <w:instrText xml:space="preserve"> HYPERLINK \l "_Toc235740025" </w:instrText>
          </w:r>
          <w:r>
            <w:fldChar w:fldCharType="separate"/>
          </w:r>
          <w:r>
            <w:rPr>
              <w:rStyle w:val="16"/>
              <w:b/>
              <w:bCs/>
            </w:rPr>
            <w:t>Securing Competitive Advantage</w:t>
          </w:r>
          <w:r>
            <w:tab/>
          </w:r>
          <w:r>
            <w:fldChar w:fldCharType="begin"/>
          </w:r>
          <w:r>
            <w:instrText xml:space="preserve"> PAGEREF _Toc235740025 \h </w:instrText>
          </w:r>
          <w:r>
            <w:fldChar w:fldCharType="separate"/>
          </w:r>
          <w:r>
            <w:t>7</w:t>
          </w:r>
          <w:r>
            <w:fldChar w:fldCharType="end"/>
          </w:r>
          <w:r>
            <w:fldChar w:fldCharType="end"/>
          </w:r>
        </w:p>
        <w:p w14:paraId="49440A82">
          <w:pPr>
            <w:pStyle w:val="20"/>
            <w:tabs>
              <w:tab w:val="right" w:leader="dot" w:pos="9016"/>
            </w:tabs>
            <w:spacing w:after="0" w:line="360" w:lineRule="auto"/>
            <w:jc w:val="both"/>
          </w:pPr>
          <w:r>
            <w:fldChar w:fldCharType="begin"/>
          </w:r>
          <w:r>
            <w:instrText xml:space="preserve"> HYPERLINK \l "_Toc235740026" </w:instrText>
          </w:r>
          <w:r>
            <w:fldChar w:fldCharType="separate"/>
          </w:r>
          <w:r>
            <w:rPr>
              <w:rStyle w:val="16"/>
              <w:b/>
              <w:bCs/>
            </w:rPr>
            <w:t>Conclusion</w:t>
          </w:r>
          <w:r>
            <w:tab/>
          </w:r>
          <w:r>
            <w:fldChar w:fldCharType="begin"/>
          </w:r>
          <w:r>
            <w:instrText xml:space="preserve"> PAGEREF _Toc235740026 \h </w:instrText>
          </w:r>
          <w:r>
            <w:fldChar w:fldCharType="separate"/>
          </w:r>
          <w:r>
            <w:t>9</w:t>
          </w:r>
          <w:r>
            <w:fldChar w:fldCharType="end"/>
          </w:r>
          <w:r>
            <w:fldChar w:fldCharType="end"/>
          </w:r>
        </w:p>
        <w:p w14:paraId="5253F9B0">
          <w:pPr>
            <w:pStyle w:val="20"/>
            <w:tabs>
              <w:tab w:val="right" w:leader="dot" w:pos="9016"/>
            </w:tabs>
            <w:spacing w:after="0" w:line="360" w:lineRule="auto"/>
            <w:jc w:val="both"/>
          </w:pPr>
          <w:r>
            <w:fldChar w:fldCharType="begin"/>
          </w:r>
          <w:r>
            <w:instrText xml:space="preserve"> HYPERLINK \l "_Toc235740027" </w:instrText>
          </w:r>
          <w:r>
            <w:fldChar w:fldCharType="separate"/>
          </w:r>
          <w:r>
            <w:rPr>
              <w:rStyle w:val="16"/>
              <w:b/>
              <w:bCs/>
            </w:rPr>
            <w:t>Task 3: Critical Reflection on AI Usage</w:t>
          </w:r>
          <w:r>
            <w:tab/>
          </w:r>
          <w:r>
            <w:fldChar w:fldCharType="begin"/>
          </w:r>
          <w:r>
            <w:instrText xml:space="preserve"> PAGEREF _Toc235740027 \h </w:instrText>
          </w:r>
          <w:r>
            <w:fldChar w:fldCharType="separate"/>
          </w:r>
          <w:r>
            <w:t>9</w:t>
          </w:r>
          <w:r>
            <w:fldChar w:fldCharType="end"/>
          </w:r>
          <w:r>
            <w:fldChar w:fldCharType="end"/>
          </w:r>
        </w:p>
        <w:p w14:paraId="7A9EB451">
          <w:pPr>
            <w:pStyle w:val="20"/>
            <w:tabs>
              <w:tab w:val="right" w:leader="dot" w:pos="9016"/>
            </w:tabs>
            <w:spacing w:after="0" w:line="360" w:lineRule="auto"/>
            <w:jc w:val="both"/>
          </w:pPr>
          <w:r>
            <w:fldChar w:fldCharType="begin"/>
          </w:r>
          <w:r>
            <w:instrText xml:space="preserve"> HYPERLINK \l "_Toc235740028" </w:instrText>
          </w:r>
          <w:r>
            <w:fldChar w:fldCharType="separate"/>
          </w:r>
          <w:r>
            <w:rPr>
              <w:rStyle w:val="16"/>
              <w:b/>
              <w:bCs/>
            </w:rPr>
            <w:t>References</w:t>
          </w:r>
          <w:r>
            <w:tab/>
          </w:r>
          <w:r>
            <w:fldChar w:fldCharType="begin"/>
          </w:r>
          <w:r>
            <w:instrText xml:space="preserve"> PAGEREF _Toc235740028 \h </w:instrText>
          </w:r>
          <w:r>
            <w:fldChar w:fldCharType="separate"/>
          </w:r>
          <w:r>
            <w:t>12</w:t>
          </w:r>
          <w:r>
            <w:fldChar w:fldCharType="end"/>
          </w:r>
          <w:r>
            <w:fldChar w:fldCharType="end"/>
          </w:r>
        </w:p>
        <w:p w14:paraId="1DCED40D">
          <w:pPr>
            <w:spacing w:line="360" w:lineRule="auto"/>
            <w:jc w:val="both"/>
          </w:pPr>
          <w:r>
            <w:rPr>
              <w:b/>
              <w:bCs/>
            </w:rPr>
            <w:fldChar w:fldCharType="end"/>
          </w:r>
        </w:p>
      </w:sdtContent>
    </w:sdt>
    <w:p w14:paraId="2F392D0C">
      <w:pPr>
        <w:spacing w:line="360" w:lineRule="auto"/>
        <w:jc w:val="both"/>
      </w:pPr>
    </w:p>
    <w:p w14:paraId="74C37808">
      <w:pPr>
        <w:spacing w:line="360" w:lineRule="auto"/>
        <w:jc w:val="both"/>
      </w:pPr>
    </w:p>
    <w:p w14:paraId="0DF9D8A6">
      <w:pPr>
        <w:spacing w:line="360" w:lineRule="auto"/>
        <w:jc w:val="both"/>
      </w:pPr>
    </w:p>
    <w:p w14:paraId="442D7D03">
      <w:pPr>
        <w:spacing w:line="360" w:lineRule="auto"/>
        <w:jc w:val="both"/>
      </w:pPr>
    </w:p>
    <w:p w14:paraId="54CCD747">
      <w:pPr>
        <w:spacing w:line="360" w:lineRule="auto"/>
        <w:jc w:val="both"/>
      </w:pPr>
    </w:p>
    <w:p w14:paraId="07BEE17A">
      <w:pPr>
        <w:spacing w:line="360" w:lineRule="auto"/>
        <w:jc w:val="both"/>
      </w:pPr>
    </w:p>
    <w:p w14:paraId="6616DF16">
      <w:pPr>
        <w:spacing w:line="360" w:lineRule="auto"/>
        <w:jc w:val="both"/>
      </w:pPr>
    </w:p>
    <w:p w14:paraId="75DBD454">
      <w:pPr>
        <w:spacing w:line="360" w:lineRule="auto"/>
        <w:jc w:val="both"/>
      </w:pPr>
    </w:p>
    <w:p w14:paraId="799FB5A0">
      <w:pPr>
        <w:spacing w:line="360" w:lineRule="auto"/>
        <w:jc w:val="both"/>
      </w:pPr>
    </w:p>
    <w:p w14:paraId="54F36686">
      <w:pPr>
        <w:spacing w:line="360" w:lineRule="auto"/>
        <w:jc w:val="both"/>
      </w:pPr>
    </w:p>
    <w:p w14:paraId="69AD785A">
      <w:pPr>
        <w:spacing w:line="360" w:lineRule="auto"/>
        <w:jc w:val="both"/>
      </w:pPr>
    </w:p>
    <w:p w14:paraId="07AA4732">
      <w:pPr>
        <w:spacing w:line="360" w:lineRule="auto"/>
        <w:jc w:val="both"/>
      </w:pPr>
    </w:p>
    <w:p w14:paraId="56B57A90">
      <w:pPr>
        <w:spacing w:line="360" w:lineRule="auto"/>
        <w:jc w:val="both"/>
      </w:pPr>
    </w:p>
    <w:p w14:paraId="75786C49">
      <w:pPr>
        <w:spacing w:line="360" w:lineRule="auto"/>
        <w:jc w:val="both"/>
      </w:pPr>
    </w:p>
    <w:p w14:paraId="1ED3186D">
      <w:pPr>
        <w:spacing w:line="360" w:lineRule="auto"/>
        <w:jc w:val="both"/>
      </w:pPr>
    </w:p>
    <w:p w14:paraId="11AE19C9">
      <w:pPr>
        <w:spacing w:line="360" w:lineRule="auto"/>
        <w:jc w:val="both"/>
      </w:pPr>
    </w:p>
    <w:p w14:paraId="20DF94A9">
      <w:pPr>
        <w:spacing w:line="360" w:lineRule="auto"/>
        <w:jc w:val="both"/>
      </w:pPr>
    </w:p>
    <w:p w14:paraId="76D2395D">
      <w:pPr>
        <w:spacing w:line="360" w:lineRule="auto"/>
        <w:jc w:val="both"/>
      </w:pPr>
    </w:p>
    <w:p w14:paraId="716FF9DE">
      <w:pPr>
        <w:spacing w:line="360" w:lineRule="auto"/>
        <w:jc w:val="both"/>
      </w:pPr>
    </w:p>
    <w:p w14:paraId="50AE0B98">
      <w:pPr>
        <w:spacing w:line="360" w:lineRule="auto"/>
        <w:jc w:val="both"/>
      </w:pPr>
    </w:p>
    <w:p w14:paraId="5699B800">
      <w:pPr>
        <w:pStyle w:val="2"/>
        <w:spacing w:line="360" w:lineRule="auto"/>
        <w:jc w:val="both"/>
        <w:rPr>
          <w:color w:val="000000" w:themeColor="text1"/>
          <w:sz w:val="24"/>
          <w:szCs w:val="24"/>
          <w14:textFill>
            <w14:solidFill>
              <w14:schemeClr w14:val="tx1"/>
            </w14:solidFill>
          </w14:textFill>
        </w:rPr>
      </w:pPr>
      <w:bookmarkStart w:id="0" w:name="_Toc235740017"/>
      <w:r>
        <w:rPr>
          <w:b/>
          <w:bCs/>
          <w:color w:val="000000" w:themeColor="text1"/>
          <w:sz w:val="24"/>
          <w:szCs w:val="24"/>
          <w14:textFill>
            <w14:solidFill>
              <w14:schemeClr w14:val="tx1"/>
            </w14:solidFill>
          </w14:textFill>
        </w:rPr>
        <w:t>Introduction</w:t>
      </w:r>
      <w:bookmarkEnd w:id="0"/>
    </w:p>
    <w:p w14:paraId="17D83F07">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This report examines the marketing environment that Codelco, the Chilean state owned copper producer, will face when transitioning to low carbon production. Then it suggests a growth plan based on the Ansoff Matrix and ends with a critical evaluation of the application of artificial intelligence.</w:t>
      </w:r>
    </w:p>
    <w:p w14:paraId="1B778CB1">
      <w:pPr>
        <w:pStyle w:val="2"/>
        <w:spacing w:line="360" w:lineRule="auto"/>
        <w:jc w:val="both"/>
        <w:rPr>
          <w:color w:val="000000" w:themeColor="text1"/>
          <w:sz w:val="24"/>
          <w:szCs w:val="24"/>
          <w14:textFill>
            <w14:solidFill>
              <w14:schemeClr w14:val="tx1"/>
            </w14:solidFill>
          </w14:textFill>
        </w:rPr>
      </w:pPr>
      <w:bookmarkStart w:id="1" w:name="_Toc235740018"/>
      <w:r>
        <w:rPr>
          <w:b/>
          <w:bCs/>
          <w:color w:val="000000" w:themeColor="text1"/>
          <w:sz w:val="24"/>
          <w:szCs w:val="24"/>
          <w14:textFill>
            <w14:solidFill>
              <w14:schemeClr w14:val="tx1"/>
            </w14:solidFill>
          </w14:textFill>
        </w:rPr>
        <w:t>Task 1: Marketing Environment Analysis</w:t>
      </w:r>
      <w:bookmarkEnd w:id="1"/>
    </w:p>
    <w:p w14:paraId="545D2D27">
      <w:pPr>
        <w:pStyle w:val="3"/>
        <w:spacing w:line="360" w:lineRule="auto"/>
        <w:jc w:val="both"/>
        <w:rPr>
          <w:color w:val="000000" w:themeColor="text1"/>
          <w:sz w:val="24"/>
          <w:szCs w:val="24"/>
          <w14:textFill>
            <w14:solidFill>
              <w14:schemeClr w14:val="tx1"/>
            </w14:solidFill>
          </w14:textFill>
        </w:rPr>
      </w:pPr>
      <w:bookmarkStart w:id="2" w:name="_Toc235740019"/>
      <w:r>
        <w:rPr>
          <w:b/>
          <w:bCs/>
          <w:color w:val="000000" w:themeColor="text1"/>
          <w:sz w:val="24"/>
          <w:szCs w:val="24"/>
          <w14:textFill>
            <w14:solidFill>
              <w14:schemeClr w14:val="tx1"/>
            </w14:solidFill>
          </w14:textFill>
        </w:rPr>
        <w:t>Codelco and the Marketing Environment</w:t>
      </w:r>
      <w:bookmarkEnd w:id="2"/>
    </w:p>
    <w:p w14:paraId="148C9733">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Codelco (Corporación Nacional del Cobre de Chile) was created in 1976 by the Chilean state, following the 1971 nationalisation of foreign owned copper mines under President Salvador Allende.</w:t>
      </w:r>
    </w:p>
    <w:p w14:paraId="4F67C4D1">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The marketing environment is the internal and external elements and actors that affect an organisation's ability to establish and maintain profitable relationships with its target customers (Kotler et al., 2024, p.68). This environment analysis is a necessary step in formulating a sound growth strategy, as it reveals the opportunities and threats that a firm must react to before allocating resources. This section critically evaluates two external actors of the macro environment—Natural Environment and Technological Environment—that are changing the way Codelco is moving towards lower carbon copper production.</w:t>
      </w:r>
    </w:p>
    <w:p w14:paraId="0108DFC1">
      <w:pPr>
        <w:pStyle w:val="3"/>
        <w:spacing w:line="360" w:lineRule="auto"/>
        <w:jc w:val="both"/>
        <w:rPr>
          <w:color w:val="000000" w:themeColor="text1"/>
          <w:sz w:val="24"/>
          <w:szCs w:val="24"/>
          <w14:textFill>
            <w14:solidFill>
              <w14:schemeClr w14:val="tx1"/>
            </w14:solidFill>
          </w14:textFill>
        </w:rPr>
      </w:pPr>
      <w:bookmarkStart w:id="3" w:name="_Toc235740020"/>
      <w:r>
        <w:rPr>
          <w:b/>
          <w:bCs/>
          <w:color w:val="000000" w:themeColor="text1"/>
          <w:sz w:val="24"/>
          <w:szCs w:val="24"/>
          <w14:textFill>
            <w14:solidFill>
              <w14:schemeClr w14:val="tx1"/>
            </w14:solidFill>
          </w14:textFill>
        </w:rPr>
        <w:t>The Natural Environment Actor</w:t>
      </w:r>
      <w:bookmarkEnd w:id="3"/>
    </w:p>
    <w:p w14:paraId="34B0714F">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The Natural Environment actor is the most relevant one today for Codelco. Chile's copper belt is located in the driest part of the world and the extraction of copper is highly vulnerable to water and energy scarcity in the context of climate change (Leiva González and Onederra, 2022). Chilean copper mines, even Codelco's own mines, have already had to shut down production processes during droughts, and this can have a direct impact on the continuity of operations and, consequently, on commercial continuity (Leiva González and Onederra, 2022). Meanwhile, the global mining and metals industry contributes about a quarter of the emissions of the world's largest corporations, which has put the sector on the regulatory, investor and community radar (Kotler et al., 2024, pp.115 to 117). Codelco has responded with a formal decarbonisation programme centred on six 2030 commitments, such as reducing scope 1 and 2 emissions by 70 per cent and emissions intensity of its scope 3 value chain by 25 per cent, as scope 3 emissions currently represent approximately 65 per cent of Codelco's total footprint. This is not just operational housekeeping, this is a signal to the market to reassure buyers, governments and capital providers that Codelco copper is ready to be part of a low carbon global economy. The natural environment also overlaps with the social licence to operate, since Andean glaciers and Indigenous water rights close to Codelco's divisions are still subject to legal uncertainty, and pending water and groundwater conflicts in northern Chile continue to pose a reputational risk for large scale mining projects (Flores Fernández and Alba, 2023). Most importantly, the natural environment is a constraint and a marketing opportunity for Codelco. Water and energy shortages increase production costs and reduce the supply's reliability, which negatively affects the firm's value proposition to its industrial customers who need reliable and continuous supply of refined copper.Water and energy shortages increase production costs and reduce the supply's reliability, which negatively affects the firm's value proposition to its industrial customers who need reliable and continuous supply of refined copper. But on the other hand, credible decarbonisation performance is becoming an important purchase criterion for automotive and renewable energy manufacturers, who are looking for low carbon inputs for their electric vehicles and grid infrastructure – a differentiation tool in a market where copper is otherwise largely undifferentiated (Bhandari, Ranta and Salo, 2022).</w:t>
      </w:r>
    </w:p>
    <w:p w14:paraId="646ACD0B">
      <w:pPr>
        <w:pStyle w:val="3"/>
        <w:spacing w:line="360" w:lineRule="auto"/>
        <w:jc w:val="both"/>
        <w:rPr>
          <w:color w:val="000000" w:themeColor="text1"/>
          <w:sz w:val="24"/>
          <w:szCs w:val="24"/>
          <w14:textFill>
            <w14:solidFill>
              <w14:schemeClr w14:val="tx1"/>
            </w14:solidFill>
          </w14:textFill>
        </w:rPr>
      </w:pPr>
      <w:bookmarkStart w:id="4" w:name="_Toc235740021"/>
      <w:r>
        <w:rPr>
          <w:b/>
          <w:bCs/>
          <w:color w:val="000000" w:themeColor="text1"/>
          <w:sz w:val="24"/>
          <w:szCs w:val="24"/>
          <w14:textFill>
            <w14:solidFill>
              <w14:schemeClr w14:val="tx1"/>
            </w14:solidFill>
          </w14:textFill>
        </w:rPr>
        <w:t>The Technological Environment Actor</w:t>
      </w:r>
      <w:bookmarkEnd w:id="4"/>
    </w:p>
    <w:p w14:paraId="0676FCC4">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The second actor, the Technological Environment, is tightly connected with the natural environment and plays a key role in the way in which Codelco can be credible in its efforts to minimize its footprint while maintaining competitiveness. The energy transition is expected to drive a significant increase in global demand for copper, as it is a key part of renewable energy generation, electricity networks and electric vehicles, and the metals and mining industry will need to innovate to keep up with this demand without a corresponding increase in emissions (Podobińska-Staniec et al., 2025). Codelco is testing the smelting technology with hydrogen that will reduce carbon emissions from smelters by up to 50 per cent by 2030, and it has extended long term contracts with renewable energy providers to ensure a fully clean electricity matrix in its divisions between 2026 and 2040. The company has also started electrifying personnel transport, with more than 250 electric buses already in use in its operating divisions; and it has created the first emissions calculator specifically for mining suppliers, thus adding pressure and support to the decarbonisation process beyond Codelco's own operations. These programmes are part of a wider trend of the industry, where green hydrogen and renewable electricity are emerging as key competitive parameters for decarbonising heavy industry, as seen in hydrogen powered green steelmaking (Devlin et al., 2023). But most importantly, these technologies involve execution risk for Codelco, as hydrogen smelting has not been commercialized at scale and renewable supply contracts rely on Chile's nascent grid system. The risk also exists of what the literature calls machinewashing or greenwashing: communicating technology and environmental claims more strongly than the way the technology is actually being operated implies, and which can erode the trust of stakeholders if targets are not met (Seele and Schultz, 2022; Szabo and Webster, 2021). Codelco's measurable, dated targets are a measure of protection against this risk, as academic studies have shown that disclosure of measurable, verifiable targets reduces the perception of greenwashing and the impact on brand attitudes and purchase intentions (Szabo and Webster, 2021).</w:t>
      </w:r>
    </w:p>
    <w:p w14:paraId="052DBC1D">
      <w:pPr>
        <w:spacing w:line="360" w:lineRule="auto"/>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4232910" cy="25393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7"/>
                    <a:srcRect/>
                    <a:stretch>
                      <a:fillRect/>
                    </a:stretch>
                  </pic:blipFill>
                  <pic:spPr>
                    <a:xfrm>
                      <a:off x="0" y="0"/>
                      <a:ext cx="4238032" cy="2542819"/>
                    </a:xfrm>
                    <a:prstGeom prst="rect">
                      <a:avLst/>
                    </a:prstGeom>
                  </pic:spPr>
                </pic:pic>
              </a:graphicData>
            </a:graphic>
          </wp:inline>
        </w:drawing>
      </w:r>
    </w:p>
    <w:p w14:paraId="1427D3FC">
      <w:pPr>
        <w:spacing w:line="360" w:lineRule="auto"/>
        <w:jc w:val="both"/>
        <w:rPr>
          <w:color w:val="000000" w:themeColor="text1"/>
          <w14:textFill>
            <w14:solidFill>
              <w14:schemeClr w14:val="tx1"/>
            </w14:solidFill>
          </w14:textFill>
        </w:rPr>
      </w:pPr>
      <w:r>
        <w:rPr>
          <w:i/>
          <w:iCs/>
          <w:color w:val="000000" w:themeColor="text1"/>
          <w14:textFill>
            <w14:solidFill>
              <w14:schemeClr w14:val="tx1"/>
            </w14:solidFill>
          </w14:textFill>
        </w:rPr>
        <w:t>Figure 1: Codelco's Key Decarbonisation Targets by 2030 (Source: Codelco corporate sustainability disclosures, as reported in International Mining, 2024 to 2025)</w:t>
      </w:r>
    </w:p>
    <w:p w14:paraId="597A6A08">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All the Natural and Technological Environment actors reinforce each other for Codelco. Decarbonisation is both urgent and legitimate because of the limitations of natural resources, and technologically feasible because of the opportunities for investment in decarbonisation. The two actors also illustrate why the analysis of the marketing environment cannot be separated from the other external factors, as these pressures, such as regulatory, ecological and technological, shape the environment in which Codelco competes for future contracts, with automotive, electronics and renewable energy customers increasingly including low carbon copper in their procurement requirements (Alessa et al., 2024).</w:t>
      </w:r>
    </w:p>
    <w:p w14:paraId="45292DD5">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155565" cy="4889500"/>
            <wp:effectExtent l="0" t="0" r="698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Lst>
                    </a:blip>
                    <a:srcRect t="7210" b="2025"/>
                    <a:stretch>
                      <a:fillRect/>
                    </a:stretch>
                  </pic:blipFill>
                  <pic:spPr>
                    <a:xfrm>
                      <a:off x="0" y="0"/>
                      <a:ext cx="5158649" cy="4892315"/>
                    </a:xfrm>
                    <a:prstGeom prst="rect">
                      <a:avLst/>
                    </a:prstGeom>
                    <a:ln>
                      <a:noFill/>
                    </a:ln>
                  </pic:spPr>
                </pic:pic>
              </a:graphicData>
            </a:graphic>
          </wp:inline>
        </w:drawing>
      </w:r>
    </w:p>
    <w:p w14:paraId="2CA0B9B9">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Figure 2: Competitive Positioning Framework.</w:t>
      </w:r>
    </w:p>
    <w:p w14:paraId="35AF8533">
      <w:pPr>
        <w:pStyle w:val="2"/>
        <w:spacing w:line="360" w:lineRule="auto"/>
        <w:jc w:val="both"/>
        <w:rPr>
          <w:color w:val="000000" w:themeColor="text1"/>
          <w:sz w:val="24"/>
          <w:szCs w:val="24"/>
          <w14:textFill>
            <w14:solidFill>
              <w14:schemeClr w14:val="tx1"/>
            </w14:solidFill>
          </w14:textFill>
        </w:rPr>
      </w:pPr>
      <w:bookmarkStart w:id="5" w:name="_Toc235740022"/>
      <w:r>
        <w:rPr>
          <w:b/>
          <w:bCs/>
          <w:color w:val="000000" w:themeColor="text1"/>
          <w:sz w:val="24"/>
          <w:szCs w:val="24"/>
          <w14:textFill>
            <w14:solidFill>
              <w14:schemeClr w14:val="tx1"/>
            </w14:solidFill>
          </w14:textFill>
        </w:rPr>
        <w:t>Task 2: Strategic Growth and Competitive Positioning</w:t>
      </w:r>
      <w:bookmarkEnd w:id="5"/>
    </w:p>
    <w:p w14:paraId="2995CAA6">
      <w:pPr>
        <w:pStyle w:val="3"/>
        <w:spacing w:line="360" w:lineRule="auto"/>
        <w:jc w:val="both"/>
        <w:rPr>
          <w:color w:val="000000" w:themeColor="text1"/>
          <w:sz w:val="24"/>
          <w:szCs w:val="24"/>
          <w14:textFill>
            <w14:solidFill>
              <w14:schemeClr w14:val="tx1"/>
            </w14:solidFill>
          </w14:textFill>
        </w:rPr>
      </w:pPr>
      <w:bookmarkStart w:id="6" w:name="_Toc235740023"/>
      <w:r>
        <w:rPr>
          <w:b/>
          <w:bCs/>
          <w:color w:val="000000" w:themeColor="text1"/>
          <w:sz w:val="24"/>
          <w:szCs w:val="24"/>
          <w14:textFill>
            <w14:solidFill>
              <w14:schemeClr w14:val="tx1"/>
            </w14:solidFill>
          </w14:textFill>
        </w:rPr>
        <w:t>Applying the Ansoff Matrix</w:t>
      </w:r>
      <w:bookmarkEnd w:id="6"/>
    </w:p>
    <w:p w14:paraId="09141154">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In the light of the environmental analysis presented above, this section suggests a strategic growth strategy for Codelco based on the Ansoff Matrix and how it can achieve competitive advantages during the shift towards a lower carbon business model.</w:t>
      </w:r>
    </w:p>
    <w:p w14:paraId="7AB8F48C">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The Ansoff Matrix is a growth matrix which categorizes growth options into four growth strategies: market penetration, market development, product development and diversification based on product and market dimensions. Market penetration (selling more of the product to existing customers) is the basic strategy of a long established bulk copper producer like Codelco, but penetration is not sufficient to solve the strategic issue identified in Task 1, which is that natural resource constraints and buyer expectations are changing the basis of competition from volume to verified environmental performance. A growth strategy focused on penetration would leave Codelco vulnerable to lower cost, higher emission competitors on price, and more visibly decarbonised competitors like BHP on sustainability credentials. A more defensible recommendation is a combination of product development and controlled diversification, with ongoing market development towards buyers who are specifically looking for low carbon inputs.</w:t>
      </w:r>
    </w:p>
    <w:p w14:paraId="32CDFBD0">
      <w:pPr>
        <w:pStyle w:val="3"/>
        <w:spacing w:line="360" w:lineRule="auto"/>
        <w:jc w:val="both"/>
        <w:rPr>
          <w:color w:val="000000" w:themeColor="text1"/>
          <w:sz w:val="24"/>
          <w:szCs w:val="24"/>
          <w14:textFill>
            <w14:solidFill>
              <w14:schemeClr w14:val="tx1"/>
            </w14:solidFill>
          </w14:textFill>
        </w:rPr>
      </w:pPr>
      <w:bookmarkStart w:id="7" w:name="_Toc235740024"/>
      <w:r>
        <w:rPr>
          <w:b/>
          <w:bCs/>
          <w:color w:val="000000" w:themeColor="text1"/>
          <w:sz w:val="24"/>
          <w:szCs w:val="24"/>
          <w14:textFill>
            <w14:solidFill>
              <w14:schemeClr w14:val="tx1"/>
            </w14:solidFill>
          </w14:textFill>
        </w:rPr>
        <w:t>Product Development and Diversification</w:t>
      </w:r>
      <w:bookmarkEnd w:id="7"/>
    </w:p>
    <w:p w14:paraId="7CD63E58">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Codelco should establish and qualify a separate and unique low carbon copper product line under product development, based on independent scope 1, 2 and 3 emissions criteria, and separate from standard grade cathode copper. This is not a cosmetic relabeling exercise, it is based on operational investments already discussed, such as hydrogen based smelting, a fully renewable electricity matrix and tracking emissions at the supplier level, using Codelco's own emissions calculator. As the pressure and disclosure requirements trickle down supply chains to primary producers, a certified low carbon product enables Codelco to generate a price premium from buyers in the electric vehicle, battery and renewable infrastructure industries who are also subject to their own scope 3 disclosure obligations that require verifiably clean inputs to comply with the requirements (Alessa et al., 2024; Adomako and Tran, 2022). Market development is about reaching new geographic and industrial buyer segments, including European and East Asian battery and vehicle manufacturers with more stringent carbon border and supply chain due diligence regulation than Codelco's existing customer base, and strengthening relationships with existing customers who are also decarbonising.</w:t>
      </w:r>
    </w:p>
    <w:p w14:paraId="5BD63145">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Controlled diversification is the more ambitious element of the recommendation. Codelco should diversify into copper recovery and circular economy services, recovering copper from historic operations, mining and metallurgical waste streams, and EoL products, both from its own historic operations and on a fee for service basis from third party's mining and metallurgical waste streams. It is a related diversification in the sense that it utilizes Codelco's existing metallurgical expertise and infrastructure, without having to enter an unfamiliar industry, and it fits into a broader transition in the minerals sector towards a circular economy business model, which reduces the reliance on virgin ore extraction and its related water and energy burden (Hagelüken and Goldmann, 2022; Makhathini, Bwapwa and Mtsweni, 2023). Diversification of this type also protects Codelco's income from the operational risks mentioned in Task 1, namely the risk of reducing the amount of primary extraction in the coming decades due to water and energy scarcity.</w:t>
      </w:r>
    </w:p>
    <w:p w14:paraId="566BE645">
      <w:pPr>
        <w:pStyle w:val="3"/>
        <w:spacing w:line="360" w:lineRule="auto"/>
        <w:jc w:val="both"/>
        <w:rPr>
          <w:color w:val="000000" w:themeColor="text1"/>
          <w:sz w:val="24"/>
          <w:szCs w:val="24"/>
          <w14:textFill>
            <w14:solidFill>
              <w14:schemeClr w14:val="tx1"/>
            </w14:solidFill>
          </w14:textFill>
        </w:rPr>
      </w:pPr>
      <w:bookmarkStart w:id="8" w:name="_Toc235740025"/>
      <w:r>
        <w:rPr>
          <w:b/>
          <w:bCs/>
          <w:color w:val="000000" w:themeColor="text1"/>
          <w:sz w:val="24"/>
          <w:szCs w:val="24"/>
          <w14:textFill>
            <w14:solidFill>
              <w14:schemeClr w14:val="tx1"/>
            </w14:solidFill>
          </w14:textFill>
        </w:rPr>
        <w:t>Securing Competitive Advantage</w:t>
      </w:r>
      <w:bookmarkEnd w:id="8"/>
    </w:p>
    <w:p w14:paraId="77541EA0">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In order to achieve competitive advantage in this growth path, Codelco must make a conscious decision between the two Porter's generic strategies: cost leadership and differentiation, as trying to do both at the same time can lead to strategic ambiguity, which can have a negative impact on the company's competitive performance, especially in the context of a state-owned company with complex governance and coordination mechanisms (Zhang et al., 2022). Cost leadership is not a convincing source of Codelco's advantage, as a state owned company in a water and energy limited market, it does not have the lowest extraction cost in the industry and desalination, renewable energy contracts and hydrogen pilots increase costs in the short term. Differentiation is the more coherent choice, based on verified low carbon product credentials, transparency in emissions disclosure and long term supply reliability for buyers who are also facing regulatory and stakeholder pressure to decarbonise their value chains. The resource based view of competitive advantage also supports the differentiation strategy as the sustainable advantage can be achieved through resources and capabilities that are valuable, rare and difficult to imitate, and makes ESG performance, as a resource, more central than a peripheral compliance cost (Bhandari, Ranta and Salo, 2022; Abbasi Kamardi et al., 2022).</w:t>
      </w:r>
    </w:p>
    <w:p w14:paraId="01139E07">
      <w:pPr>
        <w:spacing w:line="360" w:lineRule="auto"/>
        <w:jc w:val="both"/>
        <w:rPr>
          <w:color w:val="000000" w:themeColor="text1"/>
          <w14:textFill>
            <w14:solidFill>
              <w14:schemeClr w14:val="tx1"/>
            </w14:solidFill>
          </w14:textFill>
        </w:rPr>
      </w:pPr>
      <w:r>
        <w:rPr>
          <w:i/>
          <w:iCs/>
          <w:color w:val="000000" w:themeColor="text1"/>
          <w14:textFill>
            <w14:solidFill>
              <w14:schemeClr w14:val="tx1"/>
            </w14:solidFill>
          </w14:textFill>
        </w:rPr>
        <w:t>Table 1: Assessment of Porter's Generic Strategies for Codelco (Source: Author's own analysis, based on Zhang et al., 2022; Bhandari, Ranta and Salo, 2022)</w:t>
      </w:r>
    </w:p>
    <w:tbl>
      <w:tblPr>
        <w:tblStyle w:val="18"/>
        <w:tblW w:w="910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00"/>
        <w:gridCol w:w="2400"/>
        <w:gridCol w:w="4800"/>
      </w:tblGrid>
      <w:tr w14:paraId="342BAF7F">
        <w:tc>
          <w:tcPr>
            <w:tcW w:w="1900" w:type="dxa"/>
          </w:tcPr>
          <w:p w14:paraId="68A21AC7">
            <w:pPr>
              <w:jc w:val="both"/>
              <w:rPr>
                <w:color w:val="000000" w:themeColor="text1"/>
                <w14:textFill>
                  <w14:solidFill>
                    <w14:schemeClr w14:val="tx1"/>
                  </w14:solidFill>
                </w14:textFill>
              </w:rPr>
            </w:pPr>
            <w:r>
              <w:rPr>
                <w:b/>
                <w:bCs/>
                <w:color w:val="000000" w:themeColor="text1"/>
                <w14:textFill>
                  <w14:solidFill>
                    <w14:schemeClr w14:val="tx1"/>
                  </w14:solidFill>
                </w14:textFill>
              </w:rPr>
              <w:t>Generic Strategy</w:t>
            </w:r>
          </w:p>
        </w:tc>
        <w:tc>
          <w:tcPr>
            <w:tcW w:w="2400" w:type="dxa"/>
          </w:tcPr>
          <w:p w14:paraId="2DEA32E4">
            <w:pPr>
              <w:jc w:val="both"/>
              <w:rPr>
                <w:color w:val="000000" w:themeColor="text1"/>
                <w14:textFill>
                  <w14:solidFill>
                    <w14:schemeClr w14:val="tx1"/>
                  </w14:solidFill>
                </w14:textFill>
              </w:rPr>
            </w:pPr>
            <w:r>
              <w:rPr>
                <w:b/>
                <w:bCs/>
                <w:color w:val="000000" w:themeColor="text1"/>
                <w14:textFill>
                  <w14:solidFill>
                    <w14:schemeClr w14:val="tx1"/>
                  </w14:solidFill>
                </w14:textFill>
              </w:rPr>
              <w:t>Feasibility for Codelco</w:t>
            </w:r>
          </w:p>
        </w:tc>
        <w:tc>
          <w:tcPr>
            <w:tcW w:w="4800" w:type="dxa"/>
          </w:tcPr>
          <w:p w14:paraId="0CAF17AB">
            <w:pPr>
              <w:jc w:val="both"/>
              <w:rPr>
                <w:color w:val="000000" w:themeColor="text1"/>
                <w14:textFill>
                  <w14:solidFill>
                    <w14:schemeClr w14:val="tx1"/>
                  </w14:solidFill>
                </w14:textFill>
              </w:rPr>
            </w:pPr>
            <w:r>
              <w:rPr>
                <w:b/>
                <w:bCs/>
                <w:color w:val="000000" w:themeColor="text1"/>
                <w14:textFill>
                  <w14:solidFill>
                    <w14:schemeClr w14:val="tx1"/>
                  </w14:solidFill>
                </w14:textFill>
              </w:rPr>
              <w:t>Rationale</w:t>
            </w:r>
          </w:p>
        </w:tc>
      </w:tr>
      <w:tr w14:paraId="1267810A">
        <w:tc>
          <w:tcPr>
            <w:tcW w:w="1900" w:type="dxa"/>
          </w:tcPr>
          <w:p w14:paraId="0AF873B5">
            <w:pPr>
              <w:jc w:val="both"/>
              <w:rPr>
                <w:color w:val="000000" w:themeColor="text1"/>
                <w14:textFill>
                  <w14:solidFill>
                    <w14:schemeClr w14:val="tx1"/>
                  </w14:solidFill>
                </w14:textFill>
              </w:rPr>
            </w:pPr>
            <w:r>
              <w:rPr>
                <w:color w:val="000000" w:themeColor="text1"/>
                <w14:textFill>
                  <w14:solidFill>
                    <w14:schemeClr w14:val="tx1"/>
                  </w14:solidFill>
                </w14:textFill>
              </w:rPr>
              <w:t>Cost Leadership</w:t>
            </w:r>
          </w:p>
        </w:tc>
        <w:tc>
          <w:tcPr>
            <w:tcW w:w="2400" w:type="dxa"/>
          </w:tcPr>
          <w:p w14:paraId="787B8EB0">
            <w:pPr>
              <w:jc w:val="both"/>
              <w:rPr>
                <w:color w:val="000000" w:themeColor="text1"/>
                <w14:textFill>
                  <w14:solidFill>
                    <w14:schemeClr w14:val="tx1"/>
                  </w14:solidFill>
                </w14:textFill>
              </w:rPr>
            </w:pPr>
            <w:r>
              <w:rPr>
                <w:color w:val="000000" w:themeColor="text1"/>
                <w14:textFill>
                  <w14:solidFill>
                    <w14:schemeClr w14:val="tx1"/>
                  </w14:solidFill>
                </w14:textFill>
              </w:rPr>
              <w:t>Not recommended</w:t>
            </w:r>
          </w:p>
        </w:tc>
        <w:tc>
          <w:tcPr>
            <w:tcW w:w="4800" w:type="dxa"/>
          </w:tcPr>
          <w:p w14:paraId="371DEF06">
            <w:pPr>
              <w:jc w:val="both"/>
              <w:rPr>
                <w:color w:val="000000" w:themeColor="text1"/>
                <w14:textFill>
                  <w14:solidFill>
                    <w14:schemeClr w14:val="tx1"/>
                  </w14:solidFill>
                </w14:textFill>
              </w:rPr>
            </w:pPr>
            <w:r>
              <w:rPr>
                <w:color w:val="000000" w:themeColor="text1"/>
                <w14:textFill>
                  <w14:solidFill>
                    <w14:schemeClr w14:val="tx1"/>
                  </w14:solidFill>
                </w14:textFill>
              </w:rPr>
              <w:t>As a state owned producer in a water and energy constrained environment, Codelco cannot match the extraction costs of leaner private competitors, and desalination, renewable contracts and hydrogen pilots add cost in the near term rather than reducing it</w:t>
            </w:r>
          </w:p>
        </w:tc>
      </w:tr>
      <w:tr w14:paraId="77607038">
        <w:tc>
          <w:tcPr>
            <w:tcW w:w="1900" w:type="dxa"/>
          </w:tcPr>
          <w:p w14:paraId="27CE1787">
            <w:pPr>
              <w:jc w:val="both"/>
              <w:rPr>
                <w:color w:val="000000" w:themeColor="text1"/>
                <w14:textFill>
                  <w14:solidFill>
                    <w14:schemeClr w14:val="tx1"/>
                  </w14:solidFill>
                </w14:textFill>
              </w:rPr>
            </w:pPr>
            <w:r>
              <w:rPr>
                <w:color w:val="000000" w:themeColor="text1"/>
                <w14:textFill>
                  <w14:solidFill>
                    <w14:schemeClr w14:val="tx1"/>
                  </w14:solidFill>
                </w14:textFill>
              </w:rPr>
              <w:t>Differentiation</w:t>
            </w:r>
          </w:p>
        </w:tc>
        <w:tc>
          <w:tcPr>
            <w:tcW w:w="2400" w:type="dxa"/>
          </w:tcPr>
          <w:p w14:paraId="2869670B">
            <w:pPr>
              <w:jc w:val="both"/>
              <w:rPr>
                <w:color w:val="000000" w:themeColor="text1"/>
                <w14:textFill>
                  <w14:solidFill>
                    <w14:schemeClr w14:val="tx1"/>
                  </w14:solidFill>
                </w14:textFill>
              </w:rPr>
            </w:pPr>
            <w:r>
              <w:rPr>
                <w:color w:val="000000" w:themeColor="text1"/>
                <w14:textFill>
                  <w14:solidFill>
                    <w14:schemeClr w14:val="tx1"/>
                  </w14:solidFill>
                </w14:textFill>
              </w:rPr>
              <w:t>Recommended</w:t>
            </w:r>
          </w:p>
        </w:tc>
        <w:tc>
          <w:tcPr>
            <w:tcW w:w="4800" w:type="dxa"/>
          </w:tcPr>
          <w:p w14:paraId="6EA2D208">
            <w:pPr>
              <w:jc w:val="both"/>
              <w:rPr>
                <w:color w:val="000000" w:themeColor="text1"/>
                <w14:textFill>
                  <w14:solidFill>
                    <w14:schemeClr w14:val="tx1"/>
                  </w14:solidFill>
                </w14:textFill>
              </w:rPr>
            </w:pPr>
            <w:r>
              <w:rPr>
                <w:color w:val="000000" w:themeColor="text1"/>
                <w14:textFill>
                  <w14:solidFill>
                    <w14:schemeClr w14:val="tx1"/>
                  </w14:solidFill>
                </w14:textFill>
              </w:rPr>
              <w:t>Verified low carbon copper credentials, transparent emissions disclosure and reliable long term supply create a defensible basis for a price premium among buyers who are themselves under stakeholder pressure to decarbonize</w:t>
            </w:r>
          </w:p>
        </w:tc>
      </w:tr>
      <w:tr w14:paraId="3772BD2F">
        <w:tc>
          <w:tcPr>
            <w:tcW w:w="1900" w:type="dxa"/>
          </w:tcPr>
          <w:p w14:paraId="49BE032A">
            <w:pPr>
              <w:jc w:val="both"/>
              <w:rPr>
                <w:color w:val="000000" w:themeColor="text1"/>
                <w14:textFill>
                  <w14:solidFill>
                    <w14:schemeClr w14:val="tx1"/>
                  </w14:solidFill>
                </w14:textFill>
              </w:rPr>
            </w:pPr>
            <w:r>
              <w:rPr>
                <w:color w:val="000000" w:themeColor="text1"/>
                <w14:textFill>
                  <w14:solidFill>
                    <w14:schemeClr w14:val="tx1"/>
                  </w14:solidFill>
                </w14:textFill>
              </w:rPr>
              <w:t>Focus (Niche)</w:t>
            </w:r>
          </w:p>
        </w:tc>
        <w:tc>
          <w:tcPr>
            <w:tcW w:w="2400" w:type="dxa"/>
          </w:tcPr>
          <w:p w14:paraId="198C2E9D">
            <w:pPr>
              <w:jc w:val="both"/>
              <w:rPr>
                <w:color w:val="000000" w:themeColor="text1"/>
                <w14:textFill>
                  <w14:solidFill>
                    <w14:schemeClr w14:val="tx1"/>
                  </w14:solidFill>
                </w14:textFill>
              </w:rPr>
            </w:pPr>
            <w:r>
              <w:rPr>
                <w:color w:val="000000" w:themeColor="text1"/>
                <w14:textFill>
                  <w14:solidFill>
                    <w14:schemeClr w14:val="tx1"/>
                  </w14:solidFill>
                </w14:textFill>
              </w:rPr>
              <w:t>Limited applicability</w:t>
            </w:r>
          </w:p>
        </w:tc>
        <w:tc>
          <w:tcPr>
            <w:tcW w:w="4800" w:type="dxa"/>
          </w:tcPr>
          <w:p w14:paraId="31E4F409">
            <w:pPr>
              <w:jc w:val="both"/>
              <w:rPr>
                <w:color w:val="000000" w:themeColor="text1"/>
                <w14:textFill>
                  <w14:solidFill>
                    <w14:schemeClr w14:val="tx1"/>
                  </w14:solidFill>
                </w14:textFill>
              </w:rPr>
            </w:pPr>
            <w:r>
              <w:rPr>
                <w:color w:val="000000" w:themeColor="text1"/>
                <w14:textFill>
                  <w14:solidFill>
                    <w14:schemeClr w14:val="tx1"/>
                  </w14:solidFill>
                </w14:textFill>
              </w:rPr>
              <w:t>Codelco's bulk scale production and broad, diversified buyer base make a narrowly targeted niche strategy commercially unattractive relative to a broad differentiation approach</w:t>
            </w:r>
          </w:p>
        </w:tc>
      </w:tr>
    </w:tbl>
    <w:p w14:paraId="35F50F2D">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Execution risk should, however, be recognised. Global certification and traceability systems for low carbon copper are still in their infancy, hydrogen smelting has yet to be proven at a commercial scale, and premium pricing for green copper is contingent on the willingness of buyers, which can diminish during economic slowdowns or periods of copper oversupply. There is also a credibility risk if operational delivery falls short of Codelco's public promises, as over-optimistic or unfulfilled environmental claims can lead to greenwashing and machinewashing criticisms referred to in Task 1, which can harm the differentiation advantage that the strategy aims to achieve (Seele and Schultz, 2022). Codelco should therefore carefully plan its diversification strategy, focusing on those divisions and technologies that are most likely to be feasible in the near term, and continue to set measurable and externally verifiable targets, instead of marketing claims, so that its diversification strategy remains firmly grounded in demonstrable operational performance and not in marketing rhetoric.</w:t>
      </w:r>
    </w:p>
    <w:p w14:paraId="4F8912EF">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To conclude, the combined product development, market development and diversification strategy, supported by a differentiation instead of a cost leadership strategy, is the most defensible route to a competitive advantage for Codelco in the transition to a lower carbon business model.</w:t>
      </w:r>
    </w:p>
    <w:p w14:paraId="07072DCF">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184140" cy="3549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cstate="print">
                      <a:extLst>
                        <a:ext uri="{28A0092B-C50C-407E-A947-70E740481C1C}">
                          <a14:useLocalDpi xmlns:a14="http://schemas.microsoft.com/office/drawing/2010/main" val="0"/>
                        </a:ext>
                      </a:extLst>
                    </a:blip>
                    <a:srcRect t="5538" b="8902"/>
                    <a:stretch>
                      <a:fillRect/>
                    </a:stretch>
                  </pic:blipFill>
                  <pic:spPr>
                    <a:xfrm>
                      <a:off x="0" y="0"/>
                      <a:ext cx="5189552" cy="3553228"/>
                    </a:xfrm>
                    <a:prstGeom prst="rect">
                      <a:avLst/>
                    </a:prstGeom>
                    <a:ln>
                      <a:noFill/>
                    </a:ln>
                  </pic:spPr>
                </pic:pic>
              </a:graphicData>
            </a:graphic>
          </wp:inline>
        </w:drawing>
      </w:r>
    </w:p>
    <w:p w14:paraId="7F773C4B">
      <w:pPr>
        <w:spacing w:line="360" w:lineRule="auto"/>
        <w:jc w:val="both"/>
        <w:rPr>
          <w:color w:val="000000" w:themeColor="text1"/>
          <w14:textFill>
            <w14:solidFill>
              <w14:schemeClr w14:val="tx1"/>
            </w14:solidFill>
          </w14:textFill>
        </w:rPr>
      </w:pPr>
      <w:r>
        <w:rPr>
          <w:i/>
          <w:iCs/>
          <w:color w:val="000000" w:themeColor="text1"/>
          <w14:textFill>
            <w14:solidFill>
              <w14:schemeClr w14:val="tx1"/>
            </w14:solidFill>
          </w14:textFill>
        </w:rPr>
        <w:t>Figure 3: Ansoff Matrix Applied to Codelco's Growth Strategy (Source: Author)</w:t>
      </w:r>
    </w:p>
    <w:p w14:paraId="1C51148A">
      <w:pPr>
        <w:pStyle w:val="2"/>
        <w:spacing w:line="360" w:lineRule="auto"/>
        <w:jc w:val="both"/>
        <w:rPr>
          <w:color w:val="000000" w:themeColor="text1"/>
          <w:sz w:val="24"/>
          <w:szCs w:val="24"/>
          <w14:textFill>
            <w14:solidFill>
              <w14:schemeClr w14:val="tx1"/>
            </w14:solidFill>
          </w14:textFill>
        </w:rPr>
      </w:pPr>
      <w:bookmarkStart w:id="9" w:name="_Toc235740026"/>
      <w:r>
        <w:rPr>
          <w:b/>
          <w:bCs/>
          <w:color w:val="000000" w:themeColor="text1"/>
          <w:sz w:val="24"/>
          <w:szCs w:val="24"/>
          <w14:textFill>
            <w14:solidFill>
              <w14:schemeClr w14:val="tx1"/>
            </w14:solidFill>
          </w14:textFill>
        </w:rPr>
        <w:t>Conclusion</w:t>
      </w:r>
      <w:bookmarkEnd w:id="9"/>
    </w:p>
    <w:p w14:paraId="28150011">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Codelco's shift to lower carbon copper illustrates the interplay of natural and technological environment pressures in shaping the competitive landscape of mining. The differentiated, verifiably low carbon product, with associated diversification into copper recovery, is a defensible path for Codelco to achieve sustained competitive advantage, if it delivers the operations to match its public commitments without provoking criticism of greenwashing.</w:t>
      </w:r>
    </w:p>
    <w:p w14:paraId="4EB42A6C">
      <w:pPr>
        <w:spacing w:line="360" w:lineRule="auto"/>
        <w:jc w:val="both"/>
        <w:rPr>
          <w:color w:val="000000" w:themeColor="text1"/>
          <w14:textFill>
            <w14:solidFill>
              <w14:schemeClr w14:val="tx1"/>
            </w14:solidFill>
          </w14:textFill>
        </w:rPr>
      </w:pPr>
    </w:p>
    <w:p w14:paraId="71F3F6DA">
      <w:pPr>
        <w:pStyle w:val="2"/>
        <w:spacing w:line="360" w:lineRule="auto"/>
        <w:jc w:val="both"/>
        <w:rPr>
          <w:color w:val="000000" w:themeColor="text1"/>
          <w:sz w:val="24"/>
          <w:szCs w:val="24"/>
          <w14:textFill>
            <w14:solidFill>
              <w14:schemeClr w14:val="tx1"/>
            </w14:solidFill>
          </w14:textFill>
        </w:rPr>
      </w:pPr>
      <w:bookmarkStart w:id="10" w:name="_Toc235740027"/>
      <w:r>
        <w:rPr>
          <w:b/>
          <w:bCs/>
          <w:color w:val="000000" w:themeColor="text1"/>
          <w:sz w:val="24"/>
          <w:szCs w:val="24"/>
          <w14:textFill>
            <w14:solidFill>
              <w14:schemeClr w14:val="tx1"/>
            </w14:solidFill>
          </w14:textFill>
        </w:rPr>
        <w:t>Task 3: Critical Reflection on AI Usage</w:t>
      </w:r>
      <w:bookmarkEnd w:id="10"/>
    </w:p>
    <w:p w14:paraId="67311E91">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As part of the AI use acknowledgement for this module, artificial intelligence was applied in a limited and clearly bounded way in the preparation of this report, and the analysis, structure and argument is my own original work.</w:t>
      </w:r>
    </w:p>
    <w:p w14:paraId="6178DD37">
      <w:pPr>
        <w:spacing w:line="360" w:lineRule="auto"/>
        <w:jc w:val="both"/>
        <w:rPr>
          <w:color w:val="000000" w:themeColor="text1"/>
          <w14:textFill>
            <w14:solidFill>
              <w14:schemeClr w14:val="tx1"/>
            </w14:solidFill>
          </w14:textFill>
        </w:rPr>
      </w:pPr>
      <w:r>
        <w:rPr>
          <w:b/>
          <w:bCs/>
          <w:color w:val="000000" w:themeColor="text1"/>
          <w14:textFill>
            <w14:solidFill>
              <w14:schemeClr w14:val="tx1"/>
            </w14:solidFill>
          </w14:textFill>
        </w:rPr>
        <w:t xml:space="preserve">Tool Disclosure. </w:t>
      </w:r>
    </w:p>
    <w:p w14:paraId="426940A2">
      <w:pPr>
        <w:spacing w:line="360" w:lineRule="auto"/>
        <w:jc w:val="both"/>
        <w:rPr>
          <w:color w:val="000000" w:themeColor="text1"/>
          <w14:textFill>
            <w14:solidFill>
              <w14:schemeClr w14:val="tx1"/>
            </w14:solidFill>
          </w14:textFill>
        </w:rPr>
      </w:pPr>
      <w:r>
        <w:rPr>
          <w:color w:val="000000" w:themeColor="text1"/>
          <w14:textFill>
            <w14:solidFill>
              <w14:schemeClr w14:val="tx1"/>
            </w14:solidFill>
          </w14:textFill>
        </w:rPr>
        <w:t>I had a Claude AI assistant help me with two tasks. First, it did an initial literature search to help me find the academic sources that I would read, evaluate and choose for candidate academic sources regarding marketing environment analysis, mining decarbonisation, the Ansoff Matrix and green marketing. Second, it proofread my proofreading draft for spelling, grammar and clarity when the analysis and argument had already been written. The critical analysis, the selection of the frameworks, the recommendations and the overall structure of Tasks 1 and 2 were all created by me and not by the AI.</w:t>
      </w:r>
    </w:p>
    <w:p w14:paraId="17DF404B">
      <w:pPr>
        <w:spacing w:line="360" w:lineRule="auto"/>
        <w:jc w:val="both"/>
        <w:rPr>
          <w:color w:val="000000" w:themeColor="text1"/>
          <w14:textFill>
            <w14:solidFill>
              <w14:schemeClr w14:val="tx1"/>
            </w14:solidFill>
          </w14:textFill>
        </w:rPr>
      </w:pPr>
      <w:r>
        <w:rPr>
          <w:b/>
          <w:bCs/>
          <w:color w:val="000000" w:themeColor="text1"/>
          <w14:textFill>
            <w14:solidFill>
              <w14:schemeClr w14:val="tx1"/>
            </w14:solidFill>
          </w14:textFill>
        </w:rPr>
        <w:t xml:space="preserve">Critical Evaluation of AI Output. </w:t>
      </w:r>
      <w:r>
        <w:rPr>
          <w:color w:val="000000" w:themeColor="text1"/>
          <w14:textFill>
            <w14:solidFill>
              <w14:schemeClr w14:val="tx1"/>
            </w14:solidFill>
          </w14:textFill>
        </w:rPr>
        <w:t>The primary verification risk was with sourced literature, since the AI's task was only to help with the search and proofreading of the argument. Before adding any source to my reference list, I checked each reference that the AI found against the original record in the publisher, using the Crossref database to confirm names of authors, journal titles, volume and page numbers, publication years and DOIs. Sources that could not be verified against a real DOI were not included, but were discarded. I followed the AI's advice when it wanted to change the wording, but I checked the meaning of what it had written against what I had meant to see if it was appropriate; I did not accept any advice to rearrange the emphasis of my argument. In the final draft, I was not able to find any statistics that were made up or any citations that were invented; the material that was not verifiable was removed during the search phase.</w:t>
      </w:r>
    </w:p>
    <w:p w14:paraId="1E0458BB">
      <w:pPr>
        <w:spacing w:line="360" w:lineRule="auto"/>
        <w:jc w:val="both"/>
        <w:rPr>
          <w:color w:val="000000" w:themeColor="text1"/>
          <w14:textFill>
            <w14:solidFill>
              <w14:schemeClr w14:val="tx1"/>
            </w14:solidFill>
          </w14:textFill>
        </w:rPr>
      </w:pPr>
      <w:r>
        <w:rPr>
          <w:b/>
          <w:bCs/>
          <w:color w:val="000000" w:themeColor="text1"/>
          <w14:textFill>
            <w14:solidFill>
              <w14:schemeClr w14:val="tx1"/>
            </w14:solidFill>
          </w14:textFill>
        </w:rPr>
        <w:t xml:space="preserve">Contribution Analysis. </w:t>
      </w:r>
      <w:r>
        <w:rPr>
          <w:color w:val="000000" w:themeColor="text1"/>
          <w14:textFill>
            <w14:solidFill>
              <w14:schemeClr w14:val="tx1"/>
            </w14:solidFill>
          </w14:textFill>
        </w:rPr>
        <w:t>My own contribution consists of the complete analysis of the Natural Environment and Technological Environment actors, the selection and justification of the Ansoff Matrix strategy, the use of the Porter's generic strategies and the resource based view to the competitive position of Codelco, the identification of execution and greenwashing risks, and the structure, argument and conclusions of Tasks 1 and 2. The AI's contribution was limited to just identifying potential sources for me to review and proofread the grammar and spelling of sentences. The AI did not write any paragraph of critical analysis.</w:t>
      </w:r>
    </w:p>
    <w:p w14:paraId="20C4E173">
      <w:pPr>
        <w:spacing w:line="360" w:lineRule="auto"/>
        <w:jc w:val="both"/>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Ethical and Professional Reflection. </w:t>
      </w:r>
      <w:r>
        <w:rPr>
          <w:color w:val="000000" w:themeColor="text1"/>
          <w14:textFill>
            <w14:solidFill>
              <w14:schemeClr w14:val="tx1"/>
            </w14:solidFill>
          </w14:textFill>
        </w:rPr>
        <w:t>The narrow use of AI for search and proofreading, combined with a strong personal commitment to analysis and argument, is an ethically sound application of the technology in the context of academic marketing. The primary ethical concern with the use of AI for marketing analysis is the potential for the creation of unverifiable claims that may lead to the inclusion of inaccurate market or company data in decisions made by the marketing team. I wanted to maintain the integrity of the academic environment and the authenticity of my own thinking, so I limited the use of AI to search and proofreading, and personally checked every source against a primary source. This further confirmed my opinion that AI should serve as a research tool, not a co-author, in professional marketing practice because the ramifications of using unverified AI-driven statements regarding a company's environmental impact could be serious.</w:t>
      </w:r>
    </w:p>
    <w:p w14:paraId="4B2A81CD"/>
    <w:p w14:paraId="201DE6DC"/>
    <w:p w14:paraId="0CB6C846"/>
    <w:p w14:paraId="0EBB6F40"/>
    <w:p w14:paraId="039D91AD"/>
    <w:p w14:paraId="52A09B0D"/>
    <w:p w14:paraId="4B509E85"/>
    <w:p w14:paraId="5FFBE8D5"/>
    <w:p w14:paraId="0CB13261"/>
    <w:p w14:paraId="72E47127"/>
    <w:p w14:paraId="705B5519"/>
    <w:p w14:paraId="5DE12087"/>
    <w:p w14:paraId="5E847549"/>
    <w:p w14:paraId="498EE642"/>
    <w:p w14:paraId="2C958E1D"/>
    <w:p w14:paraId="74BE9F87"/>
    <w:p w14:paraId="07A63265"/>
    <w:p w14:paraId="78C2ABEC"/>
    <w:p w14:paraId="2C39810E"/>
    <w:p w14:paraId="0C30DA96"/>
    <w:p w14:paraId="38C28318">
      <w:pPr>
        <w:pStyle w:val="2"/>
        <w:spacing w:line="360" w:lineRule="auto"/>
        <w:jc w:val="both"/>
        <w:rPr>
          <w:color w:val="000000" w:themeColor="text1"/>
          <w:sz w:val="24"/>
          <w:szCs w:val="24"/>
          <w14:textFill>
            <w14:solidFill>
              <w14:schemeClr w14:val="tx1"/>
            </w14:solidFill>
          </w14:textFill>
        </w:rPr>
      </w:pPr>
      <w:bookmarkStart w:id="11" w:name="_Toc235740028"/>
      <w:r>
        <w:rPr>
          <w:b/>
          <w:bCs/>
          <w:color w:val="000000" w:themeColor="text1"/>
          <w:sz w:val="24"/>
          <w:szCs w:val="24"/>
          <w14:textFill>
            <w14:solidFill>
              <w14:schemeClr w14:val="tx1"/>
            </w14:solidFill>
          </w14:textFill>
        </w:rPr>
        <w:t>References</w:t>
      </w:r>
      <w:bookmarkEnd w:id="11"/>
    </w:p>
    <w:p w14:paraId="4FECC2BF">
      <w:pPr>
        <w:spacing w:line="360" w:lineRule="auto"/>
        <w:ind w:left="720" w:hanging="720"/>
        <w:jc w:val="both"/>
      </w:pPr>
      <w:r>
        <w:t xml:space="preserve">Abbasi Kamardi, A., Amoozad Mahdiraji, H., Masoumi, S. and Jafari-Sadeghi, V. (2022) 'Developing sustainable competitive advantages from the lens of resource based view: evidence from IT sector of an emerging economy', Journal of Strategic Marketing, 33(6), pp.775-797. doi: </w:t>
      </w:r>
      <w:r>
        <w:fldChar w:fldCharType="begin"/>
      </w:r>
      <w:r>
        <w:instrText xml:space="preserve"> HYPERLINK "https://doi.org/10.1080/0965254X.2022.2160485" </w:instrText>
      </w:r>
      <w:r>
        <w:fldChar w:fldCharType="separate"/>
      </w:r>
      <w:r>
        <w:rPr>
          <w:rStyle w:val="16"/>
        </w:rPr>
        <w:t>https://doi.org/10.1080/0965254X.2022.2160485</w:t>
      </w:r>
      <w:r>
        <w:rPr>
          <w:rStyle w:val="16"/>
        </w:rPr>
        <w:fldChar w:fldCharType="end"/>
      </w:r>
    </w:p>
    <w:p w14:paraId="5F14341D">
      <w:pPr>
        <w:spacing w:line="360" w:lineRule="auto"/>
        <w:ind w:left="720" w:hanging="720"/>
        <w:jc w:val="both"/>
      </w:pPr>
      <w:r>
        <w:t xml:space="preserve">Adomako, S. and Tran, M.D. (2022) 'Stakeholder management, CSR commitment, corporate social performance: the moderating role of uncertainty in CSR regulation', Corporate Social Responsibility and Environmental Management, 29(5), pp.1414-1423. doi: </w:t>
      </w:r>
      <w:r>
        <w:fldChar w:fldCharType="begin"/>
      </w:r>
      <w:r>
        <w:instrText xml:space="preserve"> HYPERLINK "https://doi.org/10.1002/csr.2278" </w:instrText>
      </w:r>
      <w:r>
        <w:fldChar w:fldCharType="separate"/>
      </w:r>
      <w:r>
        <w:rPr>
          <w:rStyle w:val="16"/>
        </w:rPr>
        <w:t>https://doi.org/10.1002/csr.2278</w:t>
      </w:r>
      <w:r>
        <w:rPr>
          <w:rStyle w:val="16"/>
        </w:rPr>
        <w:fldChar w:fldCharType="end"/>
      </w:r>
    </w:p>
    <w:p w14:paraId="3E929DB2">
      <w:pPr>
        <w:spacing w:line="360" w:lineRule="auto"/>
        <w:ind w:left="720" w:hanging="720"/>
        <w:jc w:val="both"/>
      </w:pPr>
      <w:r>
        <w:t xml:space="preserve">Alessa, N., Akparep, J.Y., Sulemana, I. and Agyemang, A.O. (2024) 'Does stakeholder pressure influence firms environmental, social and governance (ESG) disclosure? Evidence from Ghana', Cogent Business &amp; Management, 11(1), 2303790. doi: </w:t>
      </w:r>
      <w:r>
        <w:fldChar w:fldCharType="begin"/>
      </w:r>
      <w:r>
        <w:instrText xml:space="preserve"> HYPERLINK "https://doi.org/10.1080/23311975.2024.2303790" </w:instrText>
      </w:r>
      <w:r>
        <w:fldChar w:fldCharType="separate"/>
      </w:r>
      <w:r>
        <w:rPr>
          <w:rStyle w:val="16"/>
        </w:rPr>
        <w:t>https://doi.org/10.1080/23311975.2024.2303790</w:t>
      </w:r>
      <w:r>
        <w:rPr>
          <w:rStyle w:val="16"/>
        </w:rPr>
        <w:fldChar w:fldCharType="end"/>
      </w:r>
    </w:p>
    <w:p w14:paraId="19B8786E">
      <w:pPr>
        <w:spacing w:line="360" w:lineRule="auto"/>
        <w:ind w:left="720" w:hanging="720"/>
        <w:jc w:val="both"/>
      </w:pPr>
      <w:r>
        <w:t xml:space="preserve">Bhandari, K.R., Ranta, M. and Salo, J. (2022) 'The resource based view, stakeholder capitalism, ESG, and sustainable competitive advantage: the firm's embeddedness into ecology, society, and governance', Business Strategy and the Environment, 31(4), pp.1525-1537. doi: </w:t>
      </w:r>
      <w:r>
        <w:fldChar w:fldCharType="begin"/>
      </w:r>
      <w:r>
        <w:instrText xml:space="preserve"> HYPERLINK "https://doi.org/10.1002/bse.2967" </w:instrText>
      </w:r>
      <w:r>
        <w:fldChar w:fldCharType="separate"/>
      </w:r>
      <w:r>
        <w:rPr>
          <w:rStyle w:val="16"/>
        </w:rPr>
        <w:t>https://doi.org/10.1002/bse.2967</w:t>
      </w:r>
      <w:r>
        <w:rPr>
          <w:rStyle w:val="16"/>
        </w:rPr>
        <w:fldChar w:fldCharType="end"/>
      </w:r>
    </w:p>
    <w:p w14:paraId="5E203474">
      <w:pPr>
        <w:spacing w:line="360" w:lineRule="auto"/>
        <w:ind w:left="720" w:hanging="720"/>
        <w:jc w:val="both"/>
      </w:pPr>
      <w:r>
        <w:t xml:space="preserve">Bittle, K. and El Gayar, O. (2025) 'Generative AI and academic integrity in higher education: a systematic review and research agenda', Information, 16(4), 296. doi: </w:t>
      </w:r>
      <w:r>
        <w:fldChar w:fldCharType="begin"/>
      </w:r>
      <w:r>
        <w:instrText xml:space="preserve"> HYPERLINK "https://doi.org/10.3390/info16040296" </w:instrText>
      </w:r>
      <w:r>
        <w:fldChar w:fldCharType="separate"/>
      </w:r>
      <w:r>
        <w:rPr>
          <w:rStyle w:val="16"/>
        </w:rPr>
        <w:t>https://doi.org/10.3390/info16040296</w:t>
      </w:r>
      <w:r>
        <w:rPr>
          <w:rStyle w:val="16"/>
        </w:rPr>
        <w:fldChar w:fldCharType="end"/>
      </w:r>
    </w:p>
    <w:p w14:paraId="549648D2">
      <w:pPr>
        <w:spacing w:line="360" w:lineRule="auto"/>
        <w:ind w:left="720" w:hanging="720"/>
        <w:jc w:val="both"/>
      </w:pPr>
      <w:r>
        <w:t xml:space="preserve">Cambra Fierro, J., Gao, L.X., López Pérez, M.E. and Melero Polo, I. (2022) 'How do macro environmental factors impact customer experience? A refined typology, integrative framework, and implications', The Service Industries Journal, 42(9 to 10), pp.653-687. doi: </w:t>
      </w:r>
      <w:r>
        <w:fldChar w:fldCharType="begin"/>
      </w:r>
      <w:r>
        <w:instrText xml:space="preserve"> HYPERLINK "https://doi.org/10.1080/02642069.2022.2070613" </w:instrText>
      </w:r>
      <w:r>
        <w:fldChar w:fldCharType="separate"/>
      </w:r>
      <w:r>
        <w:rPr>
          <w:rStyle w:val="16"/>
        </w:rPr>
        <w:t>https://doi.org/10.1080/02642069.2022.2070613</w:t>
      </w:r>
      <w:r>
        <w:rPr>
          <w:rStyle w:val="16"/>
        </w:rPr>
        <w:fldChar w:fldCharType="end"/>
      </w:r>
    </w:p>
    <w:p w14:paraId="42796447">
      <w:pPr>
        <w:spacing w:line="360" w:lineRule="auto"/>
        <w:ind w:left="720" w:hanging="720"/>
        <w:jc w:val="both"/>
      </w:pPr>
      <w:r>
        <w:t xml:space="preserve">Cimprich, A., Young, S.B., Schrijvers, D., Ku, A.Y., Hagelüken, C., Christmann, P., Eggert, R., Habib, K., Hirohata, A., Hurd, A.J., Lee, M.H., Peck, D., Petavratzi, E., Tercero Espinoza, L.A., Wäger, P. and Hool, A. (2023) 'The role of industrial actors in the circular economy for critical raw materials: a framework with case studies across a range of industries', Mineral Economics, 36(2), pp.301-319. doi: </w:t>
      </w:r>
      <w:r>
        <w:fldChar w:fldCharType="begin"/>
      </w:r>
      <w:r>
        <w:instrText xml:space="preserve"> HYPERLINK "https://doi.org/10.1007/s13563-022-00304-8" </w:instrText>
      </w:r>
      <w:r>
        <w:fldChar w:fldCharType="separate"/>
      </w:r>
      <w:r>
        <w:rPr>
          <w:rStyle w:val="16"/>
        </w:rPr>
        <w:t>https://doi.org/10.1007/s13563-022-00304-8</w:t>
      </w:r>
      <w:r>
        <w:rPr>
          <w:rStyle w:val="16"/>
        </w:rPr>
        <w:fldChar w:fldCharType="end"/>
      </w:r>
    </w:p>
    <w:p w14:paraId="5215B037">
      <w:pPr>
        <w:spacing w:line="360" w:lineRule="auto"/>
        <w:ind w:left="720" w:hanging="720"/>
        <w:jc w:val="both"/>
      </w:pPr>
      <w:r>
        <w:t xml:space="preserve">Chege, S.M. and Wang, D. (2020) 'The influence of technology innovation on SME performance through environmental sustainability practices in Kenya', Technology in Society, 60, 101210. doi: </w:t>
      </w:r>
      <w:r>
        <w:fldChar w:fldCharType="begin"/>
      </w:r>
      <w:r>
        <w:instrText xml:space="preserve"> HYPERLINK "https://doi.org/10.1016/j.techsoc.2019.101210" </w:instrText>
      </w:r>
      <w:r>
        <w:fldChar w:fldCharType="separate"/>
      </w:r>
      <w:r>
        <w:rPr>
          <w:rStyle w:val="16"/>
        </w:rPr>
        <w:t>https://doi.org/10.1016/j.techsoc.2019.101210</w:t>
      </w:r>
      <w:r>
        <w:rPr>
          <w:rStyle w:val="16"/>
        </w:rPr>
        <w:fldChar w:fldCharType="end"/>
      </w:r>
    </w:p>
    <w:p w14:paraId="45B0074F">
      <w:pPr>
        <w:spacing w:line="360" w:lineRule="auto"/>
        <w:ind w:left="720" w:hanging="720"/>
        <w:jc w:val="both"/>
      </w:pPr>
      <w:r>
        <w:t xml:space="preserve">Codelco (2024) Codelco Putting Climate Change Action Plans in Place. [online] International Mining. Available at: </w:t>
      </w:r>
      <w:r>
        <w:fldChar w:fldCharType="begin"/>
      </w:r>
      <w:r>
        <w:instrText xml:space="preserve"> HYPERLINK "https://im-mining.com/2024/07/11/codelco-putting-climate-change-action-plans-in-place/" </w:instrText>
      </w:r>
      <w:r>
        <w:fldChar w:fldCharType="separate"/>
      </w:r>
      <w:r>
        <w:rPr>
          <w:rStyle w:val="16"/>
        </w:rPr>
        <w:t>https://im-mining.com/2024/07/11/codelco-putting-climate-change-action-plans-in-place/</w:t>
      </w:r>
      <w:r>
        <w:rPr>
          <w:rStyle w:val="16"/>
        </w:rPr>
        <w:fldChar w:fldCharType="end"/>
      </w:r>
      <w:r>
        <w:t>.</w:t>
      </w:r>
    </w:p>
    <w:p w14:paraId="0D154309">
      <w:pPr>
        <w:spacing w:line="360" w:lineRule="auto"/>
        <w:ind w:left="720" w:hanging="720"/>
        <w:jc w:val="both"/>
      </w:pPr>
      <w:r>
        <w:t xml:space="preserve">Codelco (2025) Codelco Sets Specific Goal to Reduce Scope 3 Emissions and Advances Value Chain Decarbonisation. [online] International Mining. Available at: </w:t>
      </w:r>
      <w:r>
        <w:fldChar w:fldCharType="begin"/>
      </w:r>
      <w:r>
        <w:instrText xml:space="preserve"> HYPERLINK "https://im-mining.com/2025/01/28/codelco-sets-specific-goal-to-reduce-scope-3-emissions-and-advances-value-chain-decarbonisation/" </w:instrText>
      </w:r>
      <w:r>
        <w:fldChar w:fldCharType="separate"/>
      </w:r>
      <w:r>
        <w:rPr>
          <w:rStyle w:val="16"/>
        </w:rPr>
        <w:t>https://im-mining.com/2025/01/28/codelco-sets-specific-goal-to-reduce-scope-3-emissions-and-advances-value-chain-decarbonisation/</w:t>
      </w:r>
      <w:r>
        <w:rPr>
          <w:rStyle w:val="16"/>
        </w:rPr>
        <w:fldChar w:fldCharType="end"/>
      </w:r>
      <w:r>
        <w:t>.</w:t>
      </w:r>
    </w:p>
    <w:p w14:paraId="66410C3F">
      <w:pPr>
        <w:spacing w:line="360" w:lineRule="auto"/>
        <w:ind w:left="720" w:hanging="720"/>
        <w:jc w:val="both"/>
      </w:pPr>
      <w:r>
        <w:t xml:space="preserve">Devlin, A., Kossen, J., Goldie Jones, H. and Yang, A. (2023) 'Global green hydrogen based steel opportunities surrounding high quality renewable energy and iron ore deposits', Nature Communications, 14, 2578. doi: </w:t>
      </w:r>
      <w:r>
        <w:fldChar w:fldCharType="begin"/>
      </w:r>
      <w:r>
        <w:instrText xml:space="preserve"> HYPERLINK "https://doi.org/10.1038/s41467-023-38123-2" </w:instrText>
      </w:r>
      <w:r>
        <w:fldChar w:fldCharType="separate"/>
      </w:r>
      <w:r>
        <w:rPr>
          <w:rStyle w:val="16"/>
        </w:rPr>
        <w:t>https://doi.org/10.1038/s41467-023-38123-2</w:t>
      </w:r>
      <w:r>
        <w:rPr>
          <w:rStyle w:val="16"/>
        </w:rPr>
        <w:fldChar w:fldCharType="end"/>
      </w:r>
    </w:p>
    <w:p w14:paraId="54EA9910">
      <w:pPr>
        <w:spacing w:line="360" w:lineRule="auto"/>
        <w:ind w:left="720" w:hanging="720"/>
        <w:jc w:val="both"/>
      </w:pPr>
      <w:r>
        <w:t xml:space="preserve">Faseyi, C.A., Miyittah, M.K. and Yafetto, L. (2023) 'Assessment of environmental degradation in two coastal communities of Ghana using Driver Pressure State Impact Response (DPSIR) framework', Journal of Environmental Management, 342, 118224. doi: </w:t>
      </w:r>
      <w:r>
        <w:fldChar w:fldCharType="begin"/>
      </w:r>
      <w:r>
        <w:instrText xml:space="preserve"> HYPERLINK "https://doi.org/10.1016/j.jenvman.2023.118224" </w:instrText>
      </w:r>
      <w:r>
        <w:fldChar w:fldCharType="separate"/>
      </w:r>
      <w:r>
        <w:rPr>
          <w:rStyle w:val="16"/>
        </w:rPr>
        <w:t>https://doi.org/10.1016/j.jenvman.2023.118224</w:t>
      </w:r>
      <w:r>
        <w:rPr>
          <w:rStyle w:val="16"/>
        </w:rPr>
        <w:fldChar w:fldCharType="end"/>
      </w:r>
    </w:p>
    <w:p w14:paraId="0500B5AD">
      <w:pPr>
        <w:spacing w:line="360" w:lineRule="auto"/>
        <w:ind w:left="720" w:hanging="720"/>
        <w:jc w:val="both"/>
      </w:pPr>
      <w:r>
        <w:t xml:space="preserve">Flores Fernández, C. and Alba, R. (2023) 'Water or mineral resource? Legal interpretations and hydrosocial configurations of lithium mining in Chile', Frontiers in Water, 5, 1075139. doi: </w:t>
      </w:r>
      <w:r>
        <w:fldChar w:fldCharType="begin"/>
      </w:r>
      <w:r>
        <w:instrText xml:space="preserve"> HYPERLINK "https://doi.org/10.3389/frwa.2023.1075139" </w:instrText>
      </w:r>
      <w:r>
        <w:fldChar w:fldCharType="separate"/>
      </w:r>
      <w:r>
        <w:rPr>
          <w:rStyle w:val="16"/>
        </w:rPr>
        <w:t>https://doi.org/10.3389/frwa.2023.1075139</w:t>
      </w:r>
      <w:r>
        <w:rPr>
          <w:rStyle w:val="16"/>
        </w:rPr>
        <w:fldChar w:fldCharType="end"/>
      </w:r>
    </w:p>
    <w:p w14:paraId="074662D3">
      <w:pPr>
        <w:spacing w:line="360" w:lineRule="auto"/>
        <w:ind w:left="720" w:hanging="720"/>
        <w:jc w:val="both"/>
      </w:pPr>
      <w:r>
        <w:t xml:space="preserve">González, A., Sánchez, F. and Castillo, E. (2023) 'The nationalization of the large scale copper mines in Chile: successful investment or financial failure?', Mineral Economics, 37(4), pp.787-807. doi: </w:t>
      </w:r>
      <w:r>
        <w:fldChar w:fldCharType="begin"/>
      </w:r>
      <w:r>
        <w:instrText xml:space="preserve"> HYPERLINK "https://doi.org/10.1007/s13563-023-00412-z" </w:instrText>
      </w:r>
      <w:r>
        <w:fldChar w:fldCharType="separate"/>
      </w:r>
      <w:r>
        <w:rPr>
          <w:rStyle w:val="16"/>
        </w:rPr>
        <w:t>https://doi.org/10.1007/s13563-023-00412-z</w:t>
      </w:r>
      <w:r>
        <w:rPr>
          <w:rStyle w:val="16"/>
        </w:rPr>
        <w:fldChar w:fldCharType="end"/>
      </w:r>
    </w:p>
    <w:p w14:paraId="348BC556">
      <w:pPr>
        <w:spacing w:line="360" w:lineRule="auto"/>
        <w:ind w:left="720" w:hanging="720"/>
        <w:jc w:val="both"/>
      </w:pPr>
      <w:r>
        <w:t xml:space="preserve">Hagelüken, C. and Goldmann, D. (2022) 'Recycling and circular economy towards a closed loop for metals in emerging clean technologies', Mineral Economics, 35(3 to 4), pp.539-562. doi: </w:t>
      </w:r>
      <w:r>
        <w:fldChar w:fldCharType="begin"/>
      </w:r>
      <w:r>
        <w:instrText xml:space="preserve"> HYPERLINK "https://doi.org/10.1007/s13563-022-00319-1" </w:instrText>
      </w:r>
      <w:r>
        <w:fldChar w:fldCharType="separate"/>
      </w:r>
      <w:r>
        <w:rPr>
          <w:rStyle w:val="16"/>
        </w:rPr>
        <w:t>https://doi.org/10.1007/s13563-022-00319-1</w:t>
      </w:r>
      <w:r>
        <w:rPr>
          <w:rStyle w:val="16"/>
        </w:rPr>
        <w:fldChar w:fldCharType="end"/>
      </w:r>
    </w:p>
    <w:p w14:paraId="5B5E83DB">
      <w:pPr>
        <w:spacing w:line="360" w:lineRule="auto"/>
        <w:ind w:left="720" w:hanging="720"/>
        <w:jc w:val="both"/>
      </w:pPr>
      <w:r>
        <w:t xml:space="preserve">International Energy Agency (2024) The Role of Critical Minerals in Clean Energy Transitions. [online] Paris: IEA. Available at: </w:t>
      </w:r>
      <w:r>
        <w:fldChar w:fldCharType="begin"/>
      </w:r>
      <w:r>
        <w:instrText xml:space="preserve"> HYPERLINK "https://www.iea.org/reports/the-role-of-critical-minerals-in-clean-energy-transitions" </w:instrText>
      </w:r>
      <w:r>
        <w:fldChar w:fldCharType="separate"/>
      </w:r>
      <w:r>
        <w:rPr>
          <w:rStyle w:val="16"/>
        </w:rPr>
        <w:t>https://www.iea.org/reports/the-role-of-critical-minerals-in-clean-energy-transitions</w:t>
      </w:r>
      <w:r>
        <w:rPr>
          <w:rStyle w:val="16"/>
        </w:rPr>
        <w:fldChar w:fldCharType="end"/>
      </w:r>
    </w:p>
    <w:p w14:paraId="53F53E47">
      <w:pPr>
        <w:spacing w:line="360" w:lineRule="auto"/>
        <w:ind w:left="720" w:hanging="720"/>
        <w:jc w:val="both"/>
      </w:pPr>
      <w:r>
        <w:t>Kotler, P., Armstrong, G., Harris, L.C. and He, H. (2024) Principles of Marketing. 19th edn. Harlow: Pearson.</w:t>
      </w:r>
    </w:p>
    <w:p w14:paraId="0262FBD8">
      <w:pPr>
        <w:spacing w:line="360" w:lineRule="auto"/>
        <w:ind w:left="720" w:hanging="720"/>
        <w:jc w:val="both"/>
      </w:pPr>
      <w:r>
        <w:t xml:space="preserve">Leiva González, J. and Onederra, I. (2022) 'Environmental management strategies in the copper mining industry in Chile to address water and energy challenges: review', Mining, 2(2), pp.197-232. doi: </w:t>
      </w:r>
      <w:r>
        <w:fldChar w:fldCharType="begin"/>
      </w:r>
      <w:r>
        <w:instrText xml:space="preserve"> HYPERLINK "https://doi.org/10.3390/mining2020012" </w:instrText>
      </w:r>
      <w:r>
        <w:fldChar w:fldCharType="separate"/>
      </w:r>
      <w:r>
        <w:rPr>
          <w:rStyle w:val="16"/>
        </w:rPr>
        <w:t>https://doi.org/10.3390/mining2020012</w:t>
      </w:r>
      <w:r>
        <w:rPr>
          <w:rStyle w:val="16"/>
        </w:rPr>
        <w:fldChar w:fldCharType="end"/>
      </w:r>
    </w:p>
    <w:p w14:paraId="2A643CFA">
      <w:pPr>
        <w:spacing w:line="360" w:lineRule="auto"/>
        <w:ind w:left="720" w:hanging="720"/>
        <w:jc w:val="both"/>
      </w:pPr>
      <w:r>
        <w:t xml:space="preserve">Makhathini, T.P., Bwapwa, J.K. and Mtsweni, S. (2023) 'Various options for mining and metallurgical waste in the circular economy: a review', Sustainability, 15(3), 2518. doi: </w:t>
      </w:r>
      <w:r>
        <w:fldChar w:fldCharType="begin"/>
      </w:r>
      <w:r>
        <w:instrText xml:space="preserve"> HYPERLINK "https://doi.org/10.3390/su15032518" </w:instrText>
      </w:r>
      <w:r>
        <w:fldChar w:fldCharType="separate"/>
      </w:r>
      <w:r>
        <w:rPr>
          <w:rStyle w:val="16"/>
        </w:rPr>
        <w:t>https://doi.org/10.3390/su15032518</w:t>
      </w:r>
      <w:r>
        <w:rPr>
          <w:rStyle w:val="16"/>
        </w:rPr>
        <w:fldChar w:fldCharType="end"/>
      </w:r>
    </w:p>
    <w:p w14:paraId="6283FC71">
      <w:pPr>
        <w:spacing w:line="360" w:lineRule="auto"/>
        <w:ind w:left="720" w:hanging="720"/>
        <w:jc w:val="both"/>
      </w:pPr>
      <w:r>
        <w:t xml:space="preserve">Perkins, M., Furze, L., Roe, J. and MacVaugh, J. (2024) 'The Artificial Intelligence Assessment Scale (AIAS): a framework for ethical integration of generative AI in educational assessment', Journal of University Teaching and Learning Practice, 21(6). doi: </w:t>
      </w:r>
      <w:r>
        <w:fldChar w:fldCharType="begin"/>
      </w:r>
      <w:r>
        <w:instrText xml:space="preserve"> HYPERLINK "https://doi.org/10.53761/q3azde36" </w:instrText>
      </w:r>
      <w:r>
        <w:fldChar w:fldCharType="separate"/>
      </w:r>
      <w:r>
        <w:rPr>
          <w:rStyle w:val="16"/>
        </w:rPr>
        <w:t>https://doi.org/10.53761/q3azde36</w:t>
      </w:r>
      <w:r>
        <w:rPr>
          <w:rStyle w:val="16"/>
        </w:rPr>
        <w:fldChar w:fldCharType="end"/>
      </w:r>
    </w:p>
    <w:p w14:paraId="6E751172">
      <w:pPr>
        <w:spacing w:line="360" w:lineRule="auto"/>
        <w:ind w:left="720" w:hanging="720"/>
        <w:jc w:val="both"/>
      </w:pPr>
      <w:r>
        <w:t xml:space="preserve">Podobińska Staniec, M., Wiktor Sułkowska, A., Kustra, A. and Lorenc Szot, S. (2025) 'Copper as a critical resource in the energy transition', Energies, 18(4), 969. doi: </w:t>
      </w:r>
      <w:r>
        <w:fldChar w:fldCharType="begin"/>
      </w:r>
      <w:r>
        <w:instrText xml:space="preserve"> HYPERLINK "https://doi.org/10.3390/en18040969" </w:instrText>
      </w:r>
      <w:r>
        <w:fldChar w:fldCharType="separate"/>
      </w:r>
      <w:r>
        <w:rPr>
          <w:rStyle w:val="16"/>
        </w:rPr>
        <w:t>https://doi.org/10.3390/en18040969</w:t>
      </w:r>
      <w:r>
        <w:rPr>
          <w:rStyle w:val="16"/>
        </w:rPr>
        <w:fldChar w:fldCharType="end"/>
      </w:r>
    </w:p>
    <w:p w14:paraId="30FB6DE1">
      <w:pPr>
        <w:spacing w:line="360" w:lineRule="auto"/>
        <w:ind w:left="720" w:hanging="720"/>
        <w:jc w:val="both"/>
      </w:pPr>
      <w:r>
        <w:t xml:space="preserve">Seele, P. and Schultz, M.D. (2022) 'From greenwashing to machinewashing: a model and future directions derived from reasoning by analogy', Journal of Business Ethics, 178(4), pp.1063-1089. doi: </w:t>
      </w:r>
      <w:r>
        <w:fldChar w:fldCharType="begin"/>
      </w:r>
      <w:r>
        <w:instrText xml:space="preserve"> HYPERLINK "https://doi.org/10.1007/s10551-022-05054-9" </w:instrText>
      </w:r>
      <w:r>
        <w:fldChar w:fldCharType="separate"/>
      </w:r>
      <w:r>
        <w:rPr>
          <w:rStyle w:val="16"/>
        </w:rPr>
        <w:t>https://doi.org/10.1007/s10551-022-05054-9</w:t>
      </w:r>
      <w:r>
        <w:rPr>
          <w:rStyle w:val="16"/>
        </w:rPr>
        <w:fldChar w:fldCharType="end"/>
      </w:r>
    </w:p>
    <w:p w14:paraId="38B3184C">
      <w:pPr>
        <w:spacing w:line="360" w:lineRule="auto"/>
        <w:ind w:left="720" w:hanging="720"/>
        <w:jc w:val="both"/>
      </w:pPr>
      <w:r>
        <w:t xml:space="preserve">Szabo, S. and Webster, J. (2021) 'Perceived greenwashing: the effects of green marketing on environmental and product perceptions', Journal of Business Ethics, 171(4), pp.719-739. doi: </w:t>
      </w:r>
      <w:r>
        <w:fldChar w:fldCharType="begin"/>
      </w:r>
      <w:r>
        <w:instrText xml:space="preserve"> HYPERLINK "https://doi.org/10.1007/s10551-020-04461-0" </w:instrText>
      </w:r>
      <w:r>
        <w:fldChar w:fldCharType="separate"/>
      </w:r>
      <w:r>
        <w:rPr>
          <w:rStyle w:val="16"/>
        </w:rPr>
        <w:t>https://doi.org/10.1007/s10551-020-04461-0</w:t>
      </w:r>
      <w:r>
        <w:rPr>
          <w:rStyle w:val="16"/>
        </w:rPr>
        <w:fldChar w:fldCharType="end"/>
      </w:r>
    </w:p>
    <w:p w14:paraId="49B7E0FE">
      <w:pPr>
        <w:spacing w:line="360" w:lineRule="auto"/>
        <w:ind w:left="720" w:hanging="720"/>
        <w:jc w:val="both"/>
      </w:pPr>
      <w:r>
        <w:t xml:space="preserve">Zhang, B., Wang, D., Mo, L. and Huang, X. (2022) 'Brand recognition, interdepartmental conflict, and performance: an investigation of Porter's differentiated competitive strategy implementation in a large Chinese automobile company', Sustainability, 14(20), 13546. doi: </w:t>
      </w:r>
      <w:r>
        <w:fldChar w:fldCharType="begin"/>
      </w:r>
      <w:r>
        <w:instrText xml:space="preserve"> HYPERLINK "https://doi.org/10.3390/su142013546" </w:instrText>
      </w:r>
      <w:r>
        <w:fldChar w:fldCharType="separate"/>
      </w:r>
      <w:r>
        <w:rPr>
          <w:rStyle w:val="16"/>
        </w:rPr>
        <w:t>https://doi.org/10.3390/su142013546</w:t>
      </w:r>
      <w:r>
        <w:rPr>
          <w:rStyle w:val="16"/>
        </w:rPr>
        <w:fldChar w:fldCharType="end"/>
      </w:r>
    </w:p>
    <w:p w14:paraId="51F3462D">
      <w:pPr>
        <w:spacing w:line="360" w:lineRule="auto"/>
        <w:ind w:left="720" w:hanging="720"/>
        <w:jc w:val="both"/>
      </w:pPr>
    </w:p>
    <w:sectPr>
      <w:headerReference r:id="rId3" w:type="default"/>
      <w:footerReference r:id="rId4" w:type="default"/>
      <w:pgSz w:w="11906" w:h="16838"/>
      <w:pgMar w:top="1440" w:right="1440" w:bottom="1440" w:left="1440"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604020202090204"/>
    <w:charset w:val="86"/>
    <w:family w:val="swiss"/>
    <w:pitch w:val="default"/>
    <w:sig w:usb0="E0000AFF" w:usb1="00007843" w:usb2="00000001" w:usb3="00000000" w:csb0="400001BF" w:csb1="DFF70000"/>
  </w:font>
  <w:font w:name="SimHei">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宋体-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F550E5D">
    <w:pPr>
      <w:jc w:val="center"/>
    </w:pPr>
    <w:r>
      <w:rPr>
        <w:sz w:val="20"/>
        <w:szCs w:val="20"/>
      </w:rPr>
      <w:fldChar w:fldCharType="begin"/>
    </w:r>
    <w:r>
      <w:rPr>
        <w:sz w:val="20"/>
        <w:szCs w:val="20"/>
      </w:rPr>
      <w:instrText xml:space="preserve">PAGE</w:instrText>
    </w:r>
    <w:r>
      <w:rPr>
        <w:sz w:val="20"/>
        <w:szCs w:val="20"/>
      </w:rPr>
      <w:fldChar w:fldCharType="separate"/>
    </w:r>
    <w:r>
      <w:rPr>
        <w:sz w:val="20"/>
        <w:szCs w:val="20"/>
      </w:rPr>
      <w:t>1</w:t>
    </w:r>
    <w:r>
      <w:rPr>
        <w:sz w:val="20"/>
        <w:szCs w:val="20"/>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8B0255C">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3"/>
  <w:displayBackgroundShape w:val="1"/>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F94"/>
    <w:rsid w:val="00041A48"/>
    <w:rsid w:val="00042BDF"/>
    <w:rsid w:val="0005330D"/>
    <w:rsid w:val="00056AC0"/>
    <w:rsid w:val="000F0F06"/>
    <w:rsid w:val="00106068"/>
    <w:rsid w:val="00116EF4"/>
    <w:rsid w:val="00124849"/>
    <w:rsid w:val="001639BF"/>
    <w:rsid w:val="00174B3F"/>
    <w:rsid w:val="0018321D"/>
    <w:rsid w:val="001C0336"/>
    <w:rsid w:val="002024C3"/>
    <w:rsid w:val="00220F78"/>
    <w:rsid w:val="00284253"/>
    <w:rsid w:val="002A39B8"/>
    <w:rsid w:val="002F3912"/>
    <w:rsid w:val="003329DF"/>
    <w:rsid w:val="00357737"/>
    <w:rsid w:val="00367AC6"/>
    <w:rsid w:val="00432FA3"/>
    <w:rsid w:val="00467582"/>
    <w:rsid w:val="00590E82"/>
    <w:rsid w:val="005C2F80"/>
    <w:rsid w:val="006A105E"/>
    <w:rsid w:val="006A3CDB"/>
    <w:rsid w:val="006E22E1"/>
    <w:rsid w:val="006E40DC"/>
    <w:rsid w:val="00721F1C"/>
    <w:rsid w:val="0074105C"/>
    <w:rsid w:val="00791E39"/>
    <w:rsid w:val="007B707D"/>
    <w:rsid w:val="007D47E0"/>
    <w:rsid w:val="007D7154"/>
    <w:rsid w:val="0086689A"/>
    <w:rsid w:val="00874233"/>
    <w:rsid w:val="00887982"/>
    <w:rsid w:val="008B3F97"/>
    <w:rsid w:val="008F585B"/>
    <w:rsid w:val="009215C9"/>
    <w:rsid w:val="00924AA3"/>
    <w:rsid w:val="009313BE"/>
    <w:rsid w:val="00943D13"/>
    <w:rsid w:val="00946F0E"/>
    <w:rsid w:val="009475B3"/>
    <w:rsid w:val="00984637"/>
    <w:rsid w:val="009F5E0B"/>
    <w:rsid w:val="009F6CF0"/>
    <w:rsid w:val="00A22CF5"/>
    <w:rsid w:val="00A35BB3"/>
    <w:rsid w:val="00B142B8"/>
    <w:rsid w:val="00B94638"/>
    <w:rsid w:val="00C25D3C"/>
    <w:rsid w:val="00D01F5B"/>
    <w:rsid w:val="00D0658D"/>
    <w:rsid w:val="00D617DB"/>
    <w:rsid w:val="00DE7909"/>
    <w:rsid w:val="00E07281"/>
    <w:rsid w:val="00E17550"/>
    <w:rsid w:val="00E711B4"/>
    <w:rsid w:val="00E820BE"/>
    <w:rsid w:val="00EB6F94"/>
    <w:rsid w:val="00EE0AAD"/>
    <w:rsid w:val="00F00FA1"/>
    <w:rsid w:val="00FE5804"/>
    <w:rsid w:val="00FF287B"/>
    <w:rsid w:val="EB7F47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Arial" w:cs="Arial"/>
      <w:sz w:val="24"/>
      <w:szCs w:val="24"/>
      <w:lang w:val="en-US" w:eastAsia="en-US" w:bidi="ar-SA"/>
    </w:rPr>
  </w:style>
  <w:style w:type="paragraph" w:styleId="2">
    <w:name w:val="heading 1"/>
    <w:qFormat/>
    <w:uiPriority w:val="9"/>
    <w:pPr>
      <w:outlineLvl w:val="0"/>
    </w:pPr>
    <w:rPr>
      <w:rFonts w:ascii="Arial" w:hAnsi="Arial" w:eastAsia="Arial" w:cs="Arial"/>
      <w:color w:val="2E74B5"/>
      <w:sz w:val="32"/>
      <w:szCs w:val="32"/>
      <w:lang w:val="en-US" w:eastAsia="en-US" w:bidi="ar-SA"/>
    </w:rPr>
  </w:style>
  <w:style w:type="paragraph" w:styleId="3">
    <w:name w:val="heading 2"/>
    <w:unhideWhenUsed/>
    <w:qFormat/>
    <w:uiPriority w:val="9"/>
    <w:pPr>
      <w:outlineLvl w:val="1"/>
    </w:pPr>
    <w:rPr>
      <w:rFonts w:ascii="Arial" w:hAnsi="Arial" w:eastAsia="Arial" w:cs="Arial"/>
      <w:color w:val="2E74B5"/>
      <w:sz w:val="26"/>
      <w:szCs w:val="26"/>
      <w:lang w:val="en-US" w:eastAsia="en-US" w:bidi="ar-SA"/>
    </w:rPr>
  </w:style>
  <w:style w:type="paragraph" w:styleId="4">
    <w:name w:val="heading 3"/>
    <w:semiHidden/>
    <w:unhideWhenUsed/>
    <w:qFormat/>
    <w:uiPriority w:val="9"/>
    <w:pPr>
      <w:outlineLvl w:val="2"/>
    </w:pPr>
    <w:rPr>
      <w:rFonts w:ascii="Arial" w:hAnsi="Arial" w:eastAsia="Arial" w:cs="Arial"/>
      <w:color w:val="1F4D78"/>
      <w:sz w:val="24"/>
      <w:szCs w:val="24"/>
      <w:lang w:val="en-US" w:eastAsia="en-US" w:bidi="ar-SA"/>
    </w:rPr>
  </w:style>
  <w:style w:type="paragraph" w:styleId="5">
    <w:name w:val="heading 4"/>
    <w:semiHidden/>
    <w:unhideWhenUsed/>
    <w:qFormat/>
    <w:uiPriority w:val="9"/>
    <w:pPr>
      <w:outlineLvl w:val="3"/>
    </w:pPr>
    <w:rPr>
      <w:rFonts w:ascii="Arial" w:hAnsi="Arial" w:eastAsia="Arial" w:cs="Arial"/>
      <w:i/>
      <w:iCs/>
      <w:color w:val="2E74B5"/>
      <w:sz w:val="24"/>
      <w:szCs w:val="24"/>
      <w:lang w:val="en-US" w:eastAsia="en-US" w:bidi="ar-SA"/>
    </w:rPr>
  </w:style>
  <w:style w:type="paragraph" w:styleId="6">
    <w:name w:val="heading 5"/>
    <w:semiHidden/>
    <w:unhideWhenUsed/>
    <w:qFormat/>
    <w:uiPriority w:val="9"/>
    <w:pPr>
      <w:outlineLvl w:val="4"/>
    </w:pPr>
    <w:rPr>
      <w:rFonts w:ascii="Arial" w:hAnsi="Arial" w:eastAsia="Arial" w:cs="Arial"/>
      <w:color w:val="2E74B5"/>
      <w:sz w:val="24"/>
      <w:szCs w:val="24"/>
      <w:lang w:val="en-US" w:eastAsia="en-US" w:bidi="ar-SA"/>
    </w:rPr>
  </w:style>
  <w:style w:type="paragraph" w:styleId="7">
    <w:name w:val="heading 6"/>
    <w:semiHidden/>
    <w:unhideWhenUsed/>
    <w:qFormat/>
    <w:uiPriority w:val="9"/>
    <w:pPr>
      <w:outlineLvl w:val="5"/>
    </w:pPr>
    <w:rPr>
      <w:rFonts w:ascii="Arial" w:hAnsi="Arial" w:eastAsia="Arial" w:cs="Arial"/>
      <w:color w:val="1F4D78"/>
      <w:sz w:val="24"/>
      <w:szCs w:val="24"/>
      <w:lang w:val="en-US" w:eastAsia="en-US" w:bidi="ar-SA"/>
    </w:rPr>
  </w:style>
  <w:style w:type="character" w:default="1" w:styleId="8">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endnote reference"/>
    <w:semiHidden/>
    <w:unhideWhenUsed/>
    <w:uiPriority w:val="99"/>
    <w:rPr>
      <w:vertAlign w:val="superscript"/>
    </w:rPr>
  </w:style>
  <w:style w:type="paragraph" w:styleId="11">
    <w:name w:val="endnote text"/>
    <w:link w:val="25"/>
    <w:semiHidden/>
    <w:unhideWhenUsed/>
    <w:uiPriority w:val="99"/>
    <w:rPr>
      <w:rFonts w:ascii="Arial" w:hAnsi="Arial" w:eastAsia="Arial" w:cs="Arial"/>
      <w:sz w:val="20"/>
      <w:szCs w:val="20"/>
      <w:lang w:val="en-US" w:eastAsia="en-US" w:bidi="ar-SA"/>
    </w:rPr>
  </w:style>
  <w:style w:type="paragraph" w:styleId="12">
    <w:name w:val="footer"/>
    <w:basedOn w:val="1"/>
    <w:link w:val="27"/>
    <w:unhideWhenUsed/>
    <w:uiPriority w:val="99"/>
    <w:pPr>
      <w:tabs>
        <w:tab w:val="center" w:pos="4680"/>
        <w:tab w:val="right" w:pos="9360"/>
      </w:tabs>
    </w:pPr>
  </w:style>
  <w:style w:type="character" w:styleId="13">
    <w:name w:val="footnote reference"/>
    <w:semiHidden/>
    <w:unhideWhenUsed/>
    <w:uiPriority w:val="99"/>
    <w:rPr>
      <w:vertAlign w:val="superscript"/>
    </w:rPr>
  </w:style>
  <w:style w:type="paragraph" w:styleId="14">
    <w:name w:val="footnote text"/>
    <w:link w:val="24"/>
    <w:semiHidden/>
    <w:unhideWhenUsed/>
    <w:uiPriority w:val="99"/>
    <w:rPr>
      <w:rFonts w:ascii="Arial" w:hAnsi="Arial" w:eastAsia="Arial" w:cs="Arial"/>
      <w:sz w:val="20"/>
      <w:szCs w:val="20"/>
      <w:lang w:val="en-US" w:eastAsia="en-US" w:bidi="ar-SA"/>
    </w:rPr>
  </w:style>
  <w:style w:type="paragraph" w:styleId="15">
    <w:name w:val="header"/>
    <w:basedOn w:val="1"/>
    <w:link w:val="26"/>
    <w:unhideWhenUsed/>
    <w:uiPriority w:val="99"/>
    <w:pPr>
      <w:tabs>
        <w:tab w:val="center" w:pos="4680"/>
        <w:tab w:val="right" w:pos="9360"/>
      </w:tabs>
    </w:pPr>
  </w:style>
  <w:style w:type="character" w:styleId="16">
    <w:name w:val="Hyperlink"/>
    <w:unhideWhenUsed/>
    <w:uiPriority w:val="99"/>
    <w:rPr>
      <w:color w:val="0563C1"/>
      <w:u w:val="single"/>
    </w:rPr>
  </w:style>
  <w:style w:type="paragraph" w:styleId="17">
    <w:name w:val="Normal (Web)"/>
    <w:basedOn w:val="1"/>
    <w:semiHidden/>
    <w:unhideWhenUsed/>
    <w:uiPriority w:val="99"/>
    <w:rPr>
      <w:rFonts w:ascii="Times New Roman" w:hAnsi="Times New Roman" w:cs="Times New Roman"/>
    </w:rPr>
  </w:style>
  <w:style w:type="table" w:styleId="18">
    <w:name w:val="Table Grid"/>
    <w:basedOn w:val="9"/>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9">
    <w:name w:val="Title"/>
    <w:qFormat/>
    <w:uiPriority w:val="10"/>
    <w:rPr>
      <w:rFonts w:ascii="Arial" w:hAnsi="Arial" w:eastAsia="Arial" w:cs="Arial"/>
      <w:sz w:val="56"/>
      <w:szCs w:val="56"/>
      <w:lang w:val="en-US" w:eastAsia="en-US" w:bidi="ar-SA"/>
    </w:rPr>
  </w:style>
  <w:style w:type="paragraph" w:styleId="20">
    <w:name w:val="toc 1"/>
    <w:basedOn w:val="1"/>
    <w:next w:val="1"/>
    <w:autoRedefine/>
    <w:unhideWhenUsed/>
    <w:uiPriority w:val="39"/>
    <w:pPr>
      <w:spacing w:after="100"/>
    </w:pPr>
  </w:style>
  <w:style w:type="paragraph" w:styleId="21">
    <w:name w:val="toc 2"/>
    <w:basedOn w:val="1"/>
    <w:next w:val="1"/>
    <w:autoRedefine/>
    <w:unhideWhenUsed/>
    <w:uiPriority w:val="39"/>
    <w:pPr>
      <w:spacing w:after="100"/>
      <w:ind w:left="240"/>
    </w:pPr>
  </w:style>
  <w:style w:type="paragraph" w:customStyle="1" w:styleId="22">
    <w:name w:val="Strong1"/>
    <w:qFormat/>
    <w:uiPriority w:val="0"/>
    <w:rPr>
      <w:rFonts w:ascii="Arial" w:hAnsi="Arial" w:eastAsia="Arial" w:cs="Arial"/>
      <w:b/>
      <w:bCs/>
      <w:sz w:val="24"/>
      <w:szCs w:val="24"/>
      <w:lang w:val="en-US" w:eastAsia="en-US" w:bidi="ar-SA"/>
    </w:rPr>
  </w:style>
  <w:style w:type="paragraph" w:styleId="23">
    <w:name w:val="List Paragraph"/>
    <w:qFormat/>
    <w:uiPriority w:val="0"/>
    <w:rPr>
      <w:rFonts w:ascii="Arial" w:hAnsi="Arial" w:eastAsia="Arial" w:cs="Arial"/>
      <w:sz w:val="24"/>
      <w:szCs w:val="24"/>
      <w:lang w:val="en-US" w:eastAsia="en-US" w:bidi="ar-SA"/>
    </w:rPr>
  </w:style>
  <w:style w:type="character" w:customStyle="1" w:styleId="24">
    <w:name w:val="Footnote Text Char"/>
    <w:link w:val="14"/>
    <w:semiHidden/>
    <w:unhideWhenUsed/>
    <w:uiPriority w:val="99"/>
    <w:rPr>
      <w:sz w:val="20"/>
      <w:szCs w:val="20"/>
    </w:rPr>
  </w:style>
  <w:style w:type="character" w:customStyle="1" w:styleId="25">
    <w:name w:val="Endnote Text Char"/>
    <w:link w:val="11"/>
    <w:semiHidden/>
    <w:unhideWhenUsed/>
    <w:uiPriority w:val="99"/>
    <w:rPr>
      <w:sz w:val="20"/>
      <w:szCs w:val="20"/>
    </w:rPr>
  </w:style>
  <w:style w:type="character" w:customStyle="1" w:styleId="26">
    <w:name w:val="Header Char"/>
    <w:basedOn w:val="8"/>
    <w:link w:val="15"/>
    <w:uiPriority w:val="99"/>
  </w:style>
  <w:style w:type="character" w:customStyle="1" w:styleId="27">
    <w:name w:val="Footer Char"/>
    <w:basedOn w:val="8"/>
    <w:link w:val="12"/>
    <w:uiPriority w:val="99"/>
  </w:style>
  <w:style w:type="character" w:customStyle="1" w:styleId="28">
    <w:name w:val="Unresolved Mention"/>
    <w:basedOn w:val="8"/>
    <w:semiHidden/>
    <w:unhideWhenUsed/>
    <w:uiPriority w:val="99"/>
    <w:rPr>
      <w:color w:val="605E5C"/>
      <w:shd w:val="clear" w:color="auto" w:fill="E1DFDD"/>
    </w:rPr>
  </w:style>
  <w:style w:type="paragraph" w:customStyle="1" w:styleId="29">
    <w:name w:val="TOC Heading"/>
    <w:basedOn w:val="2"/>
    <w:next w:val="1"/>
    <w:unhideWhenUsed/>
    <w:qFormat/>
    <w:uiPriority w:val="39"/>
    <w:pPr>
      <w:keepNext/>
      <w:keepLines/>
      <w:spacing w:before="240" w:line="259" w:lineRule="auto"/>
      <w:outlineLvl w:val="9"/>
    </w:pPr>
    <w:rPr>
      <w:rFonts w:asciiTheme="majorHAnsi" w:hAnsiTheme="majorHAnsi" w:eastAsiaTheme="majorEastAsia" w:cstheme="majorBidi"/>
      <w:color w:val="2F5597"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Version="6" SelectedStyle="\APASixthEditionOfficeOnline.xsl"/>
</file>

<file path=customXml/itemProps1.xml><?xml version="1.0" encoding="utf-8"?>
<ds:datastoreItem xmlns:ds="http://schemas.openxmlformats.org/officeDocument/2006/customXml" ds:itemID="{34DECEBE-90D0-44B9-AB6E-799F45818166}">
  <ds:schemaRefs/>
</ds:datastoreItem>
</file>

<file path=docProps/app.xml><?xml version="1.0" encoding="utf-8"?>
<Properties xmlns="http://schemas.openxmlformats.org/officeDocument/2006/extended-properties" xmlns:vt="http://schemas.openxmlformats.org/officeDocument/2006/docPropsVTypes">
  <Template>Normal</Template>
  <Pages>15</Pages>
  <Words>4134</Words>
  <Characters>23568</Characters>
  <Lines>196</Lines>
  <Paragraphs>55</Paragraphs>
  <TotalTime>1</TotalTime>
  <ScaleCrop>false</ScaleCrop>
  <LinksUpToDate>false</LinksUpToDate>
  <CharactersWithSpaces>27647</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2026-07-23T19:21:00Z</dcterms:created>
  <dc:creator>Un-named</dc:creator>
  <cp:lastModifiedBy>Fly to study abroad</cp:lastModifiedBy>
  <dcterms:modified xsi:type="dcterms:W3CDTF">2026-07-24T11:08:41Z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7CA6E64F69059228A939636A1F06F492_42</vt:lpwstr>
  </property>
</Properties>
</file>