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B525E" w14:textId="77777777" w:rsidR="003307F6" w:rsidRDefault="003307F6" w:rsidP="003307F6">
      <w:pPr>
        <w:pBdr>
          <w:bottom w:val="single" w:sz="4" w:space="1" w:color="auto"/>
        </w:pBdr>
        <w:jc w:val="both"/>
      </w:pPr>
      <w:r>
        <w:t>Q1</w:t>
      </w:r>
    </w:p>
    <w:p w14:paraId="2203B33F" w14:textId="77777777" w:rsidR="0051492F" w:rsidRDefault="0051492F" w:rsidP="00053FC0">
      <w:pPr>
        <w:jc w:val="both"/>
      </w:pPr>
      <w:r>
        <w:t>Fill in this table describing these types of business growth:</w:t>
      </w:r>
    </w:p>
    <w:tbl>
      <w:tblPr>
        <w:tblStyle w:val="TableGrid"/>
        <w:tblW w:w="5000" w:type="pct"/>
        <w:tblLook w:val="04A0" w:firstRow="1" w:lastRow="0" w:firstColumn="1" w:lastColumn="0" w:noHBand="0" w:noVBand="1"/>
      </w:tblPr>
      <w:tblGrid>
        <w:gridCol w:w="1529"/>
        <w:gridCol w:w="1981"/>
        <w:gridCol w:w="2867"/>
        <w:gridCol w:w="2865"/>
      </w:tblGrid>
      <w:tr w:rsidR="0051492F" w14:paraId="4DD9E2F2" w14:textId="77777777" w:rsidTr="003702B8">
        <w:tc>
          <w:tcPr>
            <w:tcW w:w="827" w:type="pct"/>
          </w:tcPr>
          <w:p w14:paraId="03003C3A" w14:textId="77777777" w:rsidR="0051492F" w:rsidRDefault="0051492F" w:rsidP="00053FC0">
            <w:pPr>
              <w:jc w:val="both"/>
            </w:pPr>
          </w:p>
        </w:tc>
        <w:tc>
          <w:tcPr>
            <w:tcW w:w="1072" w:type="pct"/>
          </w:tcPr>
          <w:p w14:paraId="3B13235C" w14:textId="77777777" w:rsidR="0051492F" w:rsidRDefault="0051492F" w:rsidP="003307F6">
            <w:pPr>
              <w:jc w:val="center"/>
            </w:pPr>
            <w:r>
              <w:t>Description</w:t>
            </w:r>
          </w:p>
        </w:tc>
        <w:tc>
          <w:tcPr>
            <w:tcW w:w="1551" w:type="pct"/>
          </w:tcPr>
          <w:p w14:paraId="6840534B" w14:textId="77777777" w:rsidR="0051492F" w:rsidRDefault="0051492F" w:rsidP="003307F6">
            <w:pPr>
              <w:jc w:val="center"/>
            </w:pPr>
            <w:r>
              <w:t>Advantages</w:t>
            </w:r>
          </w:p>
        </w:tc>
        <w:tc>
          <w:tcPr>
            <w:tcW w:w="1551" w:type="pct"/>
          </w:tcPr>
          <w:p w14:paraId="06C8510C" w14:textId="77777777" w:rsidR="0051492F" w:rsidRDefault="0051492F" w:rsidP="003307F6">
            <w:pPr>
              <w:jc w:val="center"/>
            </w:pPr>
            <w:r>
              <w:t>Disadvantages</w:t>
            </w:r>
          </w:p>
        </w:tc>
      </w:tr>
      <w:tr w:rsidR="0051492F" w14:paraId="548413CF" w14:textId="77777777" w:rsidTr="00D0227F">
        <w:trPr>
          <w:trHeight w:val="2346"/>
        </w:trPr>
        <w:tc>
          <w:tcPr>
            <w:tcW w:w="827" w:type="pct"/>
          </w:tcPr>
          <w:p w14:paraId="3AE4307C" w14:textId="77777777" w:rsidR="000408DB" w:rsidRDefault="000408DB" w:rsidP="00053FC0">
            <w:pPr>
              <w:jc w:val="both"/>
            </w:pPr>
          </w:p>
          <w:p w14:paraId="5F24E554" w14:textId="77777777" w:rsidR="000408DB" w:rsidRDefault="000408DB" w:rsidP="00053FC0">
            <w:pPr>
              <w:jc w:val="both"/>
            </w:pPr>
          </w:p>
          <w:p w14:paraId="257EB104" w14:textId="77777777" w:rsidR="0051492F" w:rsidRDefault="0051492F" w:rsidP="00053FC0">
            <w:pPr>
              <w:jc w:val="both"/>
            </w:pPr>
            <w:r>
              <w:t>Organic</w:t>
            </w:r>
          </w:p>
        </w:tc>
        <w:tc>
          <w:tcPr>
            <w:tcW w:w="1072" w:type="pct"/>
          </w:tcPr>
          <w:p w14:paraId="0859B6B4" w14:textId="77777777" w:rsidR="003702B8" w:rsidRPr="006945CD" w:rsidRDefault="003702B8" w:rsidP="00660EF2">
            <w:pPr>
              <w:jc w:val="center"/>
              <w:rPr>
                <w:color w:val="000000" w:themeColor="text1"/>
              </w:rPr>
            </w:pPr>
          </w:p>
          <w:p w14:paraId="74C2DF78" w14:textId="77777777" w:rsidR="00890A56" w:rsidRPr="006945CD" w:rsidRDefault="00660EF2" w:rsidP="00660EF2">
            <w:pPr>
              <w:jc w:val="center"/>
              <w:rPr>
                <w:color w:val="000000" w:themeColor="text1"/>
              </w:rPr>
            </w:pPr>
            <w:r w:rsidRPr="006945CD">
              <w:rPr>
                <w:color w:val="000000" w:themeColor="text1"/>
              </w:rPr>
              <w:t>A firm grows itself, usually through a combination of external finance and retained profit.</w:t>
            </w:r>
          </w:p>
        </w:tc>
        <w:tc>
          <w:tcPr>
            <w:tcW w:w="1551" w:type="pct"/>
          </w:tcPr>
          <w:p w14:paraId="7303F4C1" w14:textId="77777777" w:rsidR="0051492F" w:rsidRPr="006945CD" w:rsidRDefault="0051492F" w:rsidP="00660EF2">
            <w:pPr>
              <w:jc w:val="center"/>
              <w:rPr>
                <w:color w:val="000000" w:themeColor="text1"/>
              </w:rPr>
            </w:pPr>
          </w:p>
          <w:p w14:paraId="79D17B2F" w14:textId="77777777" w:rsidR="00E22A1D" w:rsidRPr="006945CD" w:rsidRDefault="00E22A1D" w:rsidP="00660EF2">
            <w:pPr>
              <w:jc w:val="center"/>
              <w:rPr>
                <w:color w:val="000000" w:themeColor="text1"/>
              </w:rPr>
            </w:pPr>
            <w:r w:rsidRPr="006945CD">
              <w:rPr>
                <w:color w:val="000000" w:themeColor="text1"/>
              </w:rPr>
              <w:t>There is far less likelihood of the firm taking a major stumble by taking part in a ruinously expensive and failed acquisition.</w:t>
            </w:r>
          </w:p>
        </w:tc>
        <w:tc>
          <w:tcPr>
            <w:tcW w:w="1551" w:type="pct"/>
          </w:tcPr>
          <w:p w14:paraId="746FA9A4" w14:textId="77777777" w:rsidR="0051492F" w:rsidRPr="006945CD" w:rsidRDefault="0051492F" w:rsidP="00660EF2">
            <w:pPr>
              <w:jc w:val="center"/>
              <w:rPr>
                <w:color w:val="000000" w:themeColor="text1"/>
              </w:rPr>
            </w:pPr>
          </w:p>
          <w:p w14:paraId="7ACBE43F" w14:textId="77777777" w:rsidR="00E22A1D" w:rsidRPr="006945CD" w:rsidRDefault="00E22A1D" w:rsidP="00660EF2">
            <w:pPr>
              <w:jc w:val="center"/>
              <w:rPr>
                <w:color w:val="000000" w:themeColor="text1"/>
              </w:rPr>
            </w:pPr>
            <w:r w:rsidRPr="006945CD">
              <w:rPr>
                <w:color w:val="000000" w:themeColor="text1"/>
              </w:rPr>
              <w:t>Internal finance isn’t ‘free’ – it comes with an associated opportunity cost.</w:t>
            </w:r>
          </w:p>
          <w:p w14:paraId="7B0045D6" w14:textId="77777777" w:rsidR="00E22A1D" w:rsidRPr="006945CD" w:rsidRDefault="00E22A1D" w:rsidP="00660EF2">
            <w:pPr>
              <w:jc w:val="center"/>
              <w:rPr>
                <w:color w:val="000000" w:themeColor="text1"/>
              </w:rPr>
            </w:pPr>
            <w:r w:rsidRPr="006945CD">
              <w:rPr>
                <w:color w:val="000000" w:themeColor="text1"/>
              </w:rPr>
              <w:t>Organic growth can be slow, with firms missing out on chances to accelerate their expansion.</w:t>
            </w:r>
          </w:p>
        </w:tc>
      </w:tr>
      <w:tr w:rsidR="0051492F" w14:paraId="139CCA08" w14:textId="77777777" w:rsidTr="00D0227F">
        <w:trPr>
          <w:trHeight w:val="2346"/>
        </w:trPr>
        <w:tc>
          <w:tcPr>
            <w:tcW w:w="827" w:type="pct"/>
          </w:tcPr>
          <w:p w14:paraId="69F8C9C8" w14:textId="77777777" w:rsidR="000408DB" w:rsidRDefault="000408DB" w:rsidP="00053FC0">
            <w:pPr>
              <w:jc w:val="both"/>
            </w:pPr>
          </w:p>
          <w:p w14:paraId="0861F8D8" w14:textId="77777777" w:rsidR="000408DB" w:rsidRDefault="000408DB" w:rsidP="00053FC0">
            <w:pPr>
              <w:jc w:val="both"/>
            </w:pPr>
          </w:p>
          <w:p w14:paraId="31941B42" w14:textId="77777777" w:rsidR="0051492F" w:rsidRDefault="0051492F" w:rsidP="00053FC0">
            <w:pPr>
              <w:jc w:val="both"/>
            </w:pPr>
            <w:r>
              <w:t>Forward integration</w:t>
            </w:r>
          </w:p>
        </w:tc>
        <w:tc>
          <w:tcPr>
            <w:tcW w:w="1072" w:type="pct"/>
          </w:tcPr>
          <w:p w14:paraId="19E693F0" w14:textId="77777777" w:rsidR="003702B8" w:rsidRPr="006945CD" w:rsidRDefault="003702B8" w:rsidP="00660EF2">
            <w:pPr>
              <w:jc w:val="center"/>
              <w:rPr>
                <w:color w:val="000000" w:themeColor="text1"/>
              </w:rPr>
            </w:pPr>
          </w:p>
          <w:p w14:paraId="3DC61350" w14:textId="77777777" w:rsidR="00660EF2" w:rsidRPr="006945CD" w:rsidRDefault="00660EF2" w:rsidP="00660EF2">
            <w:pPr>
              <w:jc w:val="center"/>
              <w:rPr>
                <w:color w:val="000000" w:themeColor="text1"/>
              </w:rPr>
            </w:pPr>
          </w:p>
          <w:p w14:paraId="72DFB595" w14:textId="77777777" w:rsidR="00660EF2" w:rsidRPr="006945CD" w:rsidRDefault="00660EF2" w:rsidP="00660EF2">
            <w:pPr>
              <w:jc w:val="center"/>
              <w:rPr>
                <w:color w:val="000000" w:themeColor="text1"/>
              </w:rPr>
            </w:pPr>
            <w:r w:rsidRPr="006945CD">
              <w:rPr>
                <w:color w:val="000000" w:themeColor="text1"/>
              </w:rPr>
              <w:t>A firm integrates through acquisition of a customer in its distribution chain.</w:t>
            </w:r>
          </w:p>
        </w:tc>
        <w:tc>
          <w:tcPr>
            <w:tcW w:w="1551" w:type="pct"/>
          </w:tcPr>
          <w:p w14:paraId="0B4606F3" w14:textId="77777777" w:rsidR="0051492F" w:rsidRPr="006945CD" w:rsidRDefault="0051492F" w:rsidP="00660EF2">
            <w:pPr>
              <w:jc w:val="center"/>
              <w:rPr>
                <w:color w:val="000000" w:themeColor="text1"/>
              </w:rPr>
            </w:pPr>
          </w:p>
          <w:p w14:paraId="18854875" w14:textId="77777777" w:rsidR="00E22A1D" w:rsidRPr="006945CD" w:rsidRDefault="00E22A1D" w:rsidP="00660EF2">
            <w:pPr>
              <w:jc w:val="center"/>
              <w:rPr>
                <w:color w:val="000000" w:themeColor="text1"/>
              </w:rPr>
            </w:pPr>
            <w:r w:rsidRPr="006945CD">
              <w:rPr>
                <w:color w:val="000000" w:themeColor="text1"/>
              </w:rPr>
              <w:t>A firm is likely to understand its customers’ needs and behave accordingly.</w:t>
            </w:r>
          </w:p>
          <w:p w14:paraId="4C39827A" w14:textId="77777777" w:rsidR="00E22A1D" w:rsidRPr="006945CD" w:rsidRDefault="00E22A1D" w:rsidP="00660EF2">
            <w:pPr>
              <w:jc w:val="center"/>
              <w:rPr>
                <w:color w:val="000000" w:themeColor="text1"/>
              </w:rPr>
            </w:pPr>
            <w:r w:rsidRPr="006945CD">
              <w:rPr>
                <w:color w:val="000000" w:themeColor="text1"/>
              </w:rPr>
              <w:t>Growth can be more rapid, building on and expanding existing distribution channels.</w:t>
            </w:r>
          </w:p>
        </w:tc>
        <w:tc>
          <w:tcPr>
            <w:tcW w:w="1551" w:type="pct"/>
          </w:tcPr>
          <w:p w14:paraId="554F5138" w14:textId="77777777" w:rsidR="0051492F" w:rsidRPr="006945CD" w:rsidRDefault="0051492F" w:rsidP="00660EF2">
            <w:pPr>
              <w:jc w:val="center"/>
              <w:rPr>
                <w:color w:val="000000" w:themeColor="text1"/>
              </w:rPr>
            </w:pPr>
          </w:p>
          <w:p w14:paraId="5EEBB572" w14:textId="77777777" w:rsidR="00E22A1D" w:rsidRPr="006945CD" w:rsidRDefault="00E22A1D" w:rsidP="00E22A1D">
            <w:pPr>
              <w:jc w:val="center"/>
              <w:rPr>
                <w:color w:val="000000" w:themeColor="text1"/>
              </w:rPr>
            </w:pPr>
            <w:r w:rsidRPr="006945CD">
              <w:rPr>
                <w:color w:val="000000" w:themeColor="text1"/>
              </w:rPr>
              <w:t>Integration is not risk free, with plenty of scope for problems.  Expected efficiencies may not be found and fresh problems arise (see Q2 overleaf).</w:t>
            </w:r>
          </w:p>
        </w:tc>
      </w:tr>
      <w:tr w:rsidR="0051492F" w14:paraId="7D33BA3D" w14:textId="77777777" w:rsidTr="00D0227F">
        <w:trPr>
          <w:trHeight w:val="2346"/>
        </w:trPr>
        <w:tc>
          <w:tcPr>
            <w:tcW w:w="827" w:type="pct"/>
          </w:tcPr>
          <w:p w14:paraId="00FF52CD" w14:textId="77777777" w:rsidR="000408DB" w:rsidRDefault="000408DB" w:rsidP="00053FC0">
            <w:pPr>
              <w:jc w:val="both"/>
            </w:pPr>
          </w:p>
          <w:p w14:paraId="5E18374C" w14:textId="77777777" w:rsidR="000408DB" w:rsidRDefault="000408DB" w:rsidP="00053FC0">
            <w:pPr>
              <w:jc w:val="both"/>
            </w:pPr>
          </w:p>
          <w:p w14:paraId="620E3A9F" w14:textId="77777777" w:rsidR="0051492F" w:rsidRDefault="0051492F" w:rsidP="00053FC0">
            <w:pPr>
              <w:jc w:val="both"/>
            </w:pPr>
            <w:r>
              <w:t>Backward integration</w:t>
            </w:r>
          </w:p>
        </w:tc>
        <w:tc>
          <w:tcPr>
            <w:tcW w:w="1072" w:type="pct"/>
          </w:tcPr>
          <w:p w14:paraId="56EBCD29" w14:textId="77777777" w:rsidR="003702B8" w:rsidRPr="006945CD" w:rsidRDefault="003702B8" w:rsidP="00660EF2">
            <w:pPr>
              <w:jc w:val="center"/>
              <w:rPr>
                <w:color w:val="000000" w:themeColor="text1"/>
              </w:rPr>
            </w:pPr>
          </w:p>
          <w:p w14:paraId="2F2A9136" w14:textId="77777777" w:rsidR="00660EF2" w:rsidRPr="006945CD" w:rsidRDefault="00660EF2" w:rsidP="00660EF2">
            <w:pPr>
              <w:jc w:val="center"/>
              <w:rPr>
                <w:color w:val="000000" w:themeColor="text1"/>
              </w:rPr>
            </w:pPr>
          </w:p>
          <w:p w14:paraId="0F118D00" w14:textId="77777777" w:rsidR="00660EF2" w:rsidRPr="006945CD" w:rsidRDefault="00660EF2" w:rsidP="00660EF2">
            <w:pPr>
              <w:jc w:val="center"/>
              <w:rPr>
                <w:color w:val="000000" w:themeColor="text1"/>
              </w:rPr>
            </w:pPr>
            <w:r w:rsidRPr="006945CD">
              <w:rPr>
                <w:color w:val="000000" w:themeColor="text1"/>
              </w:rPr>
              <w:t>A firm integrates through acquisition of a supplier in its production chain.</w:t>
            </w:r>
          </w:p>
        </w:tc>
        <w:tc>
          <w:tcPr>
            <w:tcW w:w="1551" w:type="pct"/>
          </w:tcPr>
          <w:p w14:paraId="2F5AFE4F" w14:textId="77777777" w:rsidR="0051492F" w:rsidRPr="006945CD" w:rsidRDefault="0051492F" w:rsidP="00660EF2">
            <w:pPr>
              <w:jc w:val="center"/>
              <w:rPr>
                <w:color w:val="000000" w:themeColor="text1"/>
              </w:rPr>
            </w:pPr>
          </w:p>
          <w:p w14:paraId="50DAF736" w14:textId="77777777" w:rsidR="00E22A1D" w:rsidRPr="006945CD" w:rsidRDefault="00E22A1D" w:rsidP="00660EF2">
            <w:pPr>
              <w:jc w:val="center"/>
              <w:rPr>
                <w:color w:val="000000" w:themeColor="text1"/>
              </w:rPr>
            </w:pPr>
            <w:r w:rsidRPr="006945CD">
              <w:rPr>
                <w:color w:val="000000" w:themeColor="text1"/>
              </w:rPr>
              <w:t>Most firms understand what they want from their suppliers, so integration with them shou</w:t>
            </w:r>
            <w:r w:rsidR="00D868C3" w:rsidRPr="006945CD">
              <w:rPr>
                <w:color w:val="000000" w:themeColor="text1"/>
              </w:rPr>
              <w:t>ld help the business through</w:t>
            </w:r>
            <w:r w:rsidRPr="006945CD">
              <w:rPr>
                <w:color w:val="000000" w:themeColor="text1"/>
              </w:rPr>
              <w:t xml:space="preserve"> unlocking cost savings and other efficiencies.</w:t>
            </w:r>
          </w:p>
        </w:tc>
        <w:tc>
          <w:tcPr>
            <w:tcW w:w="1551" w:type="pct"/>
          </w:tcPr>
          <w:p w14:paraId="7B4ABCA3" w14:textId="77777777" w:rsidR="00D868C3" w:rsidRPr="006945CD" w:rsidRDefault="00D868C3" w:rsidP="00660EF2">
            <w:pPr>
              <w:jc w:val="center"/>
              <w:rPr>
                <w:color w:val="000000" w:themeColor="text1"/>
              </w:rPr>
            </w:pPr>
            <w:r w:rsidRPr="006945CD">
              <w:rPr>
                <w:color w:val="000000" w:themeColor="text1"/>
              </w:rPr>
              <w:t>Many firms can find cost savings by not integrating with suppliers, but by shopping for better deals with a range of suppliers.  A significant investment in integration may limit the firm’s room for manoeuvre.</w:t>
            </w:r>
          </w:p>
        </w:tc>
      </w:tr>
      <w:tr w:rsidR="0051492F" w14:paraId="35B461AE" w14:textId="77777777" w:rsidTr="00D0227F">
        <w:trPr>
          <w:trHeight w:val="2346"/>
        </w:trPr>
        <w:tc>
          <w:tcPr>
            <w:tcW w:w="827" w:type="pct"/>
          </w:tcPr>
          <w:p w14:paraId="447CAE45" w14:textId="77777777" w:rsidR="000408DB" w:rsidRDefault="000408DB" w:rsidP="00053FC0">
            <w:pPr>
              <w:jc w:val="both"/>
            </w:pPr>
          </w:p>
          <w:p w14:paraId="7E366D7F" w14:textId="77777777" w:rsidR="000408DB" w:rsidRDefault="000408DB" w:rsidP="00053FC0">
            <w:pPr>
              <w:jc w:val="both"/>
            </w:pPr>
          </w:p>
          <w:p w14:paraId="09139893" w14:textId="77777777" w:rsidR="0051492F" w:rsidRDefault="003307F6" w:rsidP="00053FC0">
            <w:pPr>
              <w:jc w:val="both"/>
            </w:pPr>
            <w:r>
              <w:t>Horizontal integration</w:t>
            </w:r>
          </w:p>
        </w:tc>
        <w:tc>
          <w:tcPr>
            <w:tcW w:w="1072" w:type="pct"/>
          </w:tcPr>
          <w:p w14:paraId="4FD1078F" w14:textId="77777777" w:rsidR="00660EF2" w:rsidRPr="006945CD" w:rsidRDefault="00660EF2" w:rsidP="00660EF2">
            <w:pPr>
              <w:rPr>
                <w:color w:val="000000" w:themeColor="text1"/>
              </w:rPr>
            </w:pPr>
          </w:p>
          <w:p w14:paraId="211BCFB8" w14:textId="77777777" w:rsidR="00660EF2" w:rsidRPr="006945CD" w:rsidRDefault="00660EF2" w:rsidP="00660EF2">
            <w:pPr>
              <w:jc w:val="center"/>
              <w:rPr>
                <w:color w:val="000000" w:themeColor="text1"/>
              </w:rPr>
            </w:pPr>
            <w:r w:rsidRPr="006945CD">
              <w:rPr>
                <w:color w:val="000000" w:themeColor="text1"/>
              </w:rPr>
              <w:t>A firm integrates through acquisition of a competitor firm in the same stage of the production chain.</w:t>
            </w:r>
          </w:p>
        </w:tc>
        <w:tc>
          <w:tcPr>
            <w:tcW w:w="1551" w:type="pct"/>
          </w:tcPr>
          <w:p w14:paraId="42FC865B" w14:textId="77777777" w:rsidR="0051492F" w:rsidRPr="006945CD" w:rsidRDefault="0051492F" w:rsidP="00660EF2">
            <w:pPr>
              <w:jc w:val="center"/>
              <w:rPr>
                <w:color w:val="000000" w:themeColor="text1"/>
              </w:rPr>
            </w:pPr>
          </w:p>
          <w:p w14:paraId="6CBB39F5" w14:textId="3BF087F9" w:rsidR="00D868C3" w:rsidRPr="006945CD" w:rsidRDefault="00D868C3" w:rsidP="00660EF2">
            <w:pPr>
              <w:jc w:val="center"/>
              <w:rPr>
                <w:color w:val="000000" w:themeColor="text1"/>
              </w:rPr>
            </w:pPr>
            <w:r w:rsidRPr="006945CD">
              <w:rPr>
                <w:color w:val="000000" w:themeColor="text1"/>
              </w:rPr>
              <w:t>The model of market penetration is considerably less risky than other ventures, with the added benefit</w:t>
            </w:r>
            <w:r w:rsidR="00C467A1">
              <w:rPr>
                <w:color w:val="000000" w:themeColor="text1"/>
              </w:rPr>
              <w:t>s</w:t>
            </w:r>
            <w:r w:rsidRPr="006945CD">
              <w:rPr>
                <w:color w:val="000000" w:themeColor="text1"/>
              </w:rPr>
              <w:t xml:space="preserve"> of reducing </w:t>
            </w:r>
            <w:r w:rsidR="00C467A1">
              <w:rPr>
                <w:color w:val="000000" w:themeColor="text1"/>
              </w:rPr>
              <w:t>competition in the market place, and of economies of scale.</w:t>
            </w:r>
          </w:p>
        </w:tc>
        <w:tc>
          <w:tcPr>
            <w:tcW w:w="1551" w:type="pct"/>
          </w:tcPr>
          <w:p w14:paraId="65AB513B" w14:textId="77777777" w:rsidR="0051492F" w:rsidRPr="006945CD" w:rsidRDefault="0051492F" w:rsidP="00660EF2">
            <w:pPr>
              <w:jc w:val="center"/>
              <w:rPr>
                <w:color w:val="000000" w:themeColor="text1"/>
              </w:rPr>
            </w:pPr>
          </w:p>
          <w:p w14:paraId="78582D8E" w14:textId="77777777" w:rsidR="00D868C3" w:rsidRPr="006945CD" w:rsidRDefault="00D868C3" w:rsidP="00660EF2">
            <w:pPr>
              <w:jc w:val="center"/>
              <w:rPr>
                <w:color w:val="000000" w:themeColor="text1"/>
              </w:rPr>
            </w:pPr>
            <w:r w:rsidRPr="006945CD">
              <w:rPr>
                <w:color w:val="000000" w:themeColor="text1"/>
              </w:rPr>
              <w:t>Regulators may be hostile to allowing rivals in the same marketplace.</w:t>
            </w:r>
          </w:p>
          <w:p w14:paraId="69D89AB8" w14:textId="77777777" w:rsidR="00D868C3" w:rsidRPr="006945CD" w:rsidRDefault="00D868C3" w:rsidP="00660EF2">
            <w:pPr>
              <w:jc w:val="center"/>
              <w:rPr>
                <w:color w:val="000000" w:themeColor="text1"/>
              </w:rPr>
            </w:pPr>
            <w:r w:rsidRPr="006945CD">
              <w:rPr>
                <w:color w:val="000000" w:themeColor="text1"/>
              </w:rPr>
              <w:t>A superficial similarity between firms may mask deeper differences that unravel after integration.</w:t>
            </w:r>
          </w:p>
        </w:tc>
      </w:tr>
      <w:tr w:rsidR="0051492F" w14:paraId="25856B25" w14:textId="77777777" w:rsidTr="00D0227F">
        <w:trPr>
          <w:trHeight w:val="2346"/>
        </w:trPr>
        <w:tc>
          <w:tcPr>
            <w:tcW w:w="827" w:type="pct"/>
          </w:tcPr>
          <w:p w14:paraId="64142C12" w14:textId="77777777" w:rsidR="000408DB" w:rsidRDefault="000408DB" w:rsidP="00053FC0">
            <w:pPr>
              <w:jc w:val="both"/>
            </w:pPr>
          </w:p>
          <w:p w14:paraId="74EBA2E6" w14:textId="77777777" w:rsidR="000408DB" w:rsidRDefault="000408DB" w:rsidP="00053FC0">
            <w:pPr>
              <w:jc w:val="both"/>
            </w:pPr>
          </w:p>
          <w:p w14:paraId="0ED55522" w14:textId="77777777" w:rsidR="0051492F" w:rsidRDefault="003307F6" w:rsidP="00053FC0">
            <w:pPr>
              <w:jc w:val="both"/>
            </w:pPr>
            <w:r>
              <w:t>Conglomerate integration</w:t>
            </w:r>
          </w:p>
        </w:tc>
        <w:tc>
          <w:tcPr>
            <w:tcW w:w="1072" w:type="pct"/>
          </w:tcPr>
          <w:p w14:paraId="292FAB55" w14:textId="77777777" w:rsidR="00660EF2" w:rsidRPr="006945CD" w:rsidRDefault="00660EF2" w:rsidP="00660EF2">
            <w:pPr>
              <w:jc w:val="center"/>
              <w:rPr>
                <w:color w:val="000000" w:themeColor="text1"/>
              </w:rPr>
            </w:pPr>
            <w:r w:rsidRPr="006945CD">
              <w:rPr>
                <w:color w:val="000000" w:themeColor="text1"/>
              </w:rPr>
              <w:t>A firm integrates through acquisition of a firm whose activities are largely, or entirely, different from the firm’s current activities.</w:t>
            </w:r>
          </w:p>
        </w:tc>
        <w:tc>
          <w:tcPr>
            <w:tcW w:w="1551" w:type="pct"/>
          </w:tcPr>
          <w:p w14:paraId="24CC9547" w14:textId="77777777" w:rsidR="0051492F" w:rsidRPr="006945CD" w:rsidRDefault="0051492F" w:rsidP="00660EF2">
            <w:pPr>
              <w:jc w:val="center"/>
              <w:rPr>
                <w:color w:val="000000" w:themeColor="text1"/>
              </w:rPr>
            </w:pPr>
          </w:p>
          <w:p w14:paraId="57877D83" w14:textId="77777777" w:rsidR="00353B1C" w:rsidRPr="006945CD" w:rsidRDefault="00353B1C" w:rsidP="00660EF2">
            <w:pPr>
              <w:jc w:val="center"/>
              <w:rPr>
                <w:color w:val="000000" w:themeColor="text1"/>
              </w:rPr>
            </w:pPr>
            <w:r w:rsidRPr="006945CD">
              <w:rPr>
                <w:color w:val="000000" w:themeColor="text1"/>
              </w:rPr>
              <w:t>Operating different businesses in different markets – diversification – reduces risks in some sense, providing a shield against the business cycle or other micro/macro volatility.</w:t>
            </w:r>
          </w:p>
        </w:tc>
        <w:tc>
          <w:tcPr>
            <w:tcW w:w="1551" w:type="pct"/>
          </w:tcPr>
          <w:p w14:paraId="03E6F7B0" w14:textId="77777777" w:rsidR="00353B1C" w:rsidRPr="006945CD" w:rsidRDefault="00353B1C" w:rsidP="00660EF2">
            <w:pPr>
              <w:jc w:val="center"/>
              <w:rPr>
                <w:color w:val="000000" w:themeColor="text1"/>
              </w:rPr>
            </w:pPr>
            <w:r w:rsidRPr="006945CD">
              <w:rPr>
                <w:color w:val="000000" w:themeColor="text1"/>
              </w:rPr>
              <w:t>Diversification is the riskiest of integration strategies, since it almost always means a step into the relative unknown.</w:t>
            </w:r>
          </w:p>
          <w:p w14:paraId="4EB8E065" w14:textId="77777777" w:rsidR="00353B1C" w:rsidRPr="006945CD" w:rsidRDefault="00353B1C" w:rsidP="00660EF2">
            <w:pPr>
              <w:jc w:val="center"/>
              <w:rPr>
                <w:color w:val="000000" w:themeColor="text1"/>
              </w:rPr>
            </w:pPr>
            <w:r w:rsidRPr="006945CD">
              <w:rPr>
                <w:color w:val="000000" w:themeColor="text1"/>
              </w:rPr>
              <w:t>It may be difficult for very different businesses to capture economies of scale.</w:t>
            </w:r>
          </w:p>
        </w:tc>
      </w:tr>
    </w:tbl>
    <w:p w14:paraId="0719DD80" w14:textId="77777777" w:rsidR="00C467A1" w:rsidRDefault="00C467A1" w:rsidP="003702B8">
      <w:pPr>
        <w:pBdr>
          <w:bottom w:val="single" w:sz="4" w:space="1" w:color="auto"/>
        </w:pBdr>
        <w:jc w:val="both"/>
      </w:pPr>
    </w:p>
    <w:p w14:paraId="065321EA" w14:textId="77777777" w:rsidR="00C467A1" w:rsidRDefault="00C467A1" w:rsidP="003702B8">
      <w:pPr>
        <w:pBdr>
          <w:bottom w:val="single" w:sz="4" w:space="1" w:color="auto"/>
        </w:pBdr>
        <w:jc w:val="both"/>
      </w:pPr>
    </w:p>
    <w:p w14:paraId="0A6C25DD" w14:textId="77777777" w:rsidR="003307F6" w:rsidRDefault="003307F6" w:rsidP="003702B8">
      <w:pPr>
        <w:pBdr>
          <w:bottom w:val="single" w:sz="4" w:space="1" w:color="auto"/>
        </w:pBdr>
        <w:jc w:val="both"/>
      </w:pPr>
      <w:r>
        <w:t>Q2</w:t>
      </w:r>
    </w:p>
    <w:p w14:paraId="71F54455" w14:textId="77777777" w:rsidR="005038DF" w:rsidRDefault="003307F6" w:rsidP="003307F6">
      <w:pPr>
        <w:jc w:val="both"/>
      </w:pPr>
      <w:r>
        <w:t xml:space="preserve">Read the following text.  </w:t>
      </w:r>
      <w:r w:rsidRPr="005038DF">
        <w:rPr>
          <w:b/>
        </w:rPr>
        <w:t>Re-write the commentary</w:t>
      </w:r>
      <w:r>
        <w:t xml:space="preserve">, explaining why </w:t>
      </w:r>
      <w:r w:rsidR="005038DF">
        <w:t>some</w:t>
      </w:r>
      <w:r>
        <w:t xml:space="preserve"> mergers are characterised by a </w:t>
      </w:r>
      <w:r w:rsidRPr="005038DF">
        <w:rPr>
          <w:i/>
        </w:rPr>
        <w:t>loss</w:t>
      </w:r>
      <w:r>
        <w:t xml:space="preserve"> of efficiency and shareholder value</w:t>
      </w:r>
      <w:r w:rsidR="003702B8">
        <w:t>.</w:t>
      </w:r>
    </w:p>
    <w:p w14:paraId="694B61CB" w14:textId="77777777" w:rsidR="003702B8" w:rsidRDefault="003702B8" w:rsidP="003702B8">
      <w:pPr>
        <w:pBdr>
          <w:top w:val="single" w:sz="4" w:space="1" w:color="auto"/>
          <w:left w:val="single" w:sz="4" w:space="4" w:color="auto"/>
          <w:bottom w:val="single" w:sz="4" w:space="1" w:color="auto"/>
          <w:right w:val="single" w:sz="4" w:space="4" w:color="auto"/>
        </w:pBdr>
        <w:jc w:val="both"/>
      </w:pPr>
    </w:p>
    <w:p w14:paraId="0BF39EC3" w14:textId="77777777" w:rsidR="005038DF" w:rsidRPr="006945CD" w:rsidRDefault="005038DF" w:rsidP="003702B8">
      <w:pPr>
        <w:pBdr>
          <w:top w:val="single" w:sz="4" w:space="1" w:color="auto"/>
          <w:left w:val="single" w:sz="4" w:space="4" w:color="auto"/>
          <w:bottom w:val="single" w:sz="4" w:space="1" w:color="auto"/>
          <w:right w:val="single" w:sz="4" w:space="4" w:color="auto"/>
        </w:pBdr>
        <w:jc w:val="both"/>
        <w:rPr>
          <w:i/>
          <w:color w:val="000000" w:themeColor="text1"/>
        </w:rPr>
      </w:pPr>
      <w:r w:rsidRPr="006945CD">
        <w:rPr>
          <w:i/>
          <w:color w:val="000000" w:themeColor="text1"/>
        </w:rPr>
        <w:t>Why some mergers can boost economic efficiency and lead to higher returns for shareholders</w:t>
      </w:r>
    </w:p>
    <w:p w14:paraId="52C45989" w14:textId="1377D106" w:rsidR="003307F6" w:rsidRPr="006945CD" w:rsidRDefault="00C467A1" w:rsidP="003702B8">
      <w:pPr>
        <w:pBdr>
          <w:top w:val="single" w:sz="4" w:space="1" w:color="auto"/>
          <w:left w:val="single" w:sz="4" w:space="4" w:color="auto"/>
          <w:bottom w:val="single" w:sz="4" w:space="1" w:color="auto"/>
          <w:right w:val="single" w:sz="4" w:space="4" w:color="auto"/>
        </w:pBdr>
        <w:jc w:val="both"/>
        <w:rPr>
          <w:color w:val="000000" w:themeColor="text1"/>
        </w:rPr>
      </w:pPr>
      <w:r w:rsidRPr="006945CD">
        <w:rPr>
          <w:color w:val="000000" w:themeColor="text1"/>
        </w:rPr>
        <w:t xml:space="preserve"> </w:t>
      </w:r>
      <w:r w:rsidR="005038DF" w:rsidRPr="006945CD">
        <w:rPr>
          <w:color w:val="000000" w:themeColor="text1"/>
        </w:rPr>
        <w:t xml:space="preserve">“This is most likely to occur where information is distributed evenly between directors of the two firms about to merge, and each has a clear picture of how the other performs.  The firms should have clear objectives, and a rationale for integrating their business.  Economies of scale should be easy to capture, and there </w:t>
      </w:r>
      <w:r w:rsidR="003702B8" w:rsidRPr="006945CD">
        <w:rPr>
          <w:color w:val="000000" w:themeColor="text1"/>
        </w:rPr>
        <w:t>are</w:t>
      </w:r>
      <w:r w:rsidR="005038DF" w:rsidRPr="006945CD">
        <w:rPr>
          <w:color w:val="000000" w:themeColor="text1"/>
        </w:rPr>
        <w:t xml:space="preserve"> effective plans put in place to manage diseconomies of scale and x-inefficiencies that arise in the bigger, merged, business.</w:t>
      </w:r>
    </w:p>
    <w:p w14:paraId="77BE7413" w14:textId="77777777" w:rsidR="00D67C2A" w:rsidRPr="00D67C2A" w:rsidRDefault="00D67C2A" w:rsidP="00D67C2A">
      <w:pPr>
        <w:pBdr>
          <w:top w:val="single" w:sz="4" w:space="1" w:color="auto"/>
          <w:left w:val="single" w:sz="4" w:space="4" w:color="auto"/>
          <w:bottom w:val="single" w:sz="4" w:space="1" w:color="auto"/>
          <w:right w:val="single" w:sz="4" w:space="4" w:color="auto"/>
        </w:pBdr>
        <w:jc w:val="both"/>
        <w:rPr>
          <w:i/>
          <w:color w:val="FF0000"/>
        </w:rPr>
      </w:pPr>
      <w:r w:rsidRPr="00D67C2A">
        <w:rPr>
          <w:i/>
          <w:color w:val="FF0000"/>
        </w:rPr>
        <w:t>Why some mergers reduce economic efficiency and decrease shareholder value</w:t>
      </w:r>
    </w:p>
    <w:p w14:paraId="6078026C" w14:textId="77777777" w:rsidR="00D67C2A" w:rsidRPr="00D67C2A" w:rsidRDefault="00D67C2A" w:rsidP="00D67C2A">
      <w:pPr>
        <w:pBdr>
          <w:top w:val="single" w:sz="4" w:space="1" w:color="auto"/>
          <w:left w:val="single" w:sz="4" w:space="4" w:color="auto"/>
          <w:bottom w:val="single" w:sz="4" w:space="1" w:color="auto"/>
          <w:right w:val="single" w:sz="4" w:space="4" w:color="auto"/>
        </w:pBdr>
        <w:jc w:val="both"/>
        <w:rPr>
          <w:color w:val="FF0000"/>
        </w:rPr>
      </w:pPr>
      <w:r w:rsidRPr="00D67C2A">
        <w:rPr>
          <w:color w:val="FF0000"/>
        </w:rPr>
        <w:t xml:space="preserve"> “This situation is especially liable to occur where there is an asymmetric distribution of information between the merging parties, setting the scene for error and poor decision making.  Often mergers fail where objectives have not been agreed and there seems little obvious logic behind the merger.  Very often, economies of scale can be difficult to attain, with the bigger business costly to run and weighed down by x-inefficiencies.</w:t>
      </w:r>
    </w:p>
    <w:p w14:paraId="34C577C0" w14:textId="77777777" w:rsidR="00C467A1" w:rsidRPr="006945CD" w:rsidRDefault="00C467A1" w:rsidP="00C467A1">
      <w:pPr>
        <w:pBdr>
          <w:top w:val="single" w:sz="4" w:space="1" w:color="auto"/>
          <w:left w:val="single" w:sz="4" w:space="4" w:color="auto"/>
          <w:bottom w:val="single" w:sz="4" w:space="1" w:color="auto"/>
          <w:right w:val="single" w:sz="4" w:space="4" w:color="auto"/>
        </w:pBdr>
        <w:jc w:val="both"/>
        <w:rPr>
          <w:color w:val="000000" w:themeColor="text1"/>
        </w:rPr>
      </w:pPr>
      <w:r w:rsidRPr="006945CD">
        <w:rPr>
          <w:color w:val="000000" w:themeColor="text1"/>
        </w:rPr>
        <w:t>Human behaviour factors are important to consider. A merger is most likely to be judged a success when it leads to a long run improvement in a firm’s value and efficiency – not when the merger is driven by the egos of managers chasing a bonus, or the prestige a merger might bring.  And gains for consumers are most likely to be realised if the firm’s employees are well managed and also see some gains through the merger process”.</w:t>
      </w:r>
    </w:p>
    <w:p w14:paraId="6FD846B1" w14:textId="77777777" w:rsidR="003702B8" w:rsidRPr="00D67C2A" w:rsidRDefault="006A3135" w:rsidP="003702B8">
      <w:pPr>
        <w:pBdr>
          <w:top w:val="single" w:sz="4" w:space="1" w:color="auto"/>
          <w:left w:val="single" w:sz="4" w:space="4" w:color="auto"/>
          <w:bottom w:val="single" w:sz="4" w:space="1" w:color="auto"/>
          <w:right w:val="single" w:sz="4" w:space="4" w:color="auto"/>
        </w:pBdr>
        <w:jc w:val="both"/>
        <w:rPr>
          <w:color w:val="FF0000"/>
        </w:rPr>
      </w:pPr>
      <w:r w:rsidRPr="00D67C2A">
        <w:rPr>
          <w:color w:val="FF0000"/>
        </w:rPr>
        <w:t>The motivation behind many mergers can simply be a desire by managers to prove that they can secure a significant deal between two firms.  They may be motivated by personal financial gain rather than the benefit of shareholders (the ‘principal agent’ problem).  Too often mergers proceed without due consultation with employees, causing productivity and performance to fall”.</w:t>
      </w:r>
    </w:p>
    <w:p w14:paraId="571CE2F8" w14:textId="77777777" w:rsidR="006A3135" w:rsidRDefault="006A3135" w:rsidP="003702B8">
      <w:pPr>
        <w:pBdr>
          <w:top w:val="single" w:sz="4" w:space="1" w:color="auto"/>
          <w:left w:val="single" w:sz="4" w:space="4" w:color="auto"/>
          <w:bottom w:val="single" w:sz="4" w:space="1" w:color="auto"/>
          <w:right w:val="single" w:sz="4" w:space="4" w:color="auto"/>
        </w:pBdr>
        <w:jc w:val="both"/>
      </w:pPr>
    </w:p>
    <w:p w14:paraId="0A3C28E0" w14:textId="77777777" w:rsidR="006A3135" w:rsidRDefault="006A3135" w:rsidP="003307F6">
      <w:pPr>
        <w:pStyle w:val="Heading2"/>
        <w:jc w:val="both"/>
      </w:pPr>
      <w:bookmarkStart w:id="0" w:name="_Toc450231100"/>
    </w:p>
    <w:bookmarkEnd w:id="0"/>
    <w:p w14:paraId="108EBBB2" w14:textId="77777777" w:rsidR="00D0227F" w:rsidRPr="006945CD" w:rsidRDefault="00D0227F" w:rsidP="00D0227F">
      <w:pPr>
        <w:pBdr>
          <w:bottom w:val="single" w:sz="4" w:space="1" w:color="auto"/>
        </w:pBdr>
        <w:jc w:val="both"/>
        <w:rPr>
          <w:color w:val="000000" w:themeColor="text1"/>
        </w:rPr>
      </w:pPr>
      <w:r w:rsidRPr="006945CD">
        <w:rPr>
          <w:color w:val="000000" w:themeColor="text1"/>
        </w:rPr>
        <w:t>Q3</w:t>
      </w:r>
    </w:p>
    <w:p w14:paraId="4EC3579B" w14:textId="77777777" w:rsidR="0051492F" w:rsidRPr="006945CD" w:rsidRDefault="003307F6" w:rsidP="003307F6">
      <w:pPr>
        <w:jc w:val="both"/>
        <w:rPr>
          <w:color w:val="000000" w:themeColor="text1"/>
        </w:rPr>
      </w:pPr>
      <w:r w:rsidRPr="006945CD">
        <w:rPr>
          <w:color w:val="000000" w:themeColor="text1"/>
        </w:rPr>
        <w:t xml:space="preserve">Define the term </w:t>
      </w:r>
      <w:r w:rsidRPr="006945CD">
        <w:rPr>
          <w:b/>
          <w:color w:val="000000" w:themeColor="text1"/>
        </w:rPr>
        <w:t>labour productivity</w:t>
      </w:r>
    </w:p>
    <w:p w14:paraId="3704BB23" w14:textId="77777777" w:rsidR="00F32553" w:rsidRPr="006945CD" w:rsidRDefault="006A3135" w:rsidP="00053FC0">
      <w:pPr>
        <w:jc w:val="both"/>
        <w:rPr>
          <w:color w:val="000000" w:themeColor="text1"/>
        </w:rPr>
      </w:pPr>
      <w:r w:rsidRPr="006945CD">
        <w:rPr>
          <w:color w:val="000000" w:themeColor="text1"/>
        </w:rPr>
        <w:t>Total output divided by size of workforce.  This gives a figure equivalent to output per person.</w:t>
      </w:r>
    </w:p>
    <w:p w14:paraId="4B8C01C9" w14:textId="77777777" w:rsidR="006A3135" w:rsidRDefault="006A3135" w:rsidP="00053FC0">
      <w:pPr>
        <w:jc w:val="both"/>
      </w:pPr>
    </w:p>
    <w:p w14:paraId="552D4E37" w14:textId="77777777" w:rsidR="00D0227F" w:rsidRDefault="00D0227F" w:rsidP="00B447E4">
      <w:pPr>
        <w:pBdr>
          <w:bottom w:val="single" w:sz="4" w:space="1" w:color="auto"/>
        </w:pBdr>
        <w:jc w:val="both"/>
      </w:pPr>
      <w:r>
        <w:t>Q4</w:t>
      </w:r>
    </w:p>
    <w:p w14:paraId="461E77C9" w14:textId="77777777" w:rsidR="00B447E4" w:rsidRPr="006945CD" w:rsidRDefault="00B447E4" w:rsidP="00053FC0">
      <w:pPr>
        <w:jc w:val="both"/>
        <w:rPr>
          <w:color w:val="000000" w:themeColor="text1"/>
        </w:rPr>
      </w:pPr>
      <w:r w:rsidRPr="006945CD">
        <w:rPr>
          <w:color w:val="000000" w:themeColor="text1"/>
        </w:rPr>
        <w:t xml:space="preserve">Which of these </w:t>
      </w:r>
      <w:r w:rsidR="000B252B" w:rsidRPr="006945CD">
        <w:rPr>
          <w:color w:val="000000" w:themeColor="text1"/>
        </w:rPr>
        <w:t xml:space="preserve">three </w:t>
      </w:r>
      <w:r w:rsidRPr="006945CD">
        <w:rPr>
          <w:color w:val="000000" w:themeColor="text1"/>
        </w:rPr>
        <w:t>firms has:</w:t>
      </w:r>
    </w:p>
    <w:p w14:paraId="19E631C3" w14:textId="77777777" w:rsidR="00D0227F" w:rsidRPr="006945CD" w:rsidRDefault="00B447E4" w:rsidP="00B447E4">
      <w:pPr>
        <w:pStyle w:val="ListParagraph"/>
        <w:numPr>
          <w:ilvl w:val="0"/>
          <w:numId w:val="3"/>
        </w:numPr>
        <w:jc w:val="both"/>
        <w:rPr>
          <w:color w:val="000000" w:themeColor="text1"/>
        </w:rPr>
      </w:pPr>
      <w:r w:rsidRPr="006945CD">
        <w:rPr>
          <w:color w:val="000000" w:themeColor="text1"/>
        </w:rPr>
        <w:lastRenderedPageBreak/>
        <w:t xml:space="preserve">the highest </w:t>
      </w:r>
      <w:r w:rsidRPr="006945CD">
        <w:rPr>
          <w:b/>
          <w:color w:val="000000" w:themeColor="text1"/>
        </w:rPr>
        <w:t>labour productivity</w:t>
      </w:r>
    </w:p>
    <w:p w14:paraId="2F0FD437" w14:textId="77777777" w:rsidR="009F7904" w:rsidRPr="006945CD" w:rsidRDefault="00B447E4" w:rsidP="009F7904">
      <w:pPr>
        <w:pStyle w:val="ListParagraph"/>
        <w:numPr>
          <w:ilvl w:val="0"/>
          <w:numId w:val="3"/>
        </w:numPr>
        <w:jc w:val="both"/>
        <w:rPr>
          <w:color w:val="000000" w:themeColor="text1"/>
        </w:rPr>
      </w:pPr>
      <w:r w:rsidRPr="006945CD">
        <w:rPr>
          <w:color w:val="000000" w:themeColor="text1"/>
        </w:rPr>
        <w:t xml:space="preserve">the lowest </w:t>
      </w:r>
      <w:r w:rsidRPr="006945CD">
        <w:rPr>
          <w:b/>
          <w:color w:val="000000" w:themeColor="text1"/>
        </w:rPr>
        <w:t>unit labour costs</w:t>
      </w:r>
      <w:r w:rsidR="009F7904" w:rsidRPr="006945CD">
        <w:rPr>
          <w:color w:val="000000" w:themeColor="text1"/>
        </w:rPr>
        <w:fldChar w:fldCharType="begin"/>
      </w:r>
      <w:r w:rsidR="009F7904" w:rsidRPr="006945CD">
        <w:rPr>
          <w:color w:val="000000" w:themeColor="text1"/>
        </w:rPr>
        <w:instrText xml:space="preserve"> LINK Excel.Sheet.12 "C:\\Users\\RGardiner\\Desktop\\Copy of Book1.xlsx" "Sheet1!R1C1:R4C6" \a \f 4 \h </w:instrText>
      </w:r>
      <w:r w:rsidR="009F7904" w:rsidRPr="006945CD">
        <w:rPr>
          <w:color w:val="000000" w:themeColor="text1"/>
        </w:rPr>
        <w:fldChar w:fldCharType="separate"/>
      </w:r>
    </w:p>
    <w:tbl>
      <w:tblPr>
        <w:tblW w:w="8880" w:type="dxa"/>
        <w:tblInd w:w="108" w:type="dxa"/>
        <w:tblLook w:val="04A0" w:firstRow="1" w:lastRow="0" w:firstColumn="1" w:lastColumn="0" w:noHBand="0" w:noVBand="1"/>
      </w:tblPr>
      <w:tblGrid>
        <w:gridCol w:w="820"/>
        <w:gridCol w:w="1120"/>
        <w:gridCol w:w="1360"/>
        <w:gridCol w:w="2020"/>
        <w:gridCol w:w="1740"/>
        <w:gridCol w:w="1820"/>
      </w:tblGrid>
      <w:tr w:rsidR="006945CD" w:rsidRPr="006945CD" w14:paraId="74E5DF71" w14:textId="77777777" w:rsidTr="009F7904">
        <w:trPr>
          <w:trHeight w:val="420"/>
        </w:trPr>
        <w:tc>
          <w:tcPr>
            <w:tcW w:w="8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4D1BAC" w14:textId="77777777" w:rsidR="009F7904" w:rsidRPr="006945CD" w:rsidRDefault="009F7904" w:rsidP="009F7904">
            <w:pPr>
              <w:spacing w:after="0" w:line="240" w:lineRule="auto"/>
              <w:rPr>
                <w:rFonts w:ascii="Calibri" w:eastAsia="Times New Roman" w:hAnsi="Calibri" w:cs="Times New Roman"/>
                <w:color w:val="000000" w:themeColor="text1"/>
              </w:rPr>
            </w:pPr>
            <w:r w:rsidRPr="006945CD">
              <w:rPr>
                <w:rFonts w:ascii="Calibri" w:eastAsia="Times New Roman" w:hAnsi="Calibri" w:cs="Times New Roman"/>
                <w:color w:val="000000" w:themeColor="text1"/>
              </w:rPr>
              <w:t> </w:t>
            </w:r>
          </w:p>
        </w:tc>
        <w:tc>
          <w:tcPr>
            <w:tcW w:w="1120" w:type="dxa"/>
            <w:tcBorders>
              <w:top w:val="single" w:sz="4" w:space="0" w:color="auto"/>
              <w:left w:val="nil"/>
              <w:bottom w:val="single" w:sz="4" w:space="0" w:color="auto"/>
              <w:right w:val="single" w:sz="4" w:space="0" w:color="auto"/>
            </w:tcBorders>
            <w:shd w:val="clear" w:color="auto" w:fill="auto"/>
            <w:vAlign w:val="bottom"/>
            <w:hideMark/>
          </w:tcPr>
          <w:p w14:paraId="622B5938"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Output</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14:paraId="340A9AFA"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Employees</w:t>
            </w:r>
          </w:p>
        </w:tc>
        <w:tc>
          <w:tcPr>
            <w:tcW w:w="2020" w:type="dxa"/>
            <w:tcBorders>
              <w:top w:val="single" w:sz="4" w:space="0" w:color="auto"/>
              <w:left w:val="nil"/>
              <w:bottom w:val="single" w:sz="4" w:space="0" w:color="auto"/>
              <w:right w:val="single" w:sz="4" w:space="0" w:color="auto"/>
            </w:tcBorders>
            <w:shd w:val="clear" w:color="000000" w:fill="EEECE1"/>
            <w:vAlign w:val="bottom"/>
            <w:hideMark/>
          </w:tcPr>
          <w:p w14:paraId="15E8364D"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Labour productivity</w:t>
            </w:r>
          </w:p>
        </w:tc>
        <w:tc>
          <w:tcPr>
            <w:tcW w:w="1740" w:type="dxa"/>
            <w:tcBorders>
              <w:top w:val="single" w:sz="4" w:space="0" w:color="auto"/>
              <w:left w:val="nil"/>
              <w:bottom w:val="single" w:sz="4" w:space="0" w:color="auto"/>
              <w:right w:val="single" w:sz="4" w:space="0" w:color="auto"/>
            </w:tcBorders>
            <w:shd w:val="clear" w:color="000000" w:fill="FFFFFF"/>
            <w:vAlign w:val="bottom"/>
            <w:hideMark/>
          </w:tcPr>
          <w:p w14:paraId="0877D469"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Wage bill/month</w:t>
            </w:r>
          </w:p>
        </w:tc>
        <w:tc>
          <w:tcPr>
            <w:tcW w:w="1820" w:type="dxa"/>
            <w:tcBorders>
              <w:top w:val="single" w:sz="4" w:space="0" w:color="auto"/>
              <w:left w:val="nil"/>
              <w:bottom w:val="single" w:sz="4" w:space="0" w:color="auto"/>
              <w:right w:val="single" w:sz="4" w:space="0" w:color="auto"/>
            </w:tcBorders>
            <w:shd w:val="clear" w:color="000000" w:fill="F2F2F2"/>
            <w:vAlign w:val="bottom"/>
            <w:hideMark/>
          </w:tcPr>
          <w:p w14:paraId="781C689A"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Unit labour cost</w:t>
            </w:r>
          </w:p>
        </w:tc>
      </w:tr>
      <w:tr w:rsidR="006945CD" w:rsidRPr="006945CD" w14:paraId="212E1C18" w14:textId="77777777" w:rsidTr="009F790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1B9E9DD" w14:textId="77777777" w:rsidR="009F7904" w:rsidRPr="006945CD" w:rsidRDefault="009F7904" w:rsidP="009F7904">
            <w:pPr>
              <w:spacing w:after="0" w:line="240" w:lineRule="auto"/>
              <w:rPr>
                <w:rFonts w:ascii="Calibri" w:eastAsia="Times New Roman" w:hAnsi="Calibri" w:cs="Times New Roman"/>
                <w:color w:val="000000" w:themeColor="text1"/>
              </w:rPr>
            </w:pPr>
            <w:r w:rsidRPr="006945CD">
              <w:rPr>
                <w:rFonts w:ascii="Calibri" w:eastAsia="Times New Roman" w:hAnsi="Calibri" w:cs="Times New Roman"/>
                <w:color w:val="000000" w:themeColor="text1"/>
              </w:rPr>
              <w:t>Firm A</w:t>
            </w:r>
          </w:p>
        </w:tc>
        <w:tc>
          <w:tcPr>
            <w:tcW w:w="1120" w:type="dxa"/>
            <w:tcBorders>
              <w:top w:val="nil"/>
              <w:left w:val="nil"/>
              <w:bottom w:val="single" w:sz="4" w:space="0" w:color="auto"/>
              <w:right w:val="single" w:sz="4" w:space="0" w:color="auto"/>
            </w:tcBorders>
            <w:shd w:val="clear" w:color="auto" w:fill="auto"/>
            <w:noWrap/>
            <w:vAlign w:val="bottom"/>
            <w:hideMark/>
          </w:tcPr>
          <w:p w14:paraId="444D87D8"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12000</w:t>
            </w:r>
          </w:p>
        </w:tc>
        <w:tc>
          <w:tcPr>
            <w:tcW w:w="1360" w:type="dxa"/>
            <w:tcBorders>
              <w:top w:val="nil"/>
              <w:left w:val="nil"/>
              <w:bottom w:val="single" w:sz="4" w:space="0" w:color="auto"/>
              <w:right w:val="single" w:sz="4" w:space="0" w:color="auto"/>
            </w:tcBorders>
            <w:shd w:val="clear" w:color="auto" w:fill="auto"/>
            <w:noWrap/>
            <w:vAlign w:val="bottom"/>
            <w:hideMark/>
          </w:tcPr>
          <w:p w14:paraId="6D614B06"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30</w:t>
            </w:r>
          </w:p>
        </w:tc>
        <w:tc>
          <w:tcPr>
            <w:tcW w:w="2020" w:type="dxa"/>
            <w:tcBorders>
              <w:top w:val="nil"/>
              <w:left w:val="nil"/>
              <w:bottom w:val="single" w:sz="4" w:space="0" w:color="auto"/>
              <w:right w:val="single" w:sz="4" w:space="0" w:color="auto"/>
            </w:tcBorders>
            <w:shd w:val="clear" w:color="000000" w:fill="EEECE1"/>
            <w:noWrap/>
            <w:vAlign w:val="bottom"/>
            <w:hideMark/>
          </w:tcPr>
          <w:p w14:paraId="4888120D"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400</w:t>
            </w:r>
          </w:p>
        </w:tc>
        <w:tc>
          <w:tcPr>
            <w:tcW w:w="1740" w:type="dxa"/>
            <w:tcBorders>
              <w:top w:val="nil"/>
              <w:left w:val="nil"/>
              <w:bottom w:val="single" w:sz="4" w:space="0" w:color="auto"/>
              <w:right w:val="single" w:sz="4" w:space="0" w:color="auto"/>
            </w:tcBorders>
            <w:shd w:val="clear" w:color="000000" w:fill="FFFFFF"/>
            <w:noWrap/>
            <w:vAlign w:val="bottom"/>
            <w:hideMark/>
          </w:tcPr>
          <w:p w14:paraId="272953B7"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£190,000</w:t>
            </w:r>
          </w:p>
        </w:tc>
        <w:tc>
          <w:tcPr>
            <w:tcW w:w="1820" w:type="dxa"/>
            <w:tcBorders>
              <w:top w:val="nil"/>
              <w:left w:val="nil"/>
              <w:bottom w:val="single" w:sz="4" w:space="0" w:color="auto"/>
              <w:right w:val="single" w:sz="4" w:space="0" w:color="auto"/>
            </w:tcBorders>
            <w:shd w:val="clear" w:color="000000" w:fill="F2F2F2"/>
            <w:noWrap/>
            <w:vAlign w:val="bottom"/>
            <w:hideMark/>
          </w:tcPr>
          <w:p w14:paraId="777D68E5"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£15.83</w:t>
            </w:r>
          </w:p>
        </w:tc>
      </w:tr>
      <w:tr w:rsidR="006945CD" w:rsidRPr="006945CD" w14:paraId="2DF36E1A" w14:textId="77777777" w:rsidTr="009F790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0F884C9" w14:textId="77777777" w:rsidR="009F7904" w:rsidRPr="006945CD" w:rsidRDefault="009F7904" w:rsidP="009F7904">
            <w:pPr>
              <w:spacing w:after="0" w:line="240" w:lineRule="auto"/>
              <w:rPr>
                <w:rFonts w:ascii="Calibri" w:eastAsia="Times New Roman" w:hAnsi="Calibri" w:cs="Times New Roman"/>
                <w:color w:val="000000" w:themeColor="text1"/>
              </w:rPr>
            </w:pPr>
            <w:r w:rsidRPr="006945CD">
              <w:rPr>
                <w:rFonts w:ascii="Calibri" w:eastAsia="Times New Roman" w:hAnsi="Calibri" w:cs="Times New Roman"/>
                <w:color w:val="000000" w:themeColor="text1"/>
              </w:rPr>
              <w:t>Firm B</w:t>
            </w:r>
          </w:p>
        </w:tc>
        <w:tc>
          <w:tcPr>
            <w:tcW w:w="1120" w:type="dxa"/>
            <w:tcBorders>
              <w:top w:val="nil"/>
              <w:left w:val="nil"/>
              <w:bottom w:val="single" w:sz="4" w:space="0" w:color="auto"/>
              <w:right w:val="single" w:sz="4" w:space="0" w:color="auto"/>
            </w:tcBorders>
            <w:shd w:val="clear" w:color="auto" w:fill="auto"/>
            <w:noWrap/>
            <w:vAlign w:val="bottom"/>
            <w:hideMark/>
          </w:tcPr>
          <w:p w14:paraId="590AD21C"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6000</w:t>
            </w:r>
          </w:p>
        </w:tc>
        <w:tc>
          <w:tcPr>
            <w:tcW w:w="1360" w:type="dxa"/>
            <w:tcBorders>
              <w:top w:val="nil"/>
              <w:left w:val="nil"/>
              <w:bottom w:val="single" w:sz="4" w:space="0" w:color="auto"/>
              <w:right w:val="single" w:sz="4" w:space="0" w:color="auto"/>
            </w:tcBorders>
            <w:shd w:val="clear" w:color="auto" w:fill="auto"/>
            <w:noWrap/>
            <w:vAlign w:val="bottom"/>
            <w:hideMark/>
          </w:tcPr>
          <w:p w14:paraId="0F2B53C4"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12</w:t>
            </w:r>
          </w:p>
        </w:tc>
        <w:tc>
          <w:tcPr>
            <w:tcW w:w="2020" w:type="dxa"/>
            <w:tcBorders>
              <w:top w:val="nil"/>
              <w:left w:val="nil"/>
              <w:bottom w:val="single" w:sz="4" w:space="0" w:color="auto"/>
              <w:right w:val="single" w:sz="4" w:space="0" w:color="auto"/>
            </w:tcBorders>
            <w:shd w:val="clear" w:color="000000" w:fill="EEECE1"/>
            <w:noWrap/>
            <w:vAlign w:val="bottom"/>
            <w:hideMark/>
          </w:tcPr>
          <w:p w14:paraId="0C39521C"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500</w:t>
            </w:r>
          </w:p>
        </w:tc>
        <w:tc>
          <w:tcPr>
            <w:tcW w:w="1740" w:type="dxa"/>
            <w:tcBorders>
              <w:top w:val="nil"/>
              <w:left w:val="nil"/>
              <w:bottom w:val="single" w:sz="4" w:space="0" w:color="auto"/>
              <w:right w:val="single" w:sz="4" w:space="0" w:color="auto"/>
            </w:tcBorders>
            <w:shd w:val="clear" w:color="000000" w:fill="FFFFFF"/>
            <w:noWrap/>
            <w:vAlign w:val="bottom"/>
            <w:hideMark/>
          </w:tcPr>
          <w:p w14:paraId="0E0FAFBA"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£100,000</w:t>
            </w:r>
          </w:p>
        </w:tc>
        <w:tc>
          <w:tcPr>
            <w:tcW w:w="1820" w:type="dxa"/>
            <w:tcBorders>
              <w:top w:val="nil"/>
              <w:left w:val="nil"/>
              <w:bottom w:val="single" w:sz="4" w:space="0" w:color="auto"/>
              <w:right w:val="single" w:sz="4" w:space="0" w:color="auto"/>
            </w:tcBorders>
            <w:shd w:val="clear" w:color="000000" w:fill="F2F2F2"/>
            <w:noWrap/>
            <w:vAlign w:val="bottom"/>
            <w:hideMark/>
          </w:tcPr>
          <w:p w14:paraId="0AD524DA"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£16.67</w:t>
            </w:r>
          </w:p>
        </w:tc>
      </w:tr>
      <w:tr w:rsidR="006945CD" w:rsidRPr="006945CD" w14:paraId="3E8F7535" w14:textId="77777777" w:rsidTr="009F790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ED3AA0B" w14:textId="77777777" w:rsidR="009F7904" w:rsidRPr="006945CD" w:rsidRDefault="009F7904" w:rsidP="009F7904">
            <w:pPr>
              <w:spacing w:after="0" w:line="240" w:lineRule="auto"/>
              <w:rPr>
                <w:rFonts w:ascii="Calibri" w:eastAsia="Times New Roman" w:hAnsi="Calibri" w:cs="Times New Roman"/>
                <w:color w:val="000000" w:themeColor="text1"/>
              </w:rPr>
            </w:pPr>
            <w:r w:rsidRPr="006945CD">
              <w:rPr>
                <w:rFonts w:ascii="Calibri" w:eastAsia="Times New Roman" w:hAnsi="Calibri" w:cs="Times New Roman"/>
                <w:color w:val="000000" w:themeColor="text1"/>
              </w:rPr>
              <w:t>Firm C</w:t>
            </w:r>
          </w:p>
        </w:tc>
        <w:tc>
          <w:tcPr>
            <w:tcW w:w="1120" w:type="dxa"/>
            <w:tcBorders>
              <w:top w:val="nil"/>
              <w:left w:val="nil"/>
              <w:bottom w:val="single" w:sz="4" w:space="0" w:color="auto"/>
              <w:right w:val="single" w:sz="4" w:space="0" w:color="auto"/>
            </w:tcBorders>
            <w:shd w:val="clear" w:color="auto" w:fill="auto"/>
            <w:noWrap/>
            <w:vAlign w:val="bottom"/>
            <w:hideMark/>
          </w:tcPr>
          <w:p w14:paraId="492F5697"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3600</w:t>
            </w:r>
          </w:p>
        </w:tc>
        <w:tc>
          <w:tcPr>
            <w:tcW w:w="1360" w:type="dxa"/>
            <w:tcBorders>
              <w:top w:val="nil"/>
              <w:left w:val="nil"/>
              <w:bottom w:val="single" w:sz="4" w:space="0" w:color="auto"/>
              <w:right w:val="single" w:sz="4" w:space="0" w:color="auto"/>
            </w:tcBorders>
            <w:shd w:val="clear" w:color="auto" w:fill="auto"/>
            <w:noWrap/>
            <w:vAlign w:val="bottom"/>
            <w:hideMark/>
          </w:tcPr>
          <w:p w14:paraId="3819BC97"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8</w:t>
            </w:r>
          </w:p>
        </w:tc>
        <w:tc>
          <w:tcPr>
            <w:tcW w:w="2020" w:type="dxa"/>
            <w:tcBorders>
              <w:top w:val="nil"/>
              <w:left w:val="nil"/>
              <w:bottom w:val="single" w:sz="4" w:space="0" w:color="auto"/>
              <w:right w:val="single" w:sz="4" w:space="0" w:color="auto"/>
            </w:tcBorders>
            <w:shd w:val="clear" w:color="000000" w:fill="EEECE1"/>
            <w:noWrap/>
            <w:vAlign w:val="bottom"/>
            <w:hideMark/>
          </w:tcPr>
          <w:p w14:paraId="4E64CF9C"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450</w:t>
            </w:r>
          </w:p>
        </w:tc>
        <w:tc>
          <w:tcPr>
            <w:tcW w:w="1740" w:type="dxa"/>
            <w:tcBorders>
              <w:top w:val="nil"/>
              <w:left w:val="nil"/>
              <w:bottom w:val="single" w:sz="4" w:space="0" w:color="auto"/>
              <w:right w:val="single" w:sz="4" w:space="0" w:color="auto"/>
            </w:tcBorders>
            <w:shd w:val="clear" w:color="000000" w:fill="FFFFFF"/>
            <w:noWrap/>
            <w:vAlign w:val="bottom"/>
            <w:hideMark/>
          </w:tcPr>
          <w:p w14:paraId="0C7D7CF3"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£62,000</w:t>
            </w:r>
          </w:p>
        </w:tc>
        <w:tc>
          <w:tcPr>
            <w:tcW w:w="1820" w:type="dxa"/>
            <w:tcBorders>
              <w:top w:val="nil"/>
              <w:left w:val="nil"/>
              <w:bottom w:val="single" w:sz="4" w:space="0" w:color="auto"/>
              <w:right w:val="single" w:sz="4" w:space="0" w:color="auto"/>
            </w:tcBorders>
            <w:shd w:val="clear" w:color="000000" w:fill="F2F2F2"/>
            <w:noWrap/>
            <w:vAlign w:val="bottom"/>
            <w:hideMark/>
          </w:tcPr>
          <w:p w14:paraId="452F319F" w14:textId="77777777" w:rsidR="009F7904" w:rsidRPr="006945CD" w:rsidRDefault="009F7904" w:rsidP="009F7904">
            <w:pPr>
              <w:spacing w:after="0" w:line="240" w:lineRule="auto"/>
              <w:jc w:val="center"/>
              <w:rPr>
                <w:rFonts w:ascii="Calibri" w:eastAsia="Times New Roman" w:hAnsi="Calibri" w:cs="Times New Roman"/>
                <w:color w:val="000000" w:themeColor="text1"/>
              </w:rPr>
            </w:pPr>
            <w:r w:rsidRPr="006945CD">
              <w:rPr>
                <w:rFonts w:ascii="Calibri" w:eastAsia="Times New Roman" w:hAnsi="Calibri" w:cs="Times New Roman"/>
                <w:color w:val="000000" w:themeColor="text1"/>
              </w:rPr>
              <w:t>£17.22</w:t>
            </w:r>
          </w:p>
        </w:tc>
      </w:tr>
    </w:tbl>
    <w:p w14:paraId="209040EE" w14:textId="77777777" w:rsidR="009F7904" w:rsidRPr="006945CD" w:rsidRDefault="009F7904" w:rsidP="009F7904">
      <w:pPr>
        <w:ind w:left="360"/>
        <w:jc w:val="both"/>
        <w:rPr>
          <w:color w:val="000000" w:themeColor="text1"/>
        </w:rPr>
      </w:pPr>
      <w:r w:rsidRPr="006945CD">
        <w:rPr>
          <w:color w:val="000000" w:themeColor="text1"/>
        </w:rPr>
        <w:fldChar w:fldCharType="end"/>
      </w:r>
    </w:p>
    <w:p w14:paraId="5917B9A9" w14:textId="77777777" w:rsidR="006A3135" w:rsidRPr="006945CD" w:rsidRDefault="00574CAE" w:rsidP="009F7904">
      <w:pPr>
        <w:ind w:left="360"/>
        <w:jc w:val="both"/>
        <w:rPr>
          <w:color w:val="000000" w:themeColor="text1"/>
        </w:rPr>
      </w:pPr>
      <w:r w:rsidRPr="006945CD">
        <w:rPr>
          <w:color w:val="000000" w:themeColor="text1"/>
        </w:rPr>
        <w:t>Firm B has the highest labour productivity</w:t>
      </w:r>
    </w:p>
    <w:p w14:paraId="7E3A6201" w14:textId="77777777" w:rsidR="00574CAE" w:rsidRPr="006945CD" w:rsidRDefault="00574CAE" w:rsidP="009F7904">
      <w:pPr>
        <w:ind w:left="360"/>
        <w:jc w:val="both"/>
        <w:rPr>
          <w:color w:val="000000" w:themeColor="text1"/>
        </w:rPr>
      </w:pPr>
      <w:r w:rsidRPr="006945CD">
        <w:rPr>
          <w:color w:val="000000" w:themeColor="text1"/>
        </w:rPr>
        <w:t>Firm A has the lowest unit labour costs</w:t>
      </w:r>
    </w:p>
    <w:p w14:paraId="20CEC9DC" w14:textId="77777777" w:rsidR="00574CAE" w:rsidRPr="006945CD" w:rsidRDefault="00574CAE" w:rsidP="009F7904">
      <w:pPr>
        <w:ind w:left="360"/>
        <w:jc w:val="both"/>
        <w:rPr>
          <w:color w:val="000000" w:themeColor="text1"/>
        </w:rPr>
      </w:pPr>
    </w:p>
    <w:p w14:paraId="3822BC63" w14:textId="77777777" w:rsidR="00574CAE" w:rsidRPr="006945CD" w:rsidRDefault="00574CAE" w:rsidP="009F7904">
      <w:pPr>
        <w:ind w:left="360"/>
        <w:jc w:val="both"/>
        <w:rPr>
          <w:color w:val="000000" w:themeColor="text1"/>
        </w:rPr>
      </w:pPr>
    </w:p>
    <w:p w14:paraId="27A1F609" w14:textId="77777777" w:rsidR="00D0227F" w:rsidRPr="006945CD" w:rsidRDefault="00D0227F" w:rsidP="009F7904">
      <w:pPr>
        <w:pBdr>
          <w:bottom w:val="single" w:sz="4" w:space="1" w:color="auto"/>
        </w:pBdr>
        <w:jc w:val="both"/>
        <w:rPr>
          <w:color w:val="000000" w:themeColor="text1"/>
        </w:rPr>
      </w:pPr>
      <w:r w:rsidRPr="006945CD">
        <w:rPr>
          <w:color w:val="000000" w:themeColor="text1"/>
        </w:rPr>
        <w:t>Q4</w:t>
      </w:r>
    </w:p>
    <w:p w14:paraId="0B688978" w14:textId="77777777" w:rsidR="00F32553" w:rsidRPr="006945CD" w:rsidRDefault="00D0227F" w:rsidP="00C41B97">
      <w:pPr>
        <w:jc w:val="both"/>
        <w:rPr>
          <w:color w:val="000000" w:themeColor="text1"/>
        </w:rPr>
      </w:pPr>
      <w:r w:rsidRPr="006945CD">
        <w:rPr>
          <w:color w:val="000000" w:themeColor="text1"/>
        </w:rPr>
        <w:t>Why might a firm’s labour productivity figure fail to fully and accurately measure the rate to which productivity is rising or falling through time?</w:t>
      </w:r>
    </w:p>
    <w:p w14:paraId="446E7E09" w14:textId="77777777" w:rsidR="006A3135" w:rsidRPr="006945CD" w:rsidRDefault="006A3135" w:rsidP="00C41B97">
      <w:pPr>
        <w:jc w:val="both"/>
        <w:rPr>
          <w:color w:val="000000" w:themeColor="text1"/>
        </w:rPr>
      </w:pPr>
    </w:p>
    <w:p w14:paraId="5DE5F702" w14:textId="77777777" w:rsidR="006A3135" w:rsidRPr="006945CD" w:rsidRDefault="00574CAE" w:rsidP="00574CAE">
      <w:pPr>
        <w:pStyle w:val="ListParagraph"/>
        <w:numPr>
          <w:ilvl w:val="0"/>
          <w:numId w:val="4"/>
        </w:numPr>
        <w:jc w:val="both"/>
        <w:rPr>
          <w:color w:val="000000" w:themeColor="text1"/>
        </w:rPr>
      </w:pPr>
      <w:r w:rsidRPr="006945CD">
        <w:rPr>
          <w:color w:val="000000" w:themeColor="text1"/>
        </w:rPr>
        <w:t>Labour productivity is only a limited measure.  Firms employ other factors of production (land, capital and enterprise) that are often just as important in driving business productivity forwards.  Often a better measure of productivity is TFP (total factor productivity) that measures output against a whole range of inputs.</w:t>
      </w:r>
    </w:p>
    <w:p w14:paraId="5A41FC77" w14:textId="77777777" w:rsidR="00574CAE" w:rsidRPr="006945CD" w:rsidRDefault="00574CAE" w:rsidP="00574CAE">
      <w:pPr>
        <w:pStyle w:val="ListParagraph"/>
        <w:numPr>
          <w:ilvl w:val="0"/>
          <w:numId w:val="4"/>
        </w:numPr>
        <w:jc w:val="both"/>
        <w:rPr>
          <w:color w:val="000000" w:themeColor="text1"/>
        </w:rPr>
      </w:pPr>
      <w:r w:rsidRPr="006945CD">
        <w:rPr>
          <w:color w:val="000000" w:themeColor="text1"/>
        </w:rPr>
        <w:t>Productivity is a simple way to measure simple outputs.  You can see how it would be readily applicable to a coal mine, with a certain number of workers digging a certain amount of coal.  But it is far harder to measure productivity in service-based activities (like health and education) where output is far harder to measure.</w:t>
      </w:r>
    </w:p>
    <w:p w14:paraId="307F3AEC" w14:textId="77777777" w:rsidR="00574CAE" w:rsidRPr="006945CD" w:rsidRDefault="00574CAE" w:rsidP="00574CAE">
      <w:pPr>
        <w:pStyle w:val="ListParagraph"/>
        <w:numPr>
          <w:ilvl w:val="0"/>
          <w:numId w:val="4"/>
        </w:numPr>
        <w:jc w:val="both"/>
        <w:rPr>
          <w:color w:val="000000" w:themeColor="text1"/>
        </w:rPr>
      </w:pPr>
      <w:r w:rsidRPr="006945CD">
        <w:rPr>
          <w:color w:val="000000" w:themeColor="text1"/>
        </w:rPr>
        <w:t>The same problem applies to the difference in the type and quality of outputs that a firm produces.  A simple measure of productivity might appear to show productivity falling through time, when in fact</w:t>
      </w:r>
      <w:bookmarkStart w:id="1" w:name="_GoBack"/>
      <w:bookmarkEnd w:id="1"/>
      <w:r w:rsidRPr="006945CD">
        <w:rPr>
          <w:color w:val="000000" w:themeColor="text1"/>
        </w:rPr>
        <w:t xml:space="preserve"> the product has improved features, is of a higher quality – and sells for a higher price.</w:t>
      </w:r>
    </w:p>
    <w:sectPr w:rsidR="00574CAE" w:rsidRPr="006945C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96818" w14:textId="77777777" w:rsidR="006D570F" w:rsidRDefault="006D570F" w:rsidP="00AA2E92">
      <w:pPr>
        <w:spacing w:after="0" w:line="240" w:lineRule="auto"/>
      </w:pPr>
      <w:r>
        <w:separator/>
      </w:r>
    </w:p>
  </w:endnote>
  <w:endnote w:type="continuationSeparator" w:id="0">
    <w:p w14:paraId="51434620" w14:textId="77777777" w:rsidR="006D570F" w:rsidRDefault="006D570F" w:rsidP="00AA2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1E2CA" w14:textId="77777777" w:rsidR="006D570F" w:rsidRDefault="006D570F" w:rsidP="00AA2E92">
      <w:pPr>
        <w:spacing w:after="0" w:line="240" w:lineRule="auto"/>
      </w:pPr>
      <w:r>
        <w:separator/>
      </w:r>
    </w:p>
  </w:footnote>
  <w:footnote w:type="continuationSeparator" w:id="0">
    <w:p w14:paraId="40C78A8B" w14:textId="77777777" w:rsidR="006D570F" w:rsidRDefault="006D570F" w:rsidP="00AA2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25F2C" w14:textId="3C3F6A5E" w:rsidR="0017313A" w:rsidRPr="006945CD" w:rsidRDefault="00314CC4" w:rsidP="006945CD">
    <w:pPr>
      <w:rPr>
        <w:rFonts w:ascii="Arial Narrow" w:hAnsi="Arial Narrow"/>
        <w:b/>
        <w:color w:val="000000" w:themeColor="text1"/>
        <w:sz w:val="24"/>
        <w:szCs w:val="24"/>
      </w:rPr>
    </w:pPr>
    <w:r>
      <w:rPr>
        <w:rFonts w:ascii="Arial Narrow" w:hAnsi="Arial Narrow"/>
        <w:b/>
        <w:color w:val="000000" w:themeColor="text1"/>
        <w:sz w:val="24"/>
        <w:szCs w:val="24"/>
      </w:rPr>
      <w:t xml:space="preserve">Answers to </w:t>
    </w:r>
    <w:r w:rsidR="006945CD">
      <w:rPr>
        <w:rFonts w:ascii="Arial Narrow" w:hAnsi="Arial Narrow"/>
        <w:b/>
        <w:color w:val="000000" w:themeColor="text1"/>
        <w:sz w:val="24"/>
        <w:szCs w:val="24"/>
      </w:rPr>
      <w:t xml:space="preserve">Specification Topic: </w:t>
    </w:r>
    <w:r w:rsidR="0017313A">
      <w:rPr>
        <w:rFonts w:ascii="Arial Narrow" w:hAnsi="Arial Narrow"/>
        <w:b/>
        <w:color w:val="000000" w:themeColor="text1"/>
        <w:sz w:val="24"/>
        <w:szCs w:val="24"/>
      </w:rPr>
      <w:t>Productivity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611D9"/>
    <w:multiLevelType w:val="hybridMultilevel"/>
    <w:tmpl w:val="74C6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F710D"/>
    <w:multiLevelType w:val="hybridMultilevel"/>
    <w:tmpl w:val="87E4AF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8044D2"/>
    <w:multiLevelType w:val="hybridMultilevel"/>
    <w:tmpl w:val="BBEE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481DD9"/>
    <w:multiLevelType w:val="hybridMultilevel"/>
    <w:tmpl w:val="642A31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553"/>
    <w:rsid w:val="000408DB"/>
    <w:rsid w:val="00053FC0"/>
    <w:rsid w:val="00073AF8"/>
    <w:rsid w:val="000B252B"/>
    <w:rsid w:val="001138BE"/>
    <w:rsid w:val="0017313A"/>
    <w:rsid w:val="002122CD"/>
    <w:rsid w:val="002B27C4"/>
    <w:rsid w:val="00314CC4"/>
    <w:rsid w:val="003307F6"/>
    <w:rsid w:val="00353B1C"/>
    <w:rsid w:val="003702B8"/>
    <w:rsid w:val="003B082E"/>
    <w:rsid w:val="004A67D1"/>
    <w:rsid w:val="005038DF"/>
    <w:rsid w:val="0051492F"/>
    <w:rsid w:val="0052379A"/>
    <w:rsid w:val="00574CAE"/>
    <w:rsid w:val="00660EF2"/>
    <w:rsid w:val="006945CD"/>
    <w:rsid w:val="006A3135"/>
    <w:rsid w:val="006D570F"/>
    <w:rsid w:val="007310E5"/>
    <w:rsid w:val="007647FC"/>
    <w:rsid w:val="00866F78"/>
    <w:rsid w:val="00890A56"/>
    <w:rsid w:val="008F4AFC"/>
    <w:rsid w:val="009D5081"/>
    <w:rsid w:val="009D7987"/>
    <w:rsid w:val="009F7904"/>
    <w:rsid w:val="009F7C07"/>
    <w:rsid w:val="00AA2E92"/>
    <w:rsid w:val="00B447E4"/>
    <w:rsid w:val="00B50541"/>
    <w:rsid w:val="00C04AF0"/>
    <w:rsid w:val="00C229BA"/>
    <w:rsid w:val="00C25229"/>
    <w:rsid w:val="00C41B97"/>
    <w:rsid w:val="00C467A1"/>
    <w:rsid w:val="00D0227F"/>
    <w:rsid w:val="00D67C2A"/>
    <w:rsid w:val="00D7110B"/>
    <w:rsid w:val="00D868C3"/>
    <w:rsid w:val="00D92BE7"/>
    <w:rsid w:val="00E07CC6"/>
    <w:rsid w:val="00E22A1D"/>
    <w:rsid w:val="00F32553"/>
    <w:rsid w:val="00F573DA"/>
    <w:rsid w:val="00F93DC8"/>
    <w:rsid w:val="00FC5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8E04F"/>
  <w15:docId w15:val="{F24EBE91-F6DA-47C5-A254-5EFEE269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25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25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55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3255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F32553"/>
    <w:pPr>
      <w:outlineLvl w:val="9"/>
    </w:pPr>
    <w:rPr>
      <w:lang w:val="en-US" w:eastAsia="ja-JP"/>
    </w:rPr>
  </w:style>
  <w:style w:type="paragraph" w:styleId="TOC1">
    <w:name w:val="toc 1"/>
    <w:basedOn w:val="Normal"/>
    <w:next w:val="Normal"/>
    <w:autoRedefine/>
    <w:uiPriority w:val="39"/>
    <w:unhideWhenUsed/>
    <w:rsid w:val="00F32553"/>
    <w:pPr>
      <w:spacing w:after="100"/>
    </w:pPr>
  </w:style>
  <w:style w:type="paragraph" w:styleId="TOC2">
    <w:name w:val="toc 2"/>
    <w:basedOn w:val="Normal"/>
    <w:next w:val="Normal"/>
    <w:autoRedefine/>
    <w:uiPriority w:val="39"/>
    <w:unhideWhenUsed/>
    <w:rsid w:val="00F32553"/>
    <w:pPr>
      <w:spacing w:after="100"/>
      <w:ind w:left="220"/>
    </w:pPr>
  </w:style>
  <w:style w:type="character" w:styleId="Hyperlink">
    <w:name w:val="Hyperlink"/>
    <w:basedOn w:val="DefaultParagraphFont"/>
    <w:uiPriority w:val="99"/>
    <w:unhideWhenUsed/>
    <w:rsid w:val="00F32553"/>
    <w:rPr>
      <w:color w:val="0000FF" w:themeColor="hyperlink"/>
      <w:u w:val="single"/>
    </w:rPr>
  </w:style>
  <w:style w:type="paragraph" w:styleId="BalloonText">
    <w:name w:val="Balloon Text"/>
    <w:basedOn w:val="Normal"/>
    <w:link w:val="BalloonTextChar"/>
    <w:uiPriority w:val="99"/>
    <w:semiHidden/>
    <w:unhideWhenUsed/>
    <w:rsid w:val="00F325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553"/>
    <w:rPr>
      <w:rFonts w:ascii="Tahoma" w:hAnsi="Tahoma" w:cs="Tahoma"/>
      <w:sz w:val="16"/>
      <w:szCs w:val="16"/>
    </w:rPr>
  </w:style>
  <w:style w:type="paragraph" w:styleId="ListParagraph">
    <w:name w:val="List Paragraph"/>
    <w:basedOn w:val="Normal"/>
    <w:uiPriority w:val="34"/>
    <w:qFormat/>
    <w:rsid w:val="007647FC"/>
    <w:pPr>
      <w:ind w:left="720"/>
      <w:contextualSpacing/>
    </w:pPr>
  </w:style>
  <w:style w:type="paragraph" w:styleId="Header">
    <w:name w:val="header"/>
    <w:basedOn w:val="Normal"/>
    <w:link w:val="HeaderChar"/>
    <w:uiPriority w:val="99"/>
    <w:unhideWhenUsed/>
    <w:rsid w:val="00AA2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E92"/>
  </w:style>
  <w:style w:type="paragraph" w:styleId="Footer">
    <w:name w:val="footer"/>
    <w:basedOn w:val="Normal"/>
    <w:link w:val="FooterChar"/>
    <w:uiPriority w:val="99"/>
    <w:unhideWhenUsed/>
    <w:rsid w:val="00AA2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E92"/>
  </w:style>
  <w:style w:type="table" w:styleId="TableGrid">
    <w:name w:val="Table Grid"/>
    <w:basedOn w:val="TableNormal"/>
    <w:uiPriority w:val="59"/>
    <w:rsid w:val="00514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02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9185">
      <w:bodyDiv w:val="1"/>
      <w:marLeft w:val="0"/>
      <w:marRight w:val="0"/>
      <w:marTop w:val="0"/>
      <w:marBottom w:val="0"/>
      <w:divBdr>
        <w:top w:val="none" w:sz="0" w:space="0" w:color="auto"/>
        <w:left w:val="none" w:sz="0" w:space="0" w:color="auto"/>
        <w:bottom w:val="none" w:sz="0" w:space="0" w:color="auto"/>
        <w:right w:val="none" w:sz="0" w:space="0" w:color="auto"/>
      </w:divBdr>
      <w:divsChild>
        <w:div w:id="492573140">
          <w:marLeft w:val="0"/>
          <w:marRight w:val="0"/>
          <w:marTop w:val="0"/>
          <w:marBottom w:val="0"/>
          <w:divBdr>
            <w:top w:val="none" w:sz="0" w:space="0" w:color="auto"/>
            <w:left w:val="none" w:sz="0" w:space="0" w:color="auto"/>
            <w:bottom w:val="none" w:sz="0" w:space="0" w:color="auto"/>
            <w:right w:val="none" w:sz="0" w:space="0" w:color="auto"/>
          </w:divBdr>
          <w:divsChild>
            <w:div w:id="1639842049">
              <w:marLeft w:val="0"/>
              <w:marRight w:val="0"/>
              <w:marTop w:val="0"/>
              <w:marBottom w:val="0"/>
              <w:divBdr>
                <w:top w:val="none" w:sz="0" w:space="0" w:color="auto"/>
                <w:left w:val="none" w:sz="0" w:space="0" w:color="auto"/>
                <w:bottom w:val="none" w:sz="0" w:space="0" w:color="auto"/>
                <w:right w:val="none" w:sz="0" w:space="0" w:color="auto"/>
              </w:divBdr>
              <w:divsChild>
                <w:div w:id="373699710">
                  <w:marLeft w:val="0"/>
                  <w:marRight w:val="0"/>
                  <w:marTop w:val="0"/>
                  <w:marBottom w:val="0"/>
                  <w:divBdr>
                    <w:top w:val="none" w:sz="0" w:space="0" w:color="auto"/>
                    <w:left w:val="none" w:sz="0" w:space="0" w:color="auto"/>
                    <w:bottom w:val="none" w:sz="0" w:space="0" w:color="auto"/>
                    <w:right w:val="none" w:sz="0" w:space="0" w:color="auto"/>
                  </w:divBdr>
                  <w:divsChild>
                    <w:div w:id="113604250">
                      <w:marLeft w:val="0"/>
                      <w:marRight w:val="0"/>
                      <w:marTop w:val="0"/>
                      <w:marBottom w:val="1320"/>
                      <w:divBdr>
                        <w:top w:val="none" w:sz="0" w:space="0" w:color="auto"/>
                        <w:left w:val="none" w:sz="0" w:space="0" w:color="auto"/>
                        <w:bottom w:val="none" w:sz="0" w:space="0" w:color="auto"/>
                        <w:right w:val="none" w:sz="0" w:space="0" w:color="auto"/>
                      </w:divBdr>
                      <w:divsChild>
                        <w:div w:id="1176840795">
                          <w:marLeft w:val="0"/>
                          <w:marRight w:val="0"/>
                          <w:marTop w:val="0"/>
                          <w:marBottom w:val="0"/>
                          <w:divBdr>
                            <w:top w:val="none" w:sz="0" w:space="0" w:color="auto"/>
                            <w:left w:val="none" w:sz="0" w:space="0" w:color="auto"/>
                            <w:bottom w:val="none" w:sz="0" w:space="0" w:color="auto"/>
                            <w:right w:val="none" w:sz="0" w:space="0" w:color="auto"/>
                          </w:divBdr>
                          <w:divsChild>
                            <w:div w:id="1324821082">
                              <w:marLeft w:val="0"/>
                              <w:marRight w:val="0"/>
                              <w:marTop w:val="0"/>
                              <w:marBottom w:val="0"/>
                              <w:divBdr>
                                <w:top w:val="none" w:sz="0" w:space="0" w:color="auto"/>
                                <w:left w:val="none" w:sz="0" w:space="0" w:color="auto"/>
                                <w:bottom w:val="none" w:sz="0" w:space="0" w:color="auto"/>
                                <w:right w:val="none" w:sz="0" w:space="0" w:color="auto"/>
                              </w:divBdr>
                              <w:divsChild>
                                <w:div w:id="2134639252">
                                  <w:marLeft w:val="0"/>
                                  <w:marRight w:val="0"/>
                                  <w:marTop w:val="0"/>
                                  <w:marBottom w:val="0"/>
                                  <w:divBdr>
                                    <w:top w:val="none" w:sz="0" w:space="0" w:color="auto"/>
                                    <w:left w:val="none" w:sz="0" w:space="0" w:color="auto"/>
                                    <w:bottom w:val="none" w:sz="0" w:space="0" w:color="auto"/>
                                    <w:right w:val="none" w:sz="0" w:space="0" w:color="auto"/>
                                  </w:divBdr>
                                </w:div>
                                <w:div w:id="20360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387899">
      <w:bodyDiv w:val="1"/>
      <w:marLeft w:val="0"/>
      <w:marRight w:val="0"/>
      <w:marTop w:val="0"/>
      <w:marBottom w:val="0"/>
      <w:divBdr>
        <w:top w:val="none" w:sz="0" w:space="0" w:color="auto"/>
        <w:left w:val="none" w:sz="0" w:space="0" w:color="auto"/>
        <w:bottom w:val="none" w:sz="0" w:space="0" w:color="auto"/>
        <w:right w:val="none" w:sz="0" w:space="0" w:color="auto"/>
      </w:divBdr>
    </w:div>
    <w:div w:id="1932811563">
      <w:bodyDiv w:val="1"/>
      <w:marLeft w:val="0"/>
      <w:marRight w:val="0"/>
      <w:marTop w:val="0"/>
      <w:marBottom w:val="0"/>
      <w:divBdr>
        <w:top w:val="none" w:sz="0" w:space="0" w:color="auto"/>
        <w:left w:val="none" w:sz="0" w:space="0" w:color="auto"/>
        <w:bottom w:val="none" w:sz="0" w:space="0" w:color="auto"/>
        <w:right w:val="none" w:sz="0" w:space="0" w:color="auto"/>
      </w:divBdr>
    </w:div>
    <w:div w:id="205507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4390C-2143-4F62-95BA-5BD8326AD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tutor2u</dc:creator>
  <cp:lastModifiedBy>Timothy Osadiya</cp:lastModifiedBy>
  <cp:revision>14</cp:revision>
  <dcterms:created xsi:type="dcterms:W3CDTF">2016-05-16T19:20:00Z</dcterms:created>
  <dcterms:modified xsi:type="dcterms:W3CDTF">2022-11-12T08:54:00Z</dcterms:modified>
</cp:coreProperties>
</file>