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196989CE" w:rsidR="00401142" w:rsidRDefault="00401142">
      <w:pPr>
        <w:spacing w:after="160" w:line="259" w:lineRule="auto"/>
        <w:ind w:firstLine="0"/>
      </w:pPr>
    </w:p>
    <w:p w14:paraId="00000002" w14:textId="77777777" w:rsidR="00401142" w:rsidRDefault="00401142">
      <w:pPr>
        <w:spacing w:after="160" w:line="259" w:lineRule="auto"/>
        <w:ind w:firstLine="0"/>
      </w:pPr>
    </w:p>
    <w:p w14:paraId="00000003" w14:textId="77777777" w:rsidR="00401142" w:rsidRDefault="00401142">
      <w:pPr>
        <w:spacing w:after="160" w:line="259" w:lineRule="auto"/>
        <w:ind w:firstLine="0"/>
      </w:pPr>
    </w:p>
    <w:p w14:paraId="00000004" w14:textId="77777777" w:rsidR="00401142" w:rsidRDefault="00401142">
      <w:pPr>
        <w:spacing w:after="160" w:line="259" w:lineRule="auto"/>
        <w:ind w:firstLine="0"/>
      </w:pPr>
    </w:p>
    <w:p w14:paraId="00000005" w14:textId="77777777" w:rsidR="00401142" w:rsidRDefault="00401142">
      <w:pPr>
        <w:spacing w:after="160" w:line="259" w:lineRule="auto"/>
        <w:ind w:firstLine="0"/>
      </w:pPr>
    </w:p>
    <w:p w14:paraId="00000006" w14:textId="77777777" w:rsidR="00401142" w:rsidRDefault="00401142">
      <w:pPr>
        <w:spacing w:after="160" w:line="259" w:lineRule="auto"/>
        <w:ind w:firstLine="0"/>
      </w:pPr>
    </w:p>
    <w:p w14:paraId="00000007" w14:textId="77777777" w:rsidR="00401142" w:rsidRDefault="00401142">
      <w:pPr>
        <w:spacing w:after="160" w:line="259" w:lineRule="auto"/>
        <w:ind w:firstLine="0"/>
      </w:pPr>
    </w:p>
    <w:p w14:paraId="00000008" w14:textId="77777777" w:rsidR="00401142" w:rsidRDefault="00401142">
      <w:pPr>
        <w:spacing w:after="160" w:line="259" w:lineRule="auto"/>
        <w:ind w:firstLine="0"/>
      </w:pPr>
    </w:p>
    <w:p w14:paraId="00000009" w14:textId="77777777" w:rsidR="00401142" w:rsidRDefault="00401142">
      <w:pPr>
        <w:spacing w:after="160" w:line="259" w:lineRule="auto"/>
        <w:ind w:firstLine="0"/>
      </w:pPr>
    </w:p>
    <w:p w14:paraId="0000000A" w14:textId="77777777" w:rsidR="00401142" w:rsidRDefault="00401142">
      <w:pPr>
        <w:spacing w:after="160" w:line="259" w:lineRule="auto"/>
        <w:ind w:firstLine="0"/>
      </w:pPr>
    </w:p>
    <w:p w14:paraId="0000000B" w14:textId="77777777" w:rsidR="00401142" w:rsidRDefault="00401142">
      <w:pPr>
        <w:spacing w:after="160" w:line="259" w:lineRule="auto"/>
        <w:ind w:firstLine="0"/>
      </w:pPr>
    </w:p>
    <w:p w14:paraId="0000000C" w14:textId="77777777" w:rsidR="00401142" w:rsidRDefault="00401142">
      <w:pPr>
        <w:spacing w:after="160" w:line="259" w:lineRule="auto"/>
        <w:ind w:firstLine="0"/>
      </w:pPr>
    </w:p>
    <w:p w14:paraId="0000000D" w14:textId="77777777" w:rsidR="00401142" w:rsidRDefault="00401142">
      <w:pPr>
        <w:spacing w:after="160" w:line="259" w:lineRule="auto"/>
        <w:ind w:firstLine="0"/>
      </w:pPr>
    </w:p>
    <w:p w14:paraId="0000000E" w14:textId="77777777" w:rsidR="00401142" w:rsidRDefault="00401142">
      <w:pPr>
        <w:spacing w:after="160" w:line="259" w:lineRule="auto"/>
        <w:ind w:firstLine="0"/>
      </w:pPr>
    </w:p>
    <w:p w14:paraId="0000000F" w14:textId="77777777" w:rsidR="00401142" w:rsidRPr="001C4CC1" w:rsidRDefault="00684F28">
      <w:pPr>
        <w:jc w:val="center"/>
        <w:rPr>
          <w:rFonts w:ascii="Arial" w:hAnsi="Arial" w:cs="Arial"/>
        </w:rPr>
      </w:pPr>
      <w:r w:rsidRPr="001C4CC1">
        <w:rPr>
          <w:rFonts w:ascii="Arial" w:hAnsi="Arial" w:cs="Arial"/>
        </w:rPr>
        <w:t>Tort Law</w:t>
      </w:r>
    </w:p>
    <w:p w14:paraId="00000011" w14:textId="00B90427" w:rsidR="00401142" w:rsidRPr="001C4CC1" w:rsidRDefault="001C4CC1" w:rsidP="001C4CC1">
      <w:pPr>
        <w:jc w:val="center"/>
        <w:rPr>
          <w:rFonts w:ascii="Arial" w:hAnsi="Arial" w:cs="Arial"/>
        </w:rPr>
      </w:pPr>
      <w:r w:rsidRPr="001C4CC1">
        <w:rPr>
          <w:rFonts w:ascii="Arial" w:hAnsi="Arial" w:cs="Arial"/>
        </w:rPr>
        <w:t xml:space="preserve">Advise Ava and Mason on the merits of bringing a claim for negligence </w:t>
      </w:r>
      <w:r w:rsidR="00684F28" w:rsidRPr="001C4CC1">
        <w:rPr>
          <w:rFonts w:ascii="Arial" w:hAnsi="Arial" w:cs="Arial"/>
        </w:rPr>
        <w:t xml:space="preserve"> </w:t>
      </w:r>
      <w:r w:rsidR="00684F28" w:rsidRPr="001C4CC1">
        <w:rPr>
          <w:rFonts w:ascii="Arial" w:hAnsi="Arial" w:cs="Arial"/>
        </w:rPr>
        <w:br w:type="page"/>
      </w:r>
    </w:p>
    <w:p w14:paraId="00000012" w14:textId="77777777" w:rsidR="00401142" w:rsidRPr="001C4CC1" w:rsidRDefault="00684F28">
      <w:pPr>
        <w:pStyle w:val="Heading1"/>
        <w:rPr>
          <w:rFonts w:ascii="Arial" w:hAnsi="Arial" w:cs="Arial"/>
        </w:rPr>
      </w:pPr>
      <w:r w:rsidRPr="001C4CC1">
        <w:rPr>
          <w:rFonts w:ascii="Arial" w:hAnsi="Arial" w:cs="Arial"/>
        </w:rPr>
        <w:lastRenderedPageBreak/>
        <w:t xml:space="preserve">Introduction </w:t>
      </w:r>
    </w:p>
    <w:p w14:paraId="00000013" w14:textId="6499839F" w:rsidR="00401142" w:rsidRPr="001C4CC1" w:rsidRDefault="00684F28">
      <w:pPr>
        <w:rPr>
          <w:rFonts w:ascii="Arial" w:hAnsi="Arial" w:cs="Arial"/>
        </w:rPr>
      </w:pPr>
      <w:r w:rsidRPr="001C4CC1">
        <w:rPr>
          <w:rFonts w:ascii="Arial" w:hAnsi="Arial" w:cs="Arial"/>
        </w:rPr>
        <w:t>The following essay is based on the case of Crown Inn, Mason and Ava regarding tort law employer negligence. The company should be held accountable if an employee breaks the law on the job. The employment relationship between an employer and an employee creates legal liability for the employer. Any party could have committed the alleged wrongdoing.</w:t>
      </w:r>
    </w:p>
    <w:p w14:paraId="00000014" w14:textId="77777777" w:rsidR="00401142" w:rsidRPr="001C4CC1" w:rsidRDefault="00684F28">
      <w:pPr>
        <w:pStyle w:val="Heading1"/>
        <w:rPr>
          <w:rFonts w:ascii="Arial" w:hAnsi="Arial" w:cs="Arial"/>
        </w:rPr>
      </w:pPr>
      <w:r w:rsidRPr="001C4CC1">
        <w:rPr>
          <w:rFonts w:ascii="Arial" w:hAnsi="Arial" w:cs="Arial"/>
        </w:rPr>
        <w:t>Rule</w:t>
      </w:r>
    </w:p>
    <w:p w14:paraId="00000015" w14:textId="6148EC89" w:rsidR="00401142" w:rsidRPr="001C4CC1" w:rsidRDefault="00684F28">
      <w:pPr>
        <w:rPr>
          <w:rFonts w:ascii="Arial" w:hAnsi="Arial" w:cs="Arial"/>
        </w:rPr>
      </w:pPr>
      <w:r w:rsidRPr="001C4CC1">
        <w:rPr>
          <w:rFonts w:ascii="Arial" w:hAnsi="Arial" w:cs="Arial"/>
        </w:rPr>
        <w:t>The “Health and Safety at Work Act of 1974”, which was passed in 1974 is the workplace safety law that is most frequently enforced (Hughes and Ferrett, 2011). This essay explains an employer's primary responsibilities regarding the health and safety of their workforce. The most helpful piece of the “1974 Act is Section 2”, which offers a full list of components related to workplace safety. This section can be found here.</w:t>
      </w:r>
    </w:p>
    <w:p w14:paraId="00000016" w14:textId="5A380FBF" w:rsidR="00401142" w:rsidRPr="001C4CC1" w:rsidRDefault="00684F28">
      <w:pPr>
        <w:rPr>
          <w:rFonts w:ascii="Arial" w:hAnsi="Arial" w:cs="Arial"/>
        </w:rPr>
      </w:pPr>
      <w:r w:rsidRPr="001C4CC1">
        <w:rPr>
          <w:rFonts w:ascii="Arial" w:hAnsi="Arial" w:cs="Arial"/>
        </w:rPr>
        <w:t>In this particular instance, the “Health and Safety at Work Act of 1974” was violated in two extremely egregious ways (Humphreys, 2007). Mason made an effort to put out the fire by using the fire blanket, but he soon learned that it had been used in the past and was not replaced. Ava suffered from a broken collar bone after falling on the stairs leading to the bar’s upper level because management had neglected to replace a damaged railing.</w:t>
      </w:r>
    </w:p>
    <w:p w14:paraId="00000017" w14:textId="77777777" w:rsidR="00401142" w:rsidRPr="001C4CC1" w:rsidRDefault="00684F28">
      <w:pPr>
        <w:rPr>
          <w:rFonts w:ascii="Arial" w:hAnsi="Arial" w:cs="Arial"/>
        </w:rPr>
      </w:pPr>
      <w:r w:rsidRPr="001C4CC1">
        <w:rPr>
          <w:rFonts w:ascii="Arial" w:hAnsi="Arial" w:cs="Arial"/>
        </w:rPr>
        <w:t>The “Employer's Liability (Defective Equipment) Act of 1969” held Crown Inn, in its capacity as an employer, responsible for any injuries sustained by employees as a result of a defect in equipment that was given by the employer for use in the employer's business. On the other hand, Crown Inn breached the “1969 Act” by not repairing or replacing the stair railing or the fire blanket when it was required to do so.</w:t>
      </w:r>
    </w:p>
    <w:p w14:paraId="00000018" w14:textId="5958D9AF" w:rsidR="00401142" w:rsidRPr="001C4CC1" w:rsidRDefault="00684F28">
      <w:pPr>
        <w:rPr>
          <w:rFonts w:ascii="Arial" w:hAnsi="Arial" w:cs="Arial"/>
        </w:rPr>
      </w:pPr>
      <w:r w:rsidRPr="001C4CC1">
        <w:rPr>
          <w:rFonts w:ascii="Arial" w:hAnsi="Arial" w:cs="Arial"/>
        </w:rPr>
        <w:lastRenderedPageBreak/>
        <w:t>These two incidents also violate the responsibilities that the Crown Inn has under the “1999 Management of Health and Safety at Work Regulations”. These regulations detail the steps that employers are required to take to ensure that their employees' health and safety are protected, and they were passed down in 1999.</w:t>
      </w:r>
    </w:p>
    <w:p w14:paraId="00000019" w14:textId="52E781EB" w:rsidR="00401142" w:rsidRPr="001C4CC1" w:rsidRDefault="00684F28">
      <w:pPr>
        <w:rPr>
          <w:rFonts w:ascii="Arial" w:hAnsi="Arial" w:cs="Arial"/>
        </w:rPr>
      </w:pPr>
      <w:r w:rsidRPr="001C4CC1">
        <w:rPr>
          <w:rFonts w:ascii="Arial" w:hAnsi="Arial" w:cs="Arial"/>
        </w:rPr>
        <w:t>In addition, Crown Inn broke the “Provision and Use of Work Equipment Regulations 1998 (PUWER)” by not repairing the stair railing or replacing the fire blanket when it was required to do so. Before it can be utilised at a workplace, the PUWER mandates that all of the equipment must first satisfy the following criteria: it is fit for its intended purpose (Stranks, 1993); it is safe for use, is kept in a safe condition, and is inspected to ensure that it was installed correctly and will not deteriorate over time;  it is used only by individuals who have received sufficient information, instruction, and training; and it is accompanied by appropriate health and safety measures, such as protective clothing. Common examples of mobile work equipment and power presses include guarding, emergency stop mechanisms, proper ways for isolating energy sources, clearly visible markings, and warning devices. Guarding can also include markings.</w:t>
      </w:r>
    </w:p>
    <w:p w14:paraId="0000001A" w14:textId="2F295E26" w:rsidR="00401142" w:rsidRPr="001C4CC1" w:rsidRDefault="00684F28">
      <w:pPr>
        <w:rPr>
          <w:rFonts w:ascii="Arial" w:hAnsi="Arial" w:cs="Arial"/>
        </w:rPr>
      </w:pPr>
      <w:r w:rsidRPr="001C4CC1">
        <w:rPr>
          <w:rFonts w:ascii="Arial" w:hAnsi="Arial" w:cs="Arial"/>
        </w:rPr>
        <w:t>There is a possibility that Ava and Mason will sue Crown Inn for negligence because the establishment violated both the “1999 and 1998 Regulations”, in addition to the “1974 and 1969 Acts”.</w:t>
      </w:r>
    </w:p>
    <w:p w14:paraId="0000001B" w14:textId="77777777" w:rsidR="00401142" w:rsidRPr="001C4CC1" w:rsidRDefault="00684F28">
      <w:pPr>
        <w:rPr>
          <w:rFonts w:ascii="Arial" w:hAnsi="Arial" w:cs="Arial"/>
        </w:rPr>
      </w:pPr>
      <w:r w:rsidRPr="001C4CC1">
        <w:rPr>
          <w:rFonts w:ascii="Arial" w:hAnsi="Arial" w:cs="Arial"/>
        </w:rPr>
        <w:t>Employer misconduct on the job is not covered by workers' compensation, but it is covered by employment practices liability. Employer liability under tort law for Crown Inn falls into three categories: Personal Liability, Breach of Statutory Duty, and Vicarious Liability.</w:t>
      </w:r>
    </w:p>
    <w:p w14:paraId="0000001C" w14:textId="505DAEF1" w:rsidR="00401142" w:rsidRPr="001C4CC1" w:rsidRDefault="00684F28">
      <w:pPr>
        <w:rPr>
          <w:rFonts w:ascii="Arial" w:hAnsi="Arial" w:cs="Arial"/>
        </w:rPr>
      </w:pPr>
      <w:r w:rsidRPr="001C4CC1">
        <w:rPr>
          <w:rFonts w:ascii="Arial" w:hAnsi="Arial" w:cs="Arial"/>
        </w:rPr>
        <w:lastRenderedPageBreak/>
        <w:t>Any organisation owes it to its employees to provide a safe working environment. This obligation is personal and non-transferable, and it is ultimately the responsibility of each individual. This obligation stems from the decision in "Wilson &amp; Clyde Co. Ltd. v. English" (1937). This case outlined the necessary precautions to provide a risk-free workplace. First, a secure environment in a secure location must be provided. Second, all equipment, materials, and tools used by employees must be in safe operating condition. Third, all employees have the right to work in a safe environment, and all operations must be carried out safely. Fourth, companies must ensure that all employees have access to knowledgeable peers. According to the terms of the case "Wilson &amp; Clyde Co Ltd v English” (1937) Crown Inn is Personally Liable for failing to provide a safe workplace for its employees.</w:t>
      </w:r>
    </w:p>
    <w:p w14:paraId="0000001D" w14:textId="6BCC78D2" w:rsidR="00401142" w:rsidRPr="001C4CC1" w:rsidRDefault="00684F28">
      <w:pPr>
        <w:rPr>
          <w:rFonts w:ascii="Arial" w:hAnsi="Arial" w:cs="Arial"/>
        </w:rPr>
      </w:pPr>
      <w:r w:rsidRPr="001C4CC1">
        <w:rPr>
          <w:rFonts w:ascii="Arial" w:hAnsi="Arial" w:cs="Arial"/>
        </w:rPr>
        <w:t xml:space="preserve">Other than this Crown Inn also had a statutory study to comply with both the “1999 and 1998 Regulations” as well as the “1974 and 1969 Acts” which Crown Inn did not comply with, thus committing a Breach of Statutory Duty. The Crown Inn by not replacing the fire blanket and fixing the staircase created an unsafe environment (as shown in “Latimer v AEC Ltd”, 1953) for its employees which would have resulted in injury to any other employee other than Ava and Mason as well. </w:t>
      </w:r>
    </w:p>
    <w:p w14:paraId="0000001E" w14:textId="536B3978" w:rsidR="00401142" w:rsidRPr="001C4CC1" w:rsidRDefault="00684F28">
      <w:pPr>
        <w:rPr>
          <w:rFonts w:ascii="Arial" w:hAnsi="Arial" w:cs="Arial"/>
        </w:rPr>
      </w:pPr>
      <w:r w:rsidRPr="001C4CC1">
        <w:rPr>
          <w:rFonts w:ascii="Arial" w:hAnsi="Arial" w:cs="Arial"/>
        </w:rPr>
        <w:t>Additionally, Vicarious Liability for Crown Inn also arise when Ava fractured her collar bone after slipping on food left on the stairs by Jack before she descended. In this case, Jack is an employee of Crown Inn thus in the case “Broom v Morgan” (1953), the Crown Inn itself holds a Vicarious Liability for the actions committed by Jack leading to an injury to Ava.</w:t>
      </w:r>
    </w:p>
    <w:p w14:paraId="0000001F" w14:textId="77777777" w:rsidR="00401142" w:rsidRPr="001C4CC1" w:rsidRDefault="00684F28">
      <w:pPr>
        <w:pStyle w:val="Heading1"/>
        <w:rPr>
          <w:rFonts w:ascii="Arial" w:hAnsi="Arial" w:cs="Arial"/>
        </w:rPr>
      </w:pPr>
      <w:r w:rsidRPr="001C4CC1">
        <w:rPr>
          <w:rFonts w:ascii="Arial" w:hAnsi="Arial" w:cs="Arial"/>
        </w:rPr>
        <w:t>Application</w:t>
      </w:r>
    </w:p>
    <w:p w14:paraId="00000020" w14:textId="77777777" w:rsidR="00401142" w:rsidRPr="001C4CC1" w:rsidRDefault="00684F28">
      <w:pPr>
        <w:rPr>
          <w:rFonts w:ascii="Arial" w:hAnsi="Arial" w:cs="Arial"/>
        </w:rPr>
      </w:pPr>
      <w:r w:rsidRPr="001C4CC1">
        <w:rPr>
          <w:rFonts w:ascii="Arial" w:hAnsi="Arial" w:cs="Arial"/>
        </w:rPr>
        <w:lastRenderedPageBreak/>
        <w:t>All of the above factors discussed will be considered when deciding whether to compensate Ava and Mason for physical injuries caused by Crown Inn's negligence. Personal injury claims, as stated in “Rothwell v. Chemical &amp; Insulating” (2008), require proof that the defendant suffered more than minimal damage; in this case, both injuries are severe enough to meet this requirement.</w:t>
      </w:r>
    </w:p>
    <w:p w14:paraId="00000021" w14:textId="77777777" w:rsidR="00401142" w:rsidRPr="001C4CC1" w:rsidRDefault="00684F28">
      <w:pPr>
        <w:rPr>
          <w:rFonts w:ascii="Arial" w:hAnsi="Arial" w:cs="Arial"/>
        </w:rPr>
      </w:pPr>
      <w:r w:rsidRPr="001C4CC1">
        <w:rPr>
          <w:rFonts w:ascii="Arial" w:hAnsi="Arial" w:cs="Arial"/>
        </w:rPr>
        <w:t>Ava and Mason believe he was injured as a result of the inn's negligence, and they intend to sue the establishment. Ava and Mason must take the necessary steps to show their concern for him. According to “Robinson v. Chief Constable of West Yorkshire”, if liability has already been established in a previous case of a comparable nature, the duty must be established by analogy in the current case. “Donoghue v Stevenson” (1932) established that a manufacturer who sells directly to consumers owes them a duty of care. Crown Inn falls into this category because it is impossible to confirm the quality of service they provided to Ava and Mason; as a result, they should have operated the establishment with caution.</w:t>
      </w:r>
    </w:p>
    <w:p w14:paraId="00000022" w14:textId="77777777" w:rsidR="00401142" w:rsidRPr="001C4CC1" w:rsidRDefault="00684F28">
      <w:pPr>
        <w:rPr>
          <w:rFonts w:ascii="Arial" w:hAnsi="Arial" w:cs="Arial"/>
        </w:rPr>
      </w:pPr>
      <w:r w:rsidRPr="001C4CC1">
        <w:rPr>
          <w:rFonts w:ascii="Arial" w:hAnsi="Arial" w:cs="Arial"/>
        </w:rPr>
        <w:t>Ava and Mason must prove that the Crown Inn violated its duty of care. This entails determining how the Crown Inn should have performed from the start, as stated in “Glasgow Corporation v. Muir” (1943). This is an objective criterion that takes into account the required level of knowledge for the job at hand. A quality check at the Crown Inn may have prevented the kitchen fire and creaky stairs.</w:t>
      </w:r>
    </w:p>
    <w:p w14:paraId="00000023" w14:textId="70B86639" w:rsidR="00401142" w:rsidRPr="001C4CC1" w:rsidRDefault="00684F28">
      <w:pPr>
        <w:rPr>
          <w:rFonts w:ascii="Arial" w:hAnsi="Arial" w:cs="Arial"/>
        </w:rPr>
      </w:pPr>
      <w:r w:rsidRPr="001C4CC1">
        <w:rPr>
          <w:rFonts w:ascii="Arial" w:hAnsi="Arial" w:cs="Arial"/>
        </w:rPr>
        <w:t>The second step is to investigate the defendant's activities. Due to a lack of information about the Crown Inn’s management practices, we are unable to determine whether or not the Crown Inn breached its duty of care.</w:t>
      </w:r>
    </w:p>
    <w:p w14:paraId="00000024" w14:textId="77777777" w:rsidR="00401142" w:rsidRPr="001C4CC1" w:rsidRDefault="00684F28">
      <w:pPr>
        <w:rPr>
          <w:rFonts w:ascii="Arial" w:hAnsi="Arial" w:cs="Arial"/>
        </w:rPr>
      </w:pPr>
      <w:r w:rsidRPr="001C4CC1">
        <w:rPr>
          <w:rFonts w:ascii="Arial" w:hAnsi="Arial" w:cs="Arial"/>
        </w:rPr>
        <w:lastRenderedPageBreak/>
        <w:t>Ava and Mason are responsible for proving both legal and factual causation. Two serious violations of the “Health and Safety in Employment Act of 1974” have been documented (Howes, 2009). Mason attempted to extinguish the fire with the fire blanket but discovered that it had been used previously and had not been replaced. Ava fell and died because management failed to repair a damaged railing on the stairs leading to the pub's top level.</w:t>
      </w:r>
    </w:p>
    <w:p w14:paraId="00000025" w14:textId="77777777" w:rsidR="00401142" w:rsidRPr="001C4CC1" w:rsidRDefault="00684F28">
      <w:pPr>
        <w:rPr>
          <w:rFonts w:ascii="Arial" w:hAnsi="Arial" w:cs="Arial"/>
        </w:rPr>
      </w:pPr>
      <w:r w:rsidRPr="001C4CC1">
        <w:rPr>
          <w:rFonts w:ascii="Arial" w:hAnsi="Arial" w:cs="Arial"/>
        </w:rPr>
        <w:t>To hold the Crown Inn liable for the harm, Ava and Mason must show that it was not a remote consequence of the initial injury, as claimed in the “Wagon Mound case” (1061). Crown Inn will argue that there was a break in the chain of causation by citing “Corr v. IBC Vehicles” (2008), which established that a defendant cannot be held liable for losses that were not reasonably foreseeable. Ava and Mason, on the other hand, can argue that it is obvious that failing to replace the fire blanket and maintain the stair railing will endanger workers. According to “Page v. Smith” (1996), individuals should be held accountable for both expected and unexpected losses.</w:t>
      </w:r>
    </w:p>
    <w:p w14:paraId="00000026" w14:textId="77777777" w:rsidR="00401142" w:rsidRPr="001C4CC1" w:rsidRDefault="00684F28">
      <w:pPr>
        <w:rPr>
          <w:rFonts w:ascii="Arial" w:hAnsi="Arial" w:cs="Arial"/>
        </w:rPr>
      </w:pPr>
      <w:r w:rsidRPr="001C4CC1">
        <w:rPr>
          <w:rFonts w:ascii="Arial" w:hAnsi="Arial" w:cs="Arial"/>
        </w:rPr>
        <w:t>The Crown Inn could respond by claiming that Marson's careless placement of his towel in the kitchen created a hazard, or that Ava's lack of concentration caused her to lose her footing and fall. Nonetheless, as stated in “McKew v. Holland” (1969), defendants are not liable for the unjustified actions of third parties, and thus Crown Inn's violation of employee safety rules severed the chain of causation. Crown Inn could be held liable for its guests' injuries as a result of its failure to replace the fire blanket and repair the stair railing.</w:t>
      </w:r>
    </w:p>
    <w:p w14:paraId="00000027" w14:textId="0FAE21FC" w:rsidR="00401142" w:rsidRPr="001C4CC1" w:rsidRDefault="00684F28">
      <w:pPr>
        <w:rPr>
          <w:rFonts w:ascii="Arial" w:hAnsi="Arial" w:cs="Arial"/>
        </w:rPr>
      </w:pPr>
      <w:r w:rsidRPr="001C4CC1">
        <w:rPr>
          <w:rFonts w:ascii="Arial" w:hAnsi="Arial" w:cs="Arial"/>
        </w:rPr>
        <w:t xml:space="preserve">To Bober (1959) Crown Inn's lax safety standards could be viewed as a “Novus actus interveniens”, which would break the chain of causation, making Crown Inn liable </w:t>
      </w:r>
      <w:r w:rsidRPr="001C4CC1">
        <w:rPr>
          <w:rFonts w:ascii="Arial" w:hAnsi="Arial" w:cs="Arial"/>
        </w:rPr>
        <w:lastRenderedPageBreak/>
        <w:t>solely for Mason's injuries caused by the fire and not Ava's injury, assuming they managed negligently; otherwise, the claim will fail.</w:t>
      </w:r>
    </w:p>
    <w:p w14:paraId="00000028" w14:textId="39C37E4E" w:rsidR="00401142" w:rsidRPr="001C4CC1" w:rsidRDefault="00684F28">
      <w:pPr>
        <w:rPr>
          <w:rFonts w:ascii="Arial" w:hAnsi="Arial" w:cs="Arial"/>
        </w:rPr>
      </w:pPr>
      <w:r w:rsidRPr="001C4CC1">
        <w:rPr>
          <w:rFonts w:ascii="Arial" w:hAnsi="Arial" w:cs="Arial"/>
        </w:rPr>
        <w:t>Even if the defendant would be found harmless if a “Novus actus interveniens” occurred, it is still possible to demonstrate that the physical harm was foreseen. Because of his lack of self-preservation, Crown Inn may have a case for contributory negligence. must also show that his actions directly harmed Mason and Ava and that the damages awarded to them were reduced as a result of his actions.</w:t>
      </w:r>
    </w:p>
    <w:p w14:paraId="00000029" w14:textId="04B49272" w:rsidR="00401142" w:rsidRPr="001C4CC1" w:rsidRDefault="00684F28">
      <w:pPr>
        <w:rPr>
          <w:rFonts w:ascii="Arial" w:hAnsi="Arial" w:cs="Arial"/>
        </w:rPr>
      </w:pPr>
      <w:r w:rsidRPr="001C4CC1">
        <w:rPr>
          <w:rFonts w:ascii="Arial" w:hAnsi="Arial" w:cs="Arial"/>
        </w:rPr>
        <w:t>As previously stated, Ava and Mason will sue Crown Inn for negligence to recover a portion of the money they lost due to their inability to work due to their physical disabilities.</w:t>
      </w:r>
    </w:p>
    <w:p w14:paraId="0000002A" w14:textId="77777777" w:rsidR="00401142" w:rsidRPr="001C4CC1" w:rsidRDefault="00684F28">
      <w:pPr>
        <w:rPr>
          <w:rFonts w:ascii="Arial" w:hAnsi="Arial" w:cs="Arial"/>
        </w:rPr>
      </w:pPr>
      <w:r w:rsidRPr="001C4CC1">
        <w:rPr>
          <w:rFonts w:ascii="Arial" w:hAnsi="Arial" w:cs="Arial"/>
        </w:rPr>
        <w:t>To establish that the Crown Inn owed Mason a duty of care, Ava and Mason must follow the strategy outlined in “Robinson v. Chief Constable of West Yorkshire” (Chng et al. 2019).</w:t>
      </w:r>
    </w:p>
    <w:p w14:paraId="0000002B" w14:textId="77777777" w:rsidR="00401142" w:rsidRPr="001C4CC1" w:rsidRDefault="00684F28">
      <w:pPr>
        <w:rPr>
          <w:rFonts w:ascii="Arial" w:hAnsi="Arial" w:cs="Arial"/>
        </w:rPr>
      </w:pPr>
      <w:r w:rsidRPr="001C4CC1">
        <w:rPr>
          <w:rFonts w:ascii="Arial" w:hAnsi="Arial" w:cs="Arial"/>
        </w:rPr>
        <w:t>Crown Inn will be held liable for breaching their duty of care because they failed to comply with the “Health and Safety at Work Act of 1974”, regardless of the likelihood of injury (“Hudson v. Ridge Manufacturing co.”, 1957) or the severity of the injury (“Paris v Stepney Borough Council”, 1951).</w:t>
      </w:r>
    </w:p>
    <w:p w14:paraId="0000002C" w14:textId="77777777" w:rsidR="00401142" w:rsidRPr="001C4CC1" w:rsidRDefault="00684F28">
      <w:pPr>
        <w:rPr>
          <w:rFonts w:ascii="Arial" w:hAnsi="Arial" w:cs="Arial"/>
        </w:rPr>
      </w:pPr>
      <w:r w:rsidRPr="001C4CC1">
        <w:rPr>
          <w:rFonts w:ascii="Arial" w:hAnsi="Arial" w:cs="Arial"/>
        </w:rPr>
        <w:t xml:space="preserve">Ava and Mason are responsible for proving both legal and factual causation. Ava and Mason must also provide evidence of legal causation to demonstrate that the defendant's actions caused their loss (“The Wagon Mound”, 1961). The court decided in “Page v. Smith” (1996) that the defendant was liable for both anticipated and unanticipated harm, including physical injury, caused by the plaintiff's employer's negligent safety policy (Steele, 2008). Although it was not reasonably foreseeable in </w:t>
      </w:r>
      <w:r w:rsidRPr="001C4CC1">
        <w:rPr>
          <w:rFonts w:ascii="Arial" w:hAnsi="Arial" w:cs="Arial"/>
        </w:rPr>
        <w:lastRenderedPageBreak/>
        <w:t>“Corr v IBC Vehicles' ' (2008) that the defendant would be injured, it was foreseeable that a fire blanket would be urgently required in the event of a fire and that inadequate stairs could cause someone to trip and fall on them, causing injuries.</w:t>
      </w:r>
    </w:p>
    <w:p w14:paraId="0000002D" w14:textId="77777777" w:rsidR="00401142" w:rsidRPr="001C4CC1" w:rsidRDefault="00684F28">
      <w:pPr>
        <w:rPr>
          <w:rFonts w:ascii="Arial" w:hAnsi="Arial" w:cs="Arial"/>
        </w:rPr>
      </w:pPr>
      <w:r w:rsidRPr="001C4CC1">
        <w:rPr>
          <w:rFonts w:ascii="Arial" w:hAnsi="Arial" w:cs="Arial"/>
        </w:rPr>
        <w:t>Crown Inn, on the other hand, could argue that the fire and Jack flinging the food in front of Ava were unforeseeable and that a defendant is not liable for the victim's actions (“McKew v Holland and Hannen”, 1969). As Ava and Mason may argue that their injuries are not improbable, Crown Inn would have to rely on “Section 1 of the Contributory Negligence Act of 1945”. The Crown Inn must demonstrate that Ava and Mason did not exercise reasonable care toward him, as determined in “Froom v. Butcher” (1976); that the couple's actions were not foreseeable as a result of a fire or food left on the stairs; and that the couple's liability should be proportional to their degree of fault, as determined in “Jackson v. Murray” (2015).</w:t>
      </w:r>
    </w:p>
    <w:p w14:paraId="0000002E" w14:textId="39841693" w:rsidR="00401142" w:rsidRPr="001C4CC1" w:rsidRDefault="00684F28">
      <w:pPr>
        <w:rPr>
          <w:rFonts w:ascii="Arial" w:hAnsi="Arial" w:cs="Arial"/>
        </w:rPr>
      </w:pPr>
      <w:r w:rsidRPr="001C4CC1">
        <w:rPr>
          <w:rFonts w:ascii="Arial" w:hAnsi="Arial" w:cs="Arial"/>
        </w:rPr>
        <w:t>It has been established in “Pitts v. Hunt” (1991) that Crown Inn cannot use this defence to avoid liability in any circumstance; however, based on the decision in “Reeves v. Metropolitan Police Commissioner” (2018), their liability for fire and food on stairs may be reduced to 50%, and they will remain fully liable for poor healthcare and safety regulations for their employees.</w:t>
      </w:r>
    </w:p>
    <w:p w14:paraId="0000002F" w14:textId="77777777" w:rsidR="00401142" w:rsidRPr="001C4CC1" w:rsidRDefault="00684F28">
      <w:pPr>
        <w:rPr>
          <w:rFonts w:ascii="Arial" w:hAnsi="Arial" w:cs="Arial"/>
        </w:rPr>
      </w:pPr>
      <w:r w:rsidRPr="001C4CC1">
        <w:rPr>
          <w:rFonts w:ascii="Arial" w:hAnsi="Arial" w:cs="Arial"/>
        </w:rPr>
        <w:t>Crown Inn could potentially use illegality as a defence. A court will not assist a claimant who has attempted suicide or engaged in other criminal activities, as stated in “Clunis v. Camden &amp; Islington Health Authority” (1998). However, the victim's workplace stress as a result of Crown Inn's irresponsible management makes this claim implausible (Green, 1967).</w:t>
      </w:r>
    </w:p>
    <w:p w14:paraId="00000030" w14:textId="77777777" w:rsidR="00401142" w:rsidRPr="001C4CC1" w:rsidRDefault="00684F28">
      <w:pPr>
        <w:rPr>
          <w:rFonts w:ascii="Arial" w:hAnsi="Arial" w:cs="Arial"/>
        </w:rPr>
      </w:pPr>
      <w:r w:rsidRPr="001C4CC1">
        <w:rPr>
          <w:rFonts w:ascii="Arial" w:hAnsi="Arial" w:cs="Arial"/>
        </w:rPr>
        <w:lastRenderedPageBreak/>
        <w:t>The claimant's ability to return to work at Crown Inn and collect their pay is highly improbable, so the court will impose consequential damages, following the precedent set in “Ammah v Kuehne+Nagal Logistics Ltd (2009) and Jebson v Ministry of Defence” (2000).</w:t>
      </w:r>
    </w:p>
    <w:p w14:paraId="00000031" w14:textId="77777777" w:rsidR="00401142" w:rsidRPr="001C4CC1" w:rsidRDefault="00684F28">
      <w:pPr>
        <w:pStyle w:val="Heading1"/>
        <w:rPr>
          <w:rFonts w:ascii="Arial" w:hAnsi="Arial" w:cs="Arial"/>
        </w:rPr>
      </w:pPr>
      <w:r w:rsidRPr="001C4CC1">
        <w:rPr>
          <w:rFonts w:ascii="Arial" w:hAnsi="Arial" w:cs="Arial"/>
        </w:rPr>
        <w:t>Conclusion</w:t>
      </w:r>
    </w:p>
    <w:p w14:paraId="00000032" w14:textId="772C572E" w:rsidR="00401142" w:rsidRPr="001C4CC1" w:rsidRDefault="00684F28">
      <w:pPr>
        <w:rPr>
          <w:rFonts w:ascii="Arial" w:hAnsi="Arial" w:cs="Arial"/>
        </w:rPr>
      </w:pPr>
      <w:r w:rsidRPr="001C4CC1">
        <w:rPr>
          <w:rFonts w:ascii="Arial" w:hAnsi="Arial" w:cs="Arial"/>
        </w:rPr>
        <w:t>Crown Inn will be held accountable for injuries suffered by Mason as a direct result of the fire, in addition to a fracture to Ava's collarbone that occurred as a result of the incident. The reason for this is that Crown Inn did not mend the stair railing or replace the fire blanket, putting the lives of their employees in danger as a result. For Ava and Mason's plan to be a success, each of the requirements that were outlined earlier in this sentence must be met. The vast majority of lawsuits revolve around allegations that working conditions were hazardous in some way.</w:t>
      </w:r>
    </w:p>
    <w:p w14:paraId="00000033" w14:textId="77777777" w:rsidR="00401142" w:rsidRPr="001C4CC1" w:rsidRDefault="00684F28">
      <w:pPr>
        <w:spacing w:after="160" w:line="259" w:lineRule="auto"/>
        <w:ind w:firstLine="0"/>
        <w:rPr>
          <w:rFonts w:ascii="Arial" w:hAnsi="Arial" w:cs="Arial"/>
        </w:rPr>
      </w:pPr>
      <w:r w:rsidRPr="001C4CC1">
        <w:rPr>
          <w:rFonts w:ascii="Arial" w:hAnsi="Arial" w:cs="Arial"/>
        </w:rPr>
        <w:br w:type="page"/>
      </w:r>
    </w:p>
    <w:p w14:paraId="00000034" w14:textId="77777777" w:rsidR="00401142" w:rsidRPr="001C4CC1" w:rsidRDefault="00684F28">
      <w:pPr>
        <w:pStyle w:val="Heading1"/>
        <w:rPr>
          <w:rFonts w:ascii="Arial" w:hAnsi="Arial" w:cs="Arial"/>
        </w:rPr>
      </w:pPr>
      <w:r w:rsidRPr="001C4CC1">
        <w:rPr>
          <w:rFonts w:ascii="Arial" w:hAnsi="Arial" w:cs="Arial"/>
        </w:rPr>
        <w:lastRenderedPageBreak/>
        <w:t>References</w:t>
      </w:r>
    </w:p>
    <w:p w14:paraId="00000035" w14:textId="2A40D14A" w:rsidR="00401142" w:rsidRPr="001C4CC1" w:rsidRDefault="00953464">
      <w:pPr>
        <w:ind w:left="720" w:hanging="720"/>
        <w:rPr>
          <w:rFonts w:ascii="Arial" w:hAnsi="Arial" w:cs="Arial"/>
        </w:rPr>
      </w:pPr>
      <w:r w:rsidRPr="001C4CC1">
        <w:rPr>
          <w:rFonts w:ascii="Arial" w:hAnsi="Arial" w:cs="Arial"/>
        </w:rPr>
        <w:t xml:space="preserve">Ammah and Kuehne </w:t>
      </w:r>
      <w:r w:rsidR="008A6F33" w:rsidRPr="001C4CC1">
        <w:rPr>
          <w:rFonts w:ascii="Arial" w:hAnsi="Arial" w:cs="Arial"/>
        </w:rPr>
        <w:t>(2009)</w:t>
      </w:r>
      <w:r w:rsidRPr="001C4CC1">
        <w:rPr>
          <w:rFonts w:ascii="Arial" w:hAnsi="Arial" w:cs="Arial"/>
        </w:rPr>
        <w:t xml:space="preserve"> Logistics Nagal</w:t>
      </w:r>
    </w:p>
    <w:p w14:paraId="00000036" w14:textId="30791778" w:rsidR="00401142" w:rsidRPr="001C4CC1" w:rsidRDefault="00F20BB9">
      <w:pPr>
        <w:ind w:left="720" w:hanging="720"/>
        <w:rPr>
          <w:rFonts w:ascii="Arial" w:hAnsi="Arial" w:cs="Arial"/>
        </w:rPr>
      </w:pPr>
      <w:r w:rsidRPr="001C4CC1">
        <w:rPr>
          <w:rFonts w:ascii="Arial" w:hAnsi="Arial" w:cs="Arial"/>
        </w:rPr>
        <w:t>Boberg, P.Q.R. (1959)</w:t>
      </w:r>
      <w:r w:rsidR="00684F28" w:rsidRPr="001C4CC1">
        <w:rPr>
          <w:rFonts w:ascii="Arial" w:hAnsi="Arial" w:cs="Arial"/>
        </w:rPr>
        <w:t xml:space="preserve"> Reflections on the No</w:t>
      </w:r>
      <w:r w:rsidR="00953464" w:rsidRPr="001C4CC1">
        <w:rPr>
          <w:rFonts w:ascii="Arial" w:hAnsi="Arial" w:cs="Arial"/>
        </w:rPr>
        <w:t>vus Actus Interveniens Concept.</w:t>
      </w:r>
      <w:r w:rsidR="00684F28" w:rsidRPr="001C4CC1">
        <w:rPr>
          <w:rFonts w:ascii="Arial" w:hAnsi="Arial" w:cs="Arial"/>
        </w:rPr>
        <w:t xml:space="preserve"> p.280.</w:t>
      </w:r>
    </w:p>
    <w:p w14:paraId="00000037" w14:textId="52AC18E4" w:rsidR="00401142" w:rsidRPr="001C4CC1" w:rsidRDefault="00953464">
      <w:pPr>
        <w:ind w:left="720" w:hanging="720"/>
        <w:rPr>
          <w:rFonts w:ascii="Arial" w:hAnsi="Arial" w:cs="Arial"/>
        </w:rPr>
      </w:pPr>
      <w:r w:rsidRPr="001C4CC1">
        <w:rPr>
          <w:rFonts w:ascii="Arial" w:hAnsi="Arial" w:cs="Arial"/>
        </w:rPr>
        <w:t>Broom, Morgan, 1953 p.</w:t>
      </w:r>
      <w:r w:rsidR="00684F28" w:rsidRPr="001C4CC1">
        <w:rPr>
          <w:rFonts w:ascii="Arial" w:hAnsi="Arial" w:cs="Arial"/>
        </w:rPr>
        <w:t>597</w:t>
      </w:r>
    </w:p>
    <w:p w14:paraId="00000038" w14:textId="48378BE9" w:rsidR="00401142" w:rsidRPr="001C4CC1" w:rsidRDefault="00684F28">
      <w:pPr>
        <w:ind w:left="720" w:hanging="720"/>
        <w:rPr>
          <w:rFonts w:ascii="Arial" w:hAnsi="Arial" w:cs="Arial"/>
        </w:rPr>
      </w:pPr>
      <w:r w:rsidRPr="001C4CC1">
        <w:rPr>
          <w:rFonts w:ascii="Arial" w:hAnsi="Arial" w:cs="Arial"/>
        </w:rPr>
        <w:t>Ch</w:t>
      </w:r>
      <w:r w:rsidR="008A6F33" w:rsidRPr="001C4CC1">
        <w:rPr>
          <w:rFonts w:ascii="Arial" w:hAnsi="Arial" w:cs="Arial"/>
        </w:rPr>
        <w:t>ng, K., Chan, G.K. and Goh, Y. (2019)</w:t>
      </w:r>
      <w:r w:rsidRPr="001C4CC1">
        <w:rPr>
          <w:rFonts w:ascii="Arial" w:hAnsi="Arial" w:cs="Arial"/>
        </w:rPr>
        <w:t xml:space="preserve"> A Novel Development of Tort Law: Robinson v Chief Constable of West Yorkshire Police. </w:t>
      </w:r>
      <w:r w:rsidRPr="001C4CC1">
        <w:rPr>
          <w:rFonts w:ascii="Arial" w:hAnsi="Arial" w:cs="Arial"/>
          <w:i/>
        </w:rPr>
        <w:t>Torts Law Journal (Forthcoming)</w:t>
      </w:r>
      <w:r w:rsidRPr="001C4CC1">
        <w:rPr>
          <w:rFonts w:ascii="Arial" w:hAnsi="Arial" w:cs="Arial"/>
        </w:rPr>
        <w:t>.</w:t>
      </w:r>
    </w:p>
    <w:p w14:paraId="00000039" w14:textId="2B5DCD7A" w:rsidR="00401142" w:rsidRPr="001C4CC1" w:rsidRDefault="00953464">
      <w:pPr>
        <w:ind w:left="720" w:hanging="720"/>
        <w:rPr>
          <w:rFonts w:ascii="Arial" w:hAnsi="Arial" w:cs="Arial"/>
        </w:rPr>
      </w:pPr>
      <w:r w:rsidRPr="001C4CC1">
        <w:rPr>
          <w:rFonts w:ascii="Arial" w:hAnsi="Arial" w:cs="Arial"/>
        </w:rPr>
        <w:t xml:space="preserve">Clunis (1998) </w:t>
      </w:r>
      <w:r w:rsidR="00684F28" w:rsidRPr="001C4CC1">
        <w:rPr>
          <w:rFonts w:ascii="Arial" w:hAnsi="Arial" w:cs="Arial"/>
        </w:rPr>
        <w:t xml:space="preserve"> Islingto</w:t>
      </w:r>
      <w:r w:rsidRPr="001C4CC1">
        <w:rPr>
          <w:rFonts w:ascii="Arial" w:hAnsi="Arial" w:cs="Arial"/>
        </w:rPr>
        <w:t xml:space="preserve">n Health Authority </w:t>
      </w:r>
    </w:p>
    <w:p w14:paraId="0000003A" w14:textId="19DB5814" w:rsidR="00401142" w:rsidRPr="001C4CC1" w:rsidRDefault="00953464">
      <w:pPr>
        <w:ind w:left="720" w:hanging="720"/>
        <w:rPr>
          <w:rFonts w:ascii="Arial" w:hAnsi="Arial" w:cs="Arial"/>
        </w:rPr>
      </w:pPr>
      <w:r w:rsidRPr="001C4CC1">
        <w:rPr>
          <w:rFonts w:ascii="Arial" w:hAnsi="Arial" w:cs="Arial"/>
        </w:rPr>
        <w:t>Corr,</w:t>
      </w:r>
      <w:r w:rsidR="00684F28" w:rsidRPr="001C4CC1">
        <w:rPr>
          <w:rFonts w:ascii="Arial" w:hAnsi="Arial" w:cs="Arial"/>
        </w:rPr>
        <w:t xml:space="preserve">IBC </w:t>
      </w:r>
      <w:r w:rsidRPr="001C4CC1">
        <w:rPr>
          <w:rFonts w:ascii="Arial" w:hAnsi="Arial" w:cs="Arial"/>
        </w:rPr>
        <w:t>,</w:t>
      </w:r>
      <w:r w:rsidR="00124F74" w:rsidRPr="001C4CC1">
        <w:rPr>
          <w:rFonts w:ascii="Arial" w:hAnsi="Arial" w:cs="Arial"/>
        </w:rPr>
        <w:t>2008, p</w:t>
      </w:r>
      <w:r w:rsidR="00684F28" w:rsidRPr="001C4CC1">
        <w:rPr>
          <w:rFonts w:ascii="Arial" w:hAnsi="Arial" w:cs="Arial"/>
        </w:rPr>
        <w:t>49</w:t>
      </w:r>
    </w:p>
    <w:p w14:paraId="0000003B" w14:textId="392AAA30" w:rsidR="00401142" w:rsidRPr="001C4CC1" w:rsidRDefault="00953464">
      <w:pPr>
        <w:ind w:left="720" w:hanging="720"/>
        <w:rPr>
          <w:rFonts w:ascii="Arial" w:hAnsi="Arial" w:cs="Arial"/>
        </w:rPr>
      </w:pPr>
      <w:r w:rsidRPr="001C4CC1">
        <w:rPr>
          <w:rFonts w:ascii="Arial" w:hAnsi="Arial" w:cs="Arial"/>
        </w:rPr>
        <w:t xml:space="preserve">Donoghue v Stevenson, 1932, pg </w:t>
      </w:r>
      <w:r w:rsidR="00684F28" w:rsidRPr="001C4CC1">
        <w:rPr>
          <w:rFonts w:ascii="Arial" w:hAnsi="Arial" w:cs="Arial"/>
        </w:rPr>
        <w:t>100</w:t>
      </w:r>
    </w:p>
    <w:p w14:paraId="0000003C" w14:textId="4DDA3551" w:rsidR="00401142" w:rsidRPr="001C4CC1" w:rsidRDefault="00124F74">
      <w:pPr>
        <w:ind w:left="720" w:hanging="720"/>
        <w:rPr>
          <w:rFonts w:ascii="Arial" w:hAnsi="Arial" w:cs="Arial"/>
        </w:rPr>
      </w:pPr>
      <w:r w:rsidRPr="001C4CC1">
        <w:rPr>
          <w:rFonts w:ascii="Arial" w:hAnsi="Arial" w:cs="Arial"/>
        </w:rPr>
        <w:t>Froom v Butcher, 1976, p.</w:t>
      </w:r>
      <w:r w:rsidR="00684F28" w:rsidRPr="001C4CC1">
        <w:rPr>
          <w:rFonts w:ascii="Arial" w:hAnsi="Arial" w:cs="Arial"/>
        </w:rPr>
        <w:t>286</w:t>
      </w:r>
    </w:p>
    <w:p w14:paraId="0000003D" w14:textId="5B190E52" w:rsidR="00401142" w:rsidRPr="001C4CC1" w:rsidRDefault="00684F28">
      <w:pPr>
        <w:ind w:left="720" w:hanging="720"/>
        <w:rPr>
          <w:rFonts w:ascii="Arial" w:hAnsi="Arial" w:cs="Arial"/>
        </w:rPr>
      </w:pPr>
      <w:r w:rsidRPr="001C4CC1">
        <w:rPr>
          <w:rFonts w:ascii="Arial" w:hAnsi="Arial" w:cs="Arial"/>
        </w:rPr>
        <w:t>Glasgow Corp v Muir</w:t>
      </w:r>
      <w:r w:rsidR="00124F74" w:rsidRPr="001C4CC1">
        <w:rPr>
          <w:rFonts w:ascii="Arial" w:hAnsi="Arial" w:cs="Arial"/>
        </w:rPr>
        <w:t>, 1943, p</w:t>
      </w:r>
      <w:r w:rsidRPr="001C4CC1">
        <w:rPr>
          <w:rFonts w:ascii="Arial" w:hAnsi="Arial" w:cs="Arial"/>
        </w:rPr>
        <w:t xml:space="preserve"> 448</w:t>
      </w:r>
    </w:p>
    <w:p w14:paraId="0000003E" w14:textId="49E45C5A" w:rsidR="00401142" w:rsidRPr="001C4CC1" w:rsidRDefault="00684F28">
      <w:pPr>
        <w:ind w:left="720" w:hanging="720"/>
        <w:rPr>
          <w:rFonts w:ascii="Arial" w:hAnsi="Arial" w:cs="Arial"/>
        </w:rPr>
      </w:pPr>
      <w:r w:rsidRPr="001C4CC1">
        <w:rPr>
          <w:rFonts w:ascii="Arial" w:hAnsi="Arial" w:cs="Arial"/>
        </w:rPr>
        <w:t xml:space="preserve">Green, L., </w:t>
      </w:r>
      <w:r w:rsidR="00124F74" w:rsidRPr="001C4CC1">
        <w:rPr>
          <w:rFonts w:ascii="Arial" w:hAnsi="Arial" w:cs="Arial"/>
        </w:rPr>
        <w:t>(1967)</w:t>
      </w:r>
      <w:r w:rsidRPr="001C4CC1">
        <w:rPr>
          <w:rFonts w:ascii="Arial" w:hAnsi="Arial" w:cs="Arial"/>
        </w:rPr>
        <w:t xml:space="preserve"> The Wagon Mound No. 2--Foreseeability Revised. </w:t>
      </w:r>
      <w:r w:rsidRPr="001C4CC1">
        <w:rPr>
          <w:rFonts w:ascii="Arial" w:hAnsi="Arial" w:cs="Arial"/>
          <w:i/>
        </w:rPr>
        <w:t>Utah L. Rev.</w:t>
      </w:r>
      <w:r w:rsidRPr="001C4CC1">
        <w:rPr>
          <w:rFonts w:ascii="Arial" w:hAnsi="Arial" w:cs="Arial"/>
        </w:rPr>
        <w:t>, p.197.</w:t>
      </w:r>
    </w:p>
    <w:p w14:paraId="0000003F" w14:textId="39DE610B" w:rsidR="00401142" w:rsidRPr="001C4CC1" w:rsidRDefault="00124F74">
      <w:pPr>
        <w:ind w:left="720" w:hanging="720"/>
        <w:rPr>
          <w:rFonts w:ascii="Arial" w:hAnsi="Arial" w:cs="Arial"/>
        </w:rPr>
      </w:pPr>
      <w:r w:rsidRPr="001C4CC1">
        <w:rPr>
          <w:rFonts w:ascii="Arial" w:hAnsi="Arial" w:cs="Arial"/>
        </w:rPr>
        <w:t>Howes, V.(</w:t>
      </w:r>
      <w:r w:rsidR="00684F28" w:rsidRPr="001C4CC1">
        <w:rPr>
          <w:rFonts w:ascii="Arial" w:hAnsi="Arial" w:cs="Arial"/>
        </w:rPr>
        <w:t>2009</w:t>
      </w:r>
      <w:r w:rsidRPr="001C4CC1">
        <w:rPr>
          <w:rFonts w:ascii="Arial" w:hAnsi="Arial" w:cs="Arial"/>
        </w:rPr>
        <w:t>)</w:t>
      </w:r>
      <w:r w:rsidR="00684F28" w:rsidRPr="001C4CC1">
        <w:rPr>
          <w:rFonts w:ascii="Arial" w:hAnsi="Arial" w:cs="Arial"/>
        </w:rPr>
        <w:t>. Duties and liabilities under the Health and Safety at Work Act 1974: a step forward?. </w:t>
      </w:r>
      <w:r w:rsidR="00684F28" w:rsidRPr="001C4CC1">
        <w:rPr>
          <w:rFonts w:ascii="Arial" w:hAnsi="Arial" w:cs="Arial"/>
          <w:i/>
        </w:rPr>
        <w:t>Industrial Law Journal</w:t>
      </w:r>
      <w:r w:rsidR="00684F28" w:rsidRPr="001C4CC1">
        <w:rPr>
          <w:rFonts w:ascii="Arial" w:hAnsi="Arial" w:cs="Arial"/>
        </w:rPr>
        <w:t>, p.306-317.</w:t>
      </w:r>
    </w:p>
    <w:p w14:paraId="00000040" w14:textId="127AA144" w:rsidR="00401142" w:rsidRPr="001C4CC1" w:rsidRDefault="00684F28">
      <w:pPr>
        <w:ind w:left="720" w:hanging="720"/>
        <w:rPr>
          <w:rFonts w:ascii="Arial" w:hAnsi="Arial" w:cs="Arial"/>
        </w:rPr>
      </w:pPr>
      <w:r w:rsidRPr="001C4CC1">
        <w:rPr>
          <w:rFonts w:ascii="Arial" w:hAnsi="Arial" w:cs="Arial"/>
        </w:rPr>
        <w:t>Hudson v Ridge Manuf</w:t>
      </w:r>
      <w:r w:rsidR="00124F74" w:rsidRPr="001C4CC1">
        <w:rPr>
          <w:rFonts w:ascii="Arial" w:hAnsi="Arial" w:cs="Arial"/>
        </w:rPr>
        <w:t>acturing Co Ltd,1957, p.</w:t>
      </w:r>
      <w:r w:rsidRPr="001C4CC1">
        <w:rPr>
          <w:rFonts w:ascii="Arial" w:hAnsi="Arial" w:cs="Arial"/>
        </w:rPr>
        <w:t>348</w:t>
      </w:r>
    </w:p>
    <w:p w14:paraId="00000041" w14:textId="224F2C7A" w:rsidR="00401142" w:rsidRPr="001C4CC1" w:rsidRDefault="00684F28">
      <w:pPr>
        <w:ind w:left="720" w:hanging="720"/>
        <w:rPr>
          <w:rFonts w:ascii="Arial" w:hAnsi="Arial" w:cs="Arial"/>
        </w:rPr>
      </w:pPr>
      <w:r w:rsidRPr="001C4CC1">
        <w:rPr>
          <w:rFonts w:ascii="Arial" w:hAnsi="Arial" w:cs="Arial"/>
        </w:rPr>
        <w:t xml:space="preserve">Hughes, P. and Ferrett, E., </w:t>
      </w:r>
      <w:r w:rsidR="00124F74" w:rsidRPr="001C4CC1">
        <w:rPr>
          <w:rFonts w:ascii="Arial" w:hAnsi="Arial" w:cs="Arial"/>
        </w:rPr>
        <w:t>(</w:t>
      </w:r>
      <w:r w:rsidRPr="001C4CC1">
        <w:rPr>
          <w:rFonts w:ascii="Arial" w:hAnsi="Arial" w:cs="Arial"/>
        </w:rPr>
        <w:t>201</w:t>
      </w:r>
      <w:r w:rsidR="00124F74" w:rsidRPr="001C4CC1">
        <w:rPr>
          <w:rFonts w:ascii="Arial" w:hAnsi="Arial" w:cs="Arial"/>
        </w:rPr>
        <w:t xml:space="preserve">1) </w:t>
      </w:r>
      <w:r w:rsidRPr="001C4CC1">
        <w:rPr>
          <w:rFonts w:ascii="Arial" w:hAnsi="Arial" w:cs="Arial"/>
        </w:rPr>
        <w:t> </w:t>
      </w:r>
      <w:r w:rsidRPr="001C4CC1">
        <w:rPr>
          <w:rFonts w:ascii="Arial" w:hAnsi="Arial" w:cs="Arial"/>
          <w:i/>
        </w:rPr>
        <w:t>Introduction to health and safety at work</w:t>
      </w:r>
      <w:r w:rsidRPr="001C4CC1">
        <w:rPr>
          <w:rFonts w:ascii="Arial" w:hAnsi="Arial" w:cs="Arial"/>
        </w:rPr>
        <w:t>. Routledge.</w:t>
      </w:r>
    </w:p>
    <w:p w14:paraId="00000042" w14:textId="71EC9A64" w:rsidR="00401142" w:rsidRPr="001C4CC1" w:rsidRDefault="00124F74">
      <w:pPr>
        <w:ind w:left="720" w:hanging="720"/>
        <w:rPr>
          <w:rFonts w:ascii="Arial" w:hAnsi="Arial" w:cs="Arial"/>
        </w:rPr>
      </w:pPr>
      <w:r w:rsidRPr="001C4CC1">
        <w:rPr>
          <w:rFonts w:ascii="Arial" w:hAnsi="Arial" w:cs="Arial"/>
        </w:rPr>
        <w:t>Humphreys, J.S</w:t>
      </w:r>
      <w:r w:rsidR="00684F28" w:rsidRPr="001C4CC1">
        <w:rPr>
          <w:rFonts w:ascii="Arial" w:hAnsi="Arial" w:cs="Arial"/>
        </w:rPr>
        <w:t xml:space="preserve"> </w:t>
      </w:r>
      <w:r w:rsidRPr="001C4CC1">
        <w:rPr>
          <w:rFonts w:ascii="Arial" w:hAnsi="Arial" w:cs="Arial"/>
        </w:rPr>
        <w:t>(</w:t>
      </w:r>
      <w:r w:rsidR="00684F28" w:rsidRPr="001C4CC1">
        <w:rPr>
          <w:rFonts w:ascii="Arial" w:hAnsi="Arial" w:cs="Arial"/>
        </w:rPr>
        <w:t>2007</w:t>
      </w:r>
      <w:r w:rsidRPr="001C4CC1">
        <w:rPr>
          <w:rFonts w:ascii="Arial" w:hAnsi="Arial" w:cs="Arial"/>
        </w:rPr>
        <w:t>)</w:t>
      </w:r>
      <w:r w:rsidR="00684F28" w:rsidRPr="001C4CC1">
        <w:rPr>
          <w:rFonts w:ascii="Arial" w:hAnsi="Arial" w:cs="Arial"/>
        </w:rPr>
        <w:t>. Health and Safety at Work Act 1974: is it too late to teach an old dog new tricks?. </w:t>
      </w:r>
      <w:r w:rsidR="00684F28" w:rsidRPr="001C4CC1">
        <w:rPr>
          <w:rFonts w:ascii="Arial" w:hAnsi="Arial" w:cs="Arial"/>
          <w:i/>
        </w:rPr>
        <w:t>Policy and Practice in Health and Safety</w:t>
      </w:r>
      <w:r w:rsidR="00684F28" w:rsidRPr="001C4CC1">
        <w:rPr>
          <w:rFonts w:ascii="Arial" w:hAnsi="Arial" w:cs="Arial"/>
        </w:rPr>
        <w:t>, p.19-35.</w:t>
      </w:r>
    </w:p>
    <w:p w14:paraId="00000043" w14:textId="13FBF3D3" w:rsidR="00401142" w:rsidRPr="001C4CC1" w:rsidRDefault="00124F74">
      <w:pPr>
        <w:ind w:left="720" w:hanging="720"/>
        <w:rPr>
          <w:rFonts w:ascii="Arial" w:hAnsi="Arial" w:cs="Arial"/>
        </w:rPr>
      </w:pPr>
      <w:r w:rsidRPr="001C4CC1">
        <w:rPr>
          <w:rFonts w:ascii="Arial" w:hAnsi="Arial" w:cs="Arial"/>
        </w:rPr>
        <w:t>Jackson v Murray (2015)</w:t>
      </w:r>
      <w:r w:rsidR="00684F28" w:rsidRPr="001C4CC1">
        <w:rPr>
          <w:rFonts w:ascii="Arial" w:hAnsi="Arial" w:cs="Arial"/>
        </w:rPr>
        <w:t xml:space="preserve"> UKSC 5</w:t>
      </w:r>
    </w:p>
    <w:p w14:paraId="00000044" w14:textId="3508E83B" w:rsidR="00401142" w:rsidRPr="001C4CC1" w:rsidRDefault="00124F74">
      <w:pPr>
        <w:ind w:left="720" w:hanging="720"/>
        <w:rPr>
          <w:rFonts w:ascii="Arial" w:hAnsi="Arial" w:cs="Arial"/>
        </w:rPr>
      </w:pPr>
      <w:r w:rsidRPr="001C4CC1">
        <w:rPr>
          <w:rFonts w:ascii="Arial" w:hAnsi="Arial" w:cs="Arial"/>
        </w:rPr>
        <w:t>Jebson v Ministry of Defence (2000)</w:t>
      </w:r>
      <w:r w:rsidR="00684F28" w:rsidRPr="001C4CC1">
        <w:rPr>
          <w:rFonts w:ascii="Arial" w:hAnsi="Arial" w:cs="Arial"/>
        </w:rPr>
        <w:t xml:space="preserve"> EWCA Civ 198</w:t>
      </w:r>
    </w:p>
    <w:p w14:paraId="00000045" w14:textId="190C6094" w:rsidR="00401142" w:rsidRPr="001C4CC1" w:rsidRDefault="00124F74">
      <w:pPr>
        <w:ind w:left="720" w:hanging="720"/>
        <w:rPr>
          <w:rFonts w:ascii="Arial" w:hAnsi="Arial" w:cs="Arial"/>
        </w:rPr>
      </w:pPr>
      <w:r w:rsidRPr="001C4CC1">
        <w:rPr>
          <w:rFonts w:ascii="Arial" w:hAnsi="Arial" w:cs="Arial"/>
        </w:rPr>
        <w:t>Latimer v AEC Ltd, 1953.</w:t>
      </w:r>
      <w:r w:rsidR="00684F28" w:rsidRPr="001C4CC1">
        <w:rPr>
          <w:rFonts w:ascii="Arial" w:hAnsi="Arial" w:cs="Arial"/>
        </w:rPr>
        <w:t xml:space="preserve"> AC 64</w:t>
      </w:r>
    </w:p>
    <w:p w14:paraId="00000046" w14:textId="018A8362" w:rsidR="00401142" w:rsidRPr="001C4CC1" w:rsidRDefault="00684F28">
      <w:pPr>
        <w:ind w:left="720" w:hanging="720"/>
        <w:rPr>
          <w:rFonts w:ascii="Arial" w:hAnsi="Arial" w:cs="Arial"/>
        </w:rPr>
      </w:pPr>
      <w:r w:rsidRPr="001C4CC1">
        <w:rPr>
          <w:rFonts w:ascii="Arial" w:hAnsi="Arial" w:cs="Arial"/>
        </w:rPr>
        <w:t xml:space="preserve">McKew v Holland and Hannen </w:t>
      </w:r>
      <w:r w:rsidR="00124F74" w:rsidRPr="001C4CC1">
        <w:rPr>
          <w:rFonts w:ascii="Arial" w:hAnsi="Arial" w:cs="Arial"/>
        </w:rPr>
        <w:t>(1969)</w:t>
      </w:r>
      <w:r w:rsidRPr="001C4CC1">
        <w:rPr>
          <w:rFonts w:ascii="Arial" w:hAnsi="Arial" w:cs="Arial"/>
        </w:rPr>
        <w:t xml:space="preserve"> 3 All ER 162</w:t>
      </w:r>
    </w:p>
    <w:p w14:paraId="00000047" w14:textId="4B00A6E7" w:rsidR="00401142" w:rsidRPr="001C4CC1" w:rsidRDefault="00124F74">
      <w:pPr>
        <w:ind w:left="720" w:hanging="720"/>
        <w:rPr>
          <w:rFonts w:ascii="Arial" w:hAnsi="Arial" w:cs="Arial"/>
        </w:rPr>
      </w:pPr>
      <w:r w:rsidRPr="001C4CC1">
        <w:rPr>
          <w:rFonts w:ascii="Arial" w:hAnsi="Arial" w:cs="Arial"/>
        </w:rPr>
        <w:lastRenderedPageBreak/>
        <w:t>McKew v Holland and Hannen (1969)</w:t>
      </w:r>
      <w:r w:rsidR="00684F28" w:rsidRPr="001C4CC1">
        <w:rPr>
          <w:rFonts w:ascii="Arial" w:hAnsi="Arial" w:cs="Arial"/>
        </w:rPr>
        <w:t xml:space="preserve"> 3 All ER 1621</w:t>
      </w:r>
    </w:p>
    <w:p w14:paraId="00000048" w14:textId="76B4BE7F" w:rsidR="00401142" w:rsidRPr="001C4CC1" w:rsidRDefault="001C4CC1">
      <w:pPr>
        <w:ind w:left="720" w:hanging="720"/>
        <w:rPr>
          <w:rFonts w:ascii="Arial" w:hAnsi="Arial" w:cs="Arial"/>
        </w:rPr>
      </w:pPr>
      <w:r w:rsidRPr="001C4CC1">
        <w:rPr>
          <w:rFonts w:ascii="Arial" w:hAnsi="Arial" w:cs="Arial"/>
        </w:rPr>
        <w:t>Page v Smith. 1996. P.</w:t>
      </w:r>
      <w:r w:rsidR="00684F28" w:rsidRPr="001C4CC1">
        <w:rPr>
          <w:rFonts w:ascii="Arial" w:hAnsi="Arial" w:cs="Arial"/>
        </w:rPr>
        <w:t>155</w:t>
      </w:r>
    </w:p>
    <w:p w14:paraId="00000049" w14:textId="7E1C43CD" w:rsidR="00401142" w:rsidRPr="001C4CC1" w:rsidRDefault="00684F28" w:rsidP="001C4CC1">
      <w:pPr>
        <w:ind w:left="720" w:hanging="720"/>
        <w:rPr>
          <w:rFonts w:ascii="Arial" w:hAnsi="Arial" w:cs="Arial"/>
        </w:rPr>
      </w:pPr>
      <w:r w:rsidRPr="001C4CC1">
        <w:rPr>
          <w:rFonts w:ascii="Arial" w:hAnsi="Arial" w:cs="Arial"/>
        </w:rPr>
        <w:t>Paris v S</w:t>
      </w:r>
      <w:r w:rsidR="001C4CC1" w:rsidRPr="001C4CC1">
        <w:rPr>
          <w:rFonts w:ascii="Arial" w:hAnsi="Arial" w:cs="Arial"/>
        </w:rPr>
        <w:t>tepney Borough Council 1951, p.</w:t>
      </w:r>
      <w:r w:rsidRPr="001C4CC1">
        <w:rPr>
          <w:rFonts w:ascii="Arial" w:hAnsi="Arial" w:cs="Arial"/>
        </w:rPr>
        <w:t xml:space="preserve"> 367</w:t>
      </w:r>
    </w:p>
    <w:p w14:paraId="0000004A" w14:textId="1B6F0C2F" w:rsidR="00401142" w:rsidRPr="001C4CC1" w:rsidRDefault="001C4CC1">
      <w:pPr>
        <w:ind w:left="720" w:hanging="720"/>
        <w:rPr>
          <w:rFonts w:ascii="Arial" w:hAnsi="Arial" w:cs="Arial"/>
        </w:rPr>
      </w:pPr>
      <w:r w:rsidRPr="001C4CC1">
        <w:rPr>
          <w:rFonts w:ascii="Arial" w:hAnsi="Arial" w:cs="Arial"/>
        </w:rPr>
        <w:t>Pitts v Hunt [1991] p.</w:t>
      </w:r>
      <w:r w:rsidR="00684F28" w:rsidRPr="001C4CC1">
        <w:rPr>
          <w:rFonts w:ascii="Arial" w:hAnsi="Arial" w:cs="Arial"/>
        </w:rPr>
        <w:t>24</w:t>
      </w:r>
    </w:p>
    <w:p w14:paraId="0000004B" w14:textId="4A758484" w:rsidR="00401142" w:rsidRPr="001C4CC1" w:rsidRDefault="00684F28">
      <w:pPr>
        <w:ind w:left="720" w:hanging="720"/>
        <w:rPr>
          <w:rFonts w:ascii="Arial" w:hAnsi="Arial" w:cs="Arial"/>
        </w:rPr>
      </w:pPr>
      <w:r w:rsidRPr="001C4CC1">
        <w:rPr>
          <w:rFonts w:ascii="Arial" w:hAnsi="Arial" w:cs="Arial"/>
        </w:rPr>
        <w:t>Reeves v Me</w:t>
      </w:r>
      <w:r w:rsidR="001C4CC1" w:rsidRPr="001C4CC1">
        <w:rPr>
          <w:rFonts w:ascii="Arial" w:hAnsi="Arial" w:cs="Arial"/>
        </w:rPr>
        <w:t>tropolitan Police Commissioner, 2000, p.</w:t>
      </w:r>
      <w:r w:rsidRPr="001C4CC1">
        <w:rPr>
          <w:rFonts w:ascii="Arial" w:hAnsi="Arial" w:cs="Arial"/>
        </w:rPr>
        <w:t>360</w:t>
      </w:r>
    </w:p>
    <w:p w14:paraId="0000004C" w14:textId="67CC64BD" w:rsidR="00401142" w:rsidRPr="001C4CC1" w:rsidRDefault="00684F28">
      <w:pPr>
        <w:ind w:left="720" w:hanging="720"/>
        <w:rPr>
          <w:rFonts w:ascii="Arial" w:hAnsi="Arial" w:cs="Arial"/>
        </w:rPr>
      </w:pPr>
      <w:r w:rsidRPr="001C4CC1">
        <w:rPr>
          <w:rFonts w:ascii="Arial" w:hAnsi="Arial" w:cs="Arial"/>
        </w:rPr>
        <w:t>Robinson v Chief Cons</w:t>
      </w:r>
      <w:r w:rsidR="001C4CC1" w:rsidRPr="001C4CC1">
        <w:rPr>
          <w:rFonts w:ascii="Arial" w:hAnsi="Arial" w:cs="Arial"/>
        </w:rPr>
        <w:t>table of West Yorkshire Police (2018)</w:t>
      </w:r>
      <w:r w:rsidRPr="001C4CC1">
        <w:rPr>
          <w:rFonts w:ascii="Arial" w:hAnsi="Arial" w:cs="Arial"/>
        </w:rPr>
        <w:t xml:space="preserve"> 2 WLR 595</w:t>
      </w:r>
    </w:p>
    <w:p w14:paraId="0000004D" w14:textId="63038420" w:rsidR="00401142" w:rsidRPr="001C4CC1" w:rsidRDefault="00684F28">
      <w:pPr>
        <w:ind w:left="720" w:hanging="720"/>
        <w:rPr>
          <w:rFonts w:ascii="Arial" w:hAnsi="Arial" w:cs="Arial"/>
        </w:rPr>
      </w:pPr>
      <w:r w:rsidRPr="001C4CC1">
        <w:rPr>
          <w:rFonts w:ascii="Arial" w:hAnsi="Arial" w:cs="Arial"/>
        </w:rPr>
        <w:t>Rothw</w:t>
      </w:r>
      <w:r w:rsidR="001C4CC1" w:rsidRPr="001C4CC1">
        <w:rPr>
          <w:rFonts w:ascii="Arial" w:hAnsi="Arial" w:cs="Arial"/>
        </w:rPr>
        <w:t>ell v Chemical &amp; Insulating Co, 2008, p.</w:t>
      </w:r>
      <w:r w:rsidRPr="001C4CC1">
        <w:rPr>
          <w:rFonts w:ascii="Arial" w:hAnsi="Arial" w:cs="Arial"/>
        </w:rPr>
        <w:t>281</w:t>
      </w:r>
    </w:p>
    <w:p w14:paraId="0000004E" w14:textId="1EEE1399" w:rsidR="00401142" w:rsidRPr="001C4CC1" w:rsidRDefault="00684F28">
      <w:pPr>
        <w:ind w:left="720" w:hanging="720"/>
        <w:rPr>
          <w:rFonts w:ascii="Arial" w:hAnsi="Arial" w:cs="Arial"/>
        </w:rPr>
      </w:pPr>
      <w:r w:rsidRPr="001C4CC1">
        <w:rPr>
          <w:rFonts w:ascii="Arial" w:hAnsi="Arial" w:cs="Arial"/>
        </w:rPr>
        <w:t xml:space="preserve">Steele, J., </w:t>
      </w:r>
      <w:r w:rsidR="001C4CC1" w:rsidRPr="001C4CC1">
        <w:rPr>
          <w:rFonts w:ascii="Arial" w:hAnsi="Arial" w:cs="Arial"/>
        </w:rPr>
        <w:t>(2008)</w:t>
      </w:r>
      <w:r w:rsidRPr="001C4CC1">
        <w:rPr>
          <w:rFonts w:ascii="Arial" w:hAnsi="Arial" w:cs="Arial"/>
        </w:rPr>
        <w:t xml:space="preserve"> Pleural Plaques in the House of Lords: The Implications for Page v. </w:t>
      </w:r>
      <w:bookmarkStart w:id="0" w:name="_GoBack"/>
      <w:bookmarkEnd w:id="0"/>
      <w:r w:rsidRPr="001C4CC1">
        <w:rPr>
          <w:rFonts w:ascii="Arial" w:hAnsi="Arial" w:cs="Arial"/>
        </w:rPr>
        <w:t>Smith. </w:t>
      </w:r>
      <w:r w:rsidRPr="001C4CC1">
        <w:rPr>
          <w:rFonts w:ascii="Arial" w:hAnsi="Arial" w:cs="Arial"/>
          <w:i/>
        </w:rPr>
        <w:t>The Cambridge Law Journal</w:t>
      </w:r>
      <w:r w:rsidRPr="001C4CC1">
        <w:rPr>
          <w:rFonts w:ascii="Arial" w:hAnsi="Arial" w:cs="Arial"/>
        </w:rPr>
        <w:t>, </w:t>
      </w:r>
      <w:r w:rsidRPr="001C4CC1">
        <w:rPr>
          <w:rFonts w:ascii="Arial" w:hAnsi="Arial" w:cs="Arial"/>
          <w:i/>
        </w:rPr>
        <w:t>67</w:t>
      </w:r>
      <w:r w:rsidRPr="001C4CC1">
        <w:rPr>
          <w:rFonts w:ascii="Arial" w:hAnsi="Arial" w:cs="Arial"/>
        </w:rPr>
        <w:t>(1), pp.28-30.</w:t>
      </w:r>
    </w:p>
    <w:p w14:paraId="0000004F" w14:textId="7F55E628" w:rsidR="00401142" w:rsidRPr="001C4CC1" w:rsidRDefault="00684F28">
      <w:pPr>
        <w:ind w:left="720" w:hanging="720"/>
        <w:rPr>
          <w:rFonts w:ascii="Arial" w:hAnsi="Arial" w:cs="Arial"/>
        </w:rPr>
      </w:pPr>
      <w:r w:rsidRPr="001C4CC1">
        <w:rPr>
          <w:rFonts w:ascii="Arial" w:hAnsi="Arial" w:cs="Arial"/>
        </w:rPr>
        <w:t xml:space="preserve">Stranks, J., </w:t>
      </w:r>
      <w:r w:rsidR="001C4CC1" w:rsidRPr="001C4CC1">
        <w:rPr>
          <w:rFonts w:ascii="Arial" w:hAnsi="Arial" w:cs="Arial"/>
        </w:rPr>
        <w:t>(</w:t>
      </w:r>
      <w:r w:rsidRPr="001C4CC1">
        <w:rPr>
          <w:rFonts w:ascii="Arial" w:hAnsi="Arial" w:cs="Arial"/>
        </w:rPr>
        <w:t>1993</w:t>
      </w:r>
      <w:r w:rsidR="001C4CC1" w:rsidRPr="001C4CC1">
        <w:rPr>
          <w:rFonts w:ascii="Arial" w:hAnsi="Arial" w:cs="Arial"/>
        </w:rPr>
        <w:t>)</w:t>
      </w:r>
      <w:r w:rsidRPr="001C4CC1">
        <w:rPr>
          <w:rFonts w:ascii="Arial" w:hAnsi="Arial" w:cs="Arial"/>
        </w:rPr>
        <w:t>. Provision and Use of Work Equipment Regulations 1992. Practical implications for the dairy industry. </w:t>
      </w:r>
      <w:r w:rsidRPr="001C4CC1">
        <w:rPr>
          <w:rFonts w:ascii="Arial" w:hAnsi="Arial" w:cs="Arial"/>
          <w:i/>
        </w:rPr>
        <w:t>Milk Industry (London)(United Kingdom)</w:t>
      </w:r>
      <w:r w:rsidRPr="001C4CC1">
        <w:rPr>
          <w:rFonts w:ascii="Arial" w:hAnsi="Arial" w:cs="Arial"/>
        </w:rPr>
        <w:t>.</w:t>
      </w:r>
    </w:p>
    <w:p w14:paraId="00000050" w14:textId="279C1859" w:rsidR="00401142" w:rsidRPr="001C4CC1" w:rsidRDefault="001C4CC1">
      <w:pPr>
        <w:ind w:left="720" w:hanging="720"/>
        <w:rPr>
          <w:rFonts w:ascii="Arial" w:hAnsi="Arial" w:cs="Arial"/>
        </w:rPr>
      </w:pPr>
      <w:r w:rsidRPr="001C4CC1">
        <w:rPr>
          <w:rFonts w:ascii="Arial" w:hAnsi="Arial" w:cs="Arial"/>
        </w:rPr>
        <w:t>The Wagon Mound .1961, p.</w:t>
      </w:r>
      <w:r w:rsidR="00684F28" w:rsidRPr="001C4CC1">
        <w:rPr>
          <w:rFonts w:ascii="Arial" w:hAnsi="Arial" w:cs="Arial"/>
        </w:rPr>
        <w:t>38</w:t>
      </w:r>
    </w:p>
    <w:p w14:paraId="00000051" w14:textId="3E87657A" w:rsidR="00401142" w:rsidRPr="001C4CC1" w:rsidRDefault="00684F28">
      <w:pPr>
        <w:ind w:left="720" w:hanging="720"/>
        <w:rPr>
          <w:rFonts w:ascii="Arial" w:hAnsi="Arial" w:cs="Arial"/>
        </w:rPr>
      </w:pPr>
      <w:r w:rsidRPr="001C4CC1">
        <w:rPr>
          <w:rFonts w:ascii="Arial" w:hAnsi="Arial" w:cs="Arial"/>
        </w:rPr>
        <w:t>Wilson</w:t>
      </w:r>
      <w:r w:rsidR="001C4CC1" w:rsidRPr="001C4CC1">
        <w:rPr>
          <w:rFonts w:ascii="Arial" w:hAnsi="Arial" w:cs="Arial"/>
        </w:rPr>
        <w:t>s and Clyde Coal Ltd v English (1937)</w:t>
      </w:r>
      <w:r w:rsidRPr="001C4CC1">
        <w:rPr>
          <w:rFonts w:ascii="Arial" w:hAnsi="Arial" w:cs="Arial"/>
        </w:rPr>
        <w:t xml:space="preserve"> UKHL 2</w:t>
      </w:r>
    </w:p>
    <w:p w14:paraId="00000052" w14:textId="77777777" w:rsidR="00401142" w:rsidRPr="001C4CC1" w:rsidRDefault="00401142">
      <w:pPr>
        <w:ind w:firstLine="0"/>
        <w:rPr>
          <w:rFonts w:ascii="Arial" w:hAnsi="Arial" w:cs="Arial"/>
        </w:rPr>
      </w:pPr>
    </w:p>
    <w:sectPr w:rsidR="00401142" w:rsidRPr="001C4CC1">
      <w:head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7DA7E7" w14:textId="77777777" w:rsidR="00284810" w:rsidRDefault="00284810" w:rsidP="001C4CC1">
      <w:pPr>
        <w:spacing w:line="240" w:lineRule="auto"/>
      </w:pPr>
      <w:r>
        <w:separator/>
      </w:r>
    </w:p>
  </w:endnote>
  <w:endnote w:type="continuationSeparator" w:id="0">
    <w:p w14:paraId="534E1FFA" w14:textId="77777777" w:rsidR="00284810" w:rsidRDefault="00284810" w:rsidP="001C4C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1B6D93" w14:textId="77777777" w:rsidR="00284810" w:rsidRDefault="00284810" w:rsidP="001C4CC1">
      <w:pPr>
        <w:spacing w:line="240" w:lineRule="auto"/>
      </w:pPr>
      <w:r>
        <w:separator/>
      </w:r>
    </w:p>
  </w:footnote>
  <w:footnote w:type="continuationSeparator" w:id="0">
    <w:p w14:paraId="76E49CCE" w14:textId="77777777" w:rsidR="00284810" w:rsidRDefault="00284810" w:rsidP="001C4CC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595189"/>
      <w:docPartObj>
        <w:docPartGallery w:val="Page Numbers (Margins)"/>
        <w:docPartUnique/>
      </w:docPartObj>
    </w:sdtPr>
    <w:sdtContent>
      <w:p w14:paraId="4FD9FEFF" w14:textId="79C132F9" w:rsidR="00462B91" w:rsidRDefault="00462B91">
        <w:pPr>
          <w:pStyle w:val="Header"/>
        </w:pPr>
        <w:r>
          <w:rPr>
            <w:noProof/>
            <w:lang w:eastAsia="en-GB"/>
          </w:rPr>
          <mc:AlternateContent>
            <mc:Choice Requires="wps">
              <w:drawing>
                <wp:anchor distT="0" distB="0" distL="114300" distR="114300" simplePos="0" relativeHeight="251659264" behindDoc="0" locked="0" layoutInCell="0" allowOverlap="1" wp14:anchorId="069DB624" wp14:editId="214405CB">
                  <wp:simplePos x="0" y="0"/>
                  <wp:positionH relativeFrom="leftMargin">
                    <wp:align>left</wp:align>
                  </wp:positionH>
                  <mc:AlternateContent>
                    <mc:Choice Requires="wp14">
                      <wp:positionV relativeFrom="margin">
                        <wp14:pctPosVOffset>10000</wp14:pctPosVOffset>
                      </wp:positionV>
                    </mc:Choice>
                    <mc:Fallback>
                      <wp:positionV relativeFrom="page">
                        <wp:posOffset>1737360</wp:posOffset>
                      </wp:positionV>
                    </mc:Fallback>
                  </mc:AlternateContent>
                  <wp:extent cx="819150" cy="433705"/>
                  <wp:effectExtent l="0" t="0" r="0" b="444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433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612A90" w14:textId="77777777" w:rsidR="00462B91" w:rsidRDefault="00462B91">
                              <w:pPr>
                                <w:pBdr>
                                  <w:top w:val="single" w:sz="4" w:space="1" w:color="D8D8D8" w:themeColor="background1" w:themeShade="D8"/>
                                </w:pBdr>
                                <w:jc w:val="right"/>
                              </w:pPr>
                              <w:r>
                                <w:t xml:space="preserve">Page | </w:t>
                              </w:r>
                              <w:r>
                                <w:fldChar w:fldCharType="begin"/>
                              </w:r>
                              <w:r>
                                <w:instrText xml:space="preserve"> PAGE   \* MERGEFORMAT </w:instrText>
                              </w:r>
                              <w:r>
                                <w:fldChar w:fldCharType="separate"/>
                              </w:r>
                              <w:r w:rsidR="00856E19">
                                <w:rPr>
                                  <w:noProof/>
                                </w:rPr>
                                <w:t>1</w:t>
                              </w:r>
                              <w:r>
                                <w:rPr>
                                  <w:noProof/>
                                </w:rPr>
                                <w:fldChar w:fldCharType="end"/>
                              </w:r>
                            </w:p>
                          </w:txbxContent>
                        </wps:txbx>
                        <wps:bodyPr rot="0" vert="horz" wrap="square" lIns="0" tIns="45720" rIns="0" bIns="45720" anchor="t" anchorCtr="0" upright="1">
                          <a:spAutoFit/>
                        </wps:bodyPr>
                      </wps:wsp>
                    </a:graphicData>
                  </a:graphic>
                  <wp14:sizeRelH relativeFrom="leftMargin">
                    <wp14:pctWidth>90000</wp14:pctWidth>
                  </wp14:sizeRelH>
                  <wp14:sizeRelV relativeFrom="page">
                    <wp14:pctHeight>0</wp14:pctHeight>
                  </wp14:sizeRelV>
                </wp:anchor>
              </w:drawing>
            </mc:Choice>
            <mc:Fallback>
              <w:pict>
                <v:rect w14:anchorId="069DB624" id="Rectangle 1" o:spid="_x0000_s1026" style="position:absolute;left:0;text-align:left;margin-left:0;margin-top:0;width:64.5pt;height:34.15pt;z-index:251659264;visibility:visible;mso-wrap-style:square;mso-width-percent:900;mso-height-percent:0;mso-top-percent:100;mso-wrap-distance-left:9pt;mso-wrap-distance-top:0;mso-wrap-distance-right:9pt;mso-wrap-distance-bottom:0;mso-position-horizontal:left;mso-position-horizontal-relative:left-margin-area;mso-position-vertical-relative:margin;mso-width-percent:900;mso-height-percent:0;mso-top-percent:100;mso-width-relative:lef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" o:allowincell="f" stroked="f">
                  <v:textbox style="mso-fit-shape-to-text:t" inset="0,,0">
                    <w:txbxContent>
                      <w:p w14:paraId="6B612A90" w14:textId="77777777" w:rsidR="00462B91" w:rsidRDefault="00462B91">
                        <w:pPr>
                          <w:pBdr>
                            <w:top w:val="single" w:sz="4" w:space="1" w:color="D8D8D8" w:themeColor="background1" w:themeShade="D8"/>
                          </w:pBdr>
                          <w:jc w:val="right"/>
                        </w:pPr>
                        <w:r>
                          <w:t xml:space="preserve">Page | </w:t>
                        </w:r>
                        <w:r>
                          <w:fldChar w:fldCharType="begin"/>
                        </w:r>
                        <w:r>
                          <w:instrText xml:space="preserve"> PAGE   \* MERGEFORMAT </w:instrText>
                        </w:r>
                        <w:r>
                          <w:fldChar w:fldCharType="separate"/>
                        </w:r>
                        <w:r w:rsidR="00856E19">
                          <w:rPr>
                            <w:noProof/>
                          </w:rPr>
                          <w:t>1</w:t>
                        </w:r>
                        <w:r>
                          <w:rPr>
                            <w:noProof/>
                          </w:rPr>
                          <w:fldChar w:fldCharType="end"/>
                        </w:r>
                      </w:p>
                    </w:txbxContent>
                  </v:textbox>
                  <w10:wrap anchorx="margin" anchory="margin"/>
                </v:rect>
              </w:pict>
            </mc:Fallback>
          </mc:AlternateContent>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142"/>
    <w:rsid w:val="00124F74"/>
    <w:rsid w:val="001C4CC1"/>
    <w:rsid w:val="00284810"/>
    <w:rsid w:val="00401142"/>
    <w:rsid w:val="00462B91"/>
    <w:rsid w:val="00684F28"/>
    <w:rsid w:val="00856E19"/>
    <w:rsid w:val="008A6F33"/>
    <w:rsid w:val="00953464"/>
    <w:rsid w:val="00F20B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5B5B60"/>
  <w15:docId w15:val="{5B8DA674-B82A-4776-8DBC-EE8E3F612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US" w:bidi="ar-SA"/>
      </w:rPr>
    </w:rPrDefault>
    <w:pPrDefault>
      <w:pPr>
        <w:spacing w:line="480" w:lineRule="auto"/>
        <w:ind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1077"/>
  </w:style>
  <w:style w:type="paragraph" w:styleId="Heading1">
    <w:name w:val="heading 1"/>
    <w:basedOn w:val="Normal"/>
    <w:next w:val="Normal"/>
    <w:link w:val="Heading1Char"/>
    <w:uiPriority w:val="9"/>
    <w:qFormat/>
    <w:rsid w:val="009D1077"/>
    <w:pPr>
      <w:ind w:firstLine="0"/>
      <w:outlineLvl w:val="0"/>
    </w:pPr>
    <w:rPr>
      <w:b/>
      <w:i/>
    </w:rPr>
  </w:style>
  <w:style w:type="paragraph" w:styleId="Heading2">
    <w:name w:val="heading 2"/>
    <w:basedOn w:val="Heading1"/>
    <w:next w:val="Normal"/>
    <w:link w:val="Heading2Char"/>
    <w:uiPriority w:val="9"/>
    <w:semiHidden/>
    <w:unhideWhenUsed/>
    <w:qFormat/>
    <w:rsid w:val="00223166"/>
    <w:pPr>
      <w:outlineLvl w:val="1"/>
    </w:pPr>
    <w:rPr>
      <w:b w:val="0"/>
    </w:rPr>
  </w:style>
  <w:style w:type="paragraph" w:styleId="Heading3">
    <w:name w:val="heading 3"/>
    <w:basedOn w:val="Normal"/>
    <w:next w:val="Normal"/>
    <w:link w:val="Heading3Char"/>
    <w:uiPriority w:val="9"/>
    <w:semiHidden/>
    <w:unhideWhenUsed/>
    <w:qFormat/>
    <w:rsid w:val="00223166"/>
    <w:pPr>
      <w:keepNext/>
      <w:keepLines/>
      <w:spacing w:before="40"/>
      <w:jc w:val="center"/>
      <w:outlineLvl w:val="2"/>
    </w:pPr>
    <w:rPr>
      <w:rFonts w:eastAsiaTheme="majorEastAsia" w:cstheme="majorBidi"/>
    </w:rPr>
  </w:style>
  <w:style w:type="paragraph" w:styleId="Heading4">
    <w:name w:val="heading 4"/>
    <w:basedOn w:val="Normal"/>
    <w:next w:val="Normal"/>
    <w:link w:val="Heading4Char"/>
    <w:uiPriority w:val="9"/>
    <w:semiHidden/>
    <w:unhideWhenUsed/>
    <w:qFormat/>
    <w:rsid w:val="00031A3D"/>
    <w:pPr>
      <w:keepNext/>
      <w:keepLines/>
      <w:spacing w:before="40"/>
      <w:ind w:left="720"/>
      <w:outlineLvl w:val="3"/>
    </w:pPr>
    <w:rPr>
      <w:rFonts w:eastAsiaTheme="majorEastAsia" w:cstheme="majorBidi"/>
      <w:iCs/>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9D1077"/>
    <w:rPr>
      <w:rFonts w:ascii="Times New Roman" w:hAnsi="Times New Roman" w:cs="Times New Roman"/>
      <w:b/>
      <w:i/>
      <w:sz w:val="24"/>
      <w:szCs w:val="24"/>
    </w:rPr>
  </w:style>
  <w:style w:type="character" w:customStyle="1" w:styleId="Heading2Char">
    <w:name w:val="Heading 2 Char"/>
    <w:basedOn w:val="DefaultParagraphFont"/>
    <w:link w:val="Heading2"/>
    <w:uiPriority w:val="9"/>
    <w:rsid w:val="00223166"/>
    <w:rPr>
      <w:rFonts w:ascii="Times New Roman" w:hAnsi="Times New Roman"/>
      <w:i/>
      <w:sz w:val="24"/>
    </w:rPr>
  </w:style>
  <w:style w:type="character" w:customStyle="1" w:styleId="Heading3Char">
    <w:name w:val="Heading 3 Char"/>
    <w:basedOn w:val="DefaultParagraphFont"/>
    <w:link w:val="Heading3"/>
    <w:uiPriority w:val="9"/>
    <w:semiHidden/>
    <w:rsid w:val="00223166"/>
    <w:rPr>
      <w:rFonts w:ascii="Times New Roman" w:eastAsiaTheme="majorEastAsia" w:hAnsi="Times New Roman" w:cstheme="majorBidi"/>
      <w:sz w:val="24"/>
      <w:szCs w:val="24"/>
    </w:rPr>
  </w:style>
  <w:style w:type="character" w:customStyle="1" w:styleId="Heading4Char">
    <w:name w:val="Heading 4 Char"/>
    <w:basedOn w:val="DefaultParagraphFont"/>
    <w:link w:val="Heading4"/>
    <w:uiPriority w:val="9"/>
    <w:semiHidden/>
    <w:rsid w:val="00031A3D"/>
    <w:rPr>
      <w:rFonts w:ascii="Times New Roman" w:eastAsiaTheme="majorEastAsia" w:hAnsi="Times New Roman" w:cstheme="majorBidi"/>
      <w:iCs/>
      <w:sz w:val="24"/>
      <w:szCs w:val="24"/>
    </w:rPr>
  </w:style>
  <w:style w:type="paragraph" w:styleId="ListParagraph">
    <w:name w:val="List Paragraph"/>
    <w:basedOn w:val="Normal"/>
    <w:uiPriority w:val="34"/>
    <w:qFormat/>
    <w:rsid w:val="006A7C98"/>
    <w:pPr>
      <w:ind w:left="720"/>
      <w:contextualSpacing/>
    </w:pPr>
  </w:style>
  <w:style w:type="paragraph" w:styleId="FootnoteText">
    <w:name w:val="footnote text"/>
    <w:basedOn w:val="Normal"/>
    <w:link w:val="FootnoteTextChar"/>
    <w:uiPriority w:val="99"/>
    <w:semiHidden/>
    <w:unhideWhenUsed/>
    <w:rsid w:val="00E36337"/>
    <w:pPr>
      <w:spacing w:line="240" w:lineRule="auto"/>
    </w:pPr>
    <w:rPr>
      <w:sz w:val="20"/>
      <w:szCs w:val="20"/>
    </w:rPr>
  </w:style>
  <w:style w:type="character" w:customStyle="1" w:styleId="FootnoteTextChar">
    <w:name w:val="Footnote Text Char"/>
    <w:basedOn w:val="DefaultParagraphFont"/>
    <w:link w:val="FootnoteText"/>
    <w:uiPriority w:val="99"/>
    <w:semiHidden/>
    <w:rsid w:val="00E36337"/>
    <w:rPr>
      <w:rFonts w:ascii="Times New Roman" w:hAnsi="Times New Roman" w:cs="Times New Roman"/>
      <w:sz w:val="20"/>
      <w:szCs w:val="20"/>
    </w:rPr>
  </w:style>
  <w:style w:type="character" w:styleId="FootnoteReference">
    <w:name w:val="footnote reference"/>
    <w:basedOn w:val="DefaultParagraphFont"/>
    <w:uiPriority w:val="99"/>
    <w:semiHidden/>
    <w:unhideWhenUsed/>
    <w:rsid w:val="00E36337"/>
    <w:rPr>
      <w:vertAlign w:val="superscript"/>
    </w:rPr>
  </w:style>
  <w:style w:type="paragraph" w:styleId="Header">
    <w:name w:val="header"/>
    <w:basedOn w:val="Normal"/>
    <w:link w:val="HeaderChar"/>
    <w:uiPriority w:val="99"/>
    <w:unhideWhenUsed/>
    <w:rsid w:val="00DA7E09"/>
    <w:pPr>
      <w:tabs>
        <w:tab w:val="center" w:pos="4680"/>
        <w:tab w:val="right" w:pos="9360"/>
      </w:tabs>
      <w:spacing w:line="240" w:lineRule="auto"/>
    </w:pPr>
  </w:style>
  <w:style w:type="character" w:customStyle="1" w:styleId="HeaderChar">
    <w:name w:val="Header Char"/>
    <w:basedOn w:val="DefaultParagraphFont"/>
    <w:link w:val="Header"/>
    <w:uiPriority w:val="99"/>
    <w:rsid w:val="00DA7E09"/>
    <w:rPr>
      <w:rFonts w:ascii="Times New Roman" w:hAnsi="Times New Roman" w:cs="Times New Roman"/>
      <w:sz w:val="24"/>
      <w:szCs w:val="24"/>
    </w:rPr>
  </w:style>
  <w:style w:type="paragraph" w:styleId="Footer">
    <w:name w:val="footer"/>
    <w:basedOn w:val="Normal"/>
    <w:link w:val="FooterChar"/>
    <w:uiPriority w:val="99"/>
    <w:unhideWhenUsed/>
    <w:rsid w:val="00DA7E09"/>
    <w:pPr>
      <w:tabs>
        <w:tab w:val="center" w:pos="4680"/>
        <w:tab w:val="right" w:pos="9360"/>
      </w:tabs>
      <w:spacing w:line="240" w:lineRule="auto"/>
    </w:pPr>
  </w:style>
  <w:style w:type="character" w:customStyle="1" w:styleId="FooterChar">
    <w:name w:val="Footer Char"/>
    <w:basedOn w:val="DefaultParagraphFont"/>
    <w:link w:val="Footer"/>
    <w:uiPriority w:val="99"/>
    <w:rsid w:val="00DA7E09"/>
    <w:rPr>
      <w:rFonts w:ascii="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LineNumber">
    <w:name w:val="line number"/>
    <w:basedOn w:val="DefaultParagraphFont"/>
    <w:uiPriority w:val="99"/>
    <w:semiHidden/>
    <w:unhideWhenUsed/>
    <w:rsid w:val="001C4C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l6GiGvYAdSvKDERIWAOtGMEd7+w==">AMUW2mWHHcUooFqh3gBQFGq2sGfTVjSLfwh09BcDLkV7Pc8icOcStW/k6ND3kra2xjUD9FB2mhaaDIwxxXsc3b9NPZDZKKyiD5RW3a3uuCOzlsiGWuW+Wlo=</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D371DBF-937E-45DB-90A2-143082948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2219</Words>
  <Characters>12651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2</cp:revision>
  <dcterms:created xsi:type="dcterms:W3CDTF">2023-01-13T23:44:00Z</dcterms:created>
  <dcterms:modified xsi:type="dcterms:W3CDTF">2023-01-13T23:44:00Z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cc7c79f81233cc5458a90005179b1c1d260bd1f7d1b69af8aef47f9bebdcd124</vt:lpwstr>
  </property>
</Properties>
</file>