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F904A" w14:textId="561F405D" w:rsidR="003A740D" w:rsidRDefault="00E4388A" w:rsidP="00E4388A">
      <w:pPr>
        <w:spacing w:line="360" w:lineRule="auto"/>
        <w:rPr>
          <w:rFonts w:ascii="Arial" w:hAnsi="Arial" w:cs="Arial"/>
        </w:rPr>
      </w:pPr>
      <w:r>
        <w:rPr>
          <w:noProof/>
        </w:rPr>
        <w:drawing>
          <wp:inline distT="0" distB="0" distL="0" distR="0" wp14:anchorId="43868318" wp14:editId="5047D1FE">
            <wp:extent cx="5731510" cy="2393950"/>
            <wp:effectExtent l="0" t="0" r="2540" b="6350"/>
            <wp:docPr id="1670692573"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395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508"/>
        <w:gridCol w:w="4508"/>
      </w:tblGrid>
      <w:tr w:rsidR="00E4388A" w14:paraId="6827E648" w14:textId="77777777" w:rsidTr="00E4388A">
        <w:tc>
          <w:tcPr>
            <w:tcW w:w="4508" w:type="dxa"/>
          </w:tcPr>
          <w:p w14:paraId="008B189F" w14:textId="1E801854"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Name</w:t>
            </w:r>
          </w:p>
        </w:tc>
        <w:tc>
          <w:tcPr>
            <w:tcW w:w="4508" w:type="dxa"/>
          </w:tcPr>
          <w:p w14:paraId="733C3771" w14:textId="7197D860"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Razia Khanom</w:t>
            </w:r>
          </w:p>
        </w:tc>
      </w:tr>
      <w:tr w:rsidR="00E4388A" w14:paraId="5519AF49" w14:textId="77777777" w:rsidTr="00E4388A">
        <w:tc>
          <w:tcPr>
            <w:tcW w:w="4508" w:type="dxa"/>
          </w:tcPr>
          <w:p w14:paraId="5DBA43AD" w14:textId="19DA2444"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Student Number</w:t>
            </w:r>
          </w:p>
        </w:tc>
        <w:tc>
          <w:tcPr>
            <w:tcW w:w="4508" w:type="dxa"/>
          </w:tcPr>
          <w:p w14:paraId="4DC336CA" w14:textId="4A914F0F"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2309155</w:t>
            </w:r>
          </w:p>
        </w:tc>
      </w:tr>
      <w:tr w:rsidR="00E4388A" w14:paraId="580B2FFF" w14:textId="77777777" w:rsidTr="00E4388A">
        <w:tc>
          <w:tcPr>
            <w:tcW w:w="4508" w:type="dxa"/>
          </w:tcPr>
          <w:p w14:paraId="55665D6F" w14:textId="291A73B5"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 xml:space="preserve">Module </w:t>
            </w:r>
          </w:p>
        </w:tc>
        <w:tc>
          <w:tcPr>
            <w:tcW w:w="4508" w:type="dxa"/>
          </w:tcPr>
          <w:p w14:paraId="531B43F7" w14:textId="7DA89852"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Psychological Classifications and Provisions</w:t>
            </w:r>
          </w:p>
        </w:tc>
      </w:tr>
      <w:tr w:rsidR="00E4388A" w14:paraId="329E3616" w14:textId="77777777" w:rsidTr="00E4388A">
        <w:tc>
          <w:tcPr>
            <w:tcW w:w="4508" w:type="dxa"/>
          </w:tcPr>
          <w:p w14:paraId="403D3E9A" w14:textId="605C58D1"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Module Code</w:t>
            </w:r>
          </w:p>
        </w:tc>
        <w:tc>
          <w:tcPr>
            <w:tcW w:w="4508" w:type="dxa"/>
          </w:tcPr>
          <w:p w14:paraId="0897622E" w14:textId="5ABCF5B4"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BMHP6029</w:t>
            </w:r>
          </w:p>
        </w:tc>
      </w:tr>
      <w:tr w:rsidR="00E4388A" w14:paraId="338A0128" w14:textId="77777777" w:rsidTr="00E4388A">
        <w:tc>
          <w:tcPr>
            <w:tcW w:w="4508" w:type="dxa"/>
          </w:tcPr>
          <w:p w14:paraId="7A8DA662" w14:textId="4815C479"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Lecturer</w:t>
            </w:r>
          </w:p>
        </w:tc>
        <w:tc>
          <w:tcPr>
            <w:tcW w:w="4508" w:type="dxa"/>
          </w:tcPr>
          <w:p w14:paraId="2734E6E1" w14:textId="6FAA8073"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Neale Haddon</w:t>
            </w:r>
          </w:p>
        </w:tc>
      </w:tr>
      <w:tr w:rsidR="00E4388A" w14:paraId="7C80472A" w14:textId="77777777" w:rsidTr="00E4388A">
        <w:tc>
          <w:tcPr>
            <w:tcW w:w="4508" w:type="dxa"/>
          </w:tcPr>
          <w:p w14:paraId="505B36F1" w14:textId="2D8E8BD9"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Assignment Title</w:t>
            </w:r>
          </w:p>
        </w:tc>
        <w:tc>
          <w:tcPr>
            <w:tcW w:w="4508" w:type="dxa"/>
          </w:tcPr>
          <w:p w14:paraId="5657AC77" w14:textId="2C9A8AF9" w:rsidR="00E4388A" w:rsidRPr="00E4388A" w:rsidRDefault="00E4388A" w:rsidP="00E4388A">
            <w:pPr>
              <w:spacing w:line="360" w:lineRule="auto"/>
              <w:rPr>
                <w:rFonts w:ascii="Arial" w:hAnsi="Arial" w:cs="Arial"/>
                <w:b/>
                <w:bCs/>
                <w:sz w:val="44"/>
                <w:szCs w:val="44"/>
              </w:rPr>
            </w:pPr>
            <w:r w:rsidRPr="00E4388A">
              <w:rPr>
                <w:rFonts w:ascii="Arial" w:hAnsi="Arial" w:cs="Arial"/>
                <w:b/>
                <w:bCs/>
                <w:sz w:val="44"/>
                <w:szCs w:val="44"/>
              </w:rPr>
              <w:t>Component 2: Written Assignment (Report)</w:t>
            </w:r>
          </w:p>
        </w:tc>
      </w:tr>
    </w:tbl>
    <w:p w14:paraId="0BB4B1E5" w14:textId="77777777" w:rsidR="00E4388A" w:rsidRDefault="00E4388A" w:rsidP="00E4388A">
      <w:pPr>
        <w:spacing w:line="360" w:lineRule="auto"/>
        <w:rPr>
          <w:rFonts w:ascii="Arial" w:hAnsi="Arial" w:cs="Arial"/>
        </w:rPr>
      </w:pPr>
    </w:p>
    <w:p w14:paraId="0DCF8EB3" w14:textId="77777777" w:rsidR="00E4388A" w:rsidRDefault="00E4388A" w:rsidP="00E4388A">
      <w:pPr>
        <w:spacing w:line="360" w:lineRule="auto"/>
        <w:rPr>
          <w:rFonts w:ascii="Arial" w:hAnsi="Arial" w:cs="Arial"/>
        </w:rPr>
      </w:pPr>
    </w:p>
    <w:p w14:paraId="5B68F255" w14:textId="77777777" w:rsidR="00E4388A" w:rsidRDefault="00E4388A" w:rsidP="00E4388A">
      <w:pPr>
        <w:spacing w:line="360" w:lineRule="auto"/>
        <w:rPr>
          <w:rFonts w:ascii="Arial" w:hAnsi="Arial" w:cs="Arial"/>
        </w:rPr>
      </w:pPr>
    </w:p>
    <w:p w14:paraId="0E1E20A4" w14:textId="77777777" w:rsidR="00E4388A" w:rsidRDefault="00E4388A" w:rsidP="00E4388A">
      <w:pPr>
        <w:spacing w:line="360" w:lineRule="auto"/>
        <w:rPr>
          <w:rFonts w:ascii="Arial" w:hAnsi="Arial" w:cs="Arial"/>
        </w:rPr>
      </w:pPr>
    </w:p>
    <w:p w14:paraId="3A43C0F1" w14:textId="77777777" w:rsidR="00EB1AB0" w:rsidRPr="00EB1AB0" w:rsidRDefault="00EB1AB0" w:rsidP="00EB1AB0">
      <w:pPr>
        <w:spacing w:line="360" w:lineRule="auto"/>
        <w:rPr>
          <w:rFonts w:ascii="Arial" w:hAnsi="Arial" w:cs="Arial"/>
          <w:b/>
          <w:bCs/>
        </w:rPr>
      </w:pPr>
      <w:r w:rsidRPr="00EB1AB0">
        <w:rPr>
          <w:rFonts w:ascii="Arial" w:hAnsi="Arial" w:cs="Arial"/>
          <w:b/>
          <w:bCs/>
          <w:highlight w:val="lightGray"/>
        </w:rPr>
        <w:lastRenderedPageBreak/>
        <w:t>Contents</w:t>
      </w:r>
    </w:p>
    <w:p w14:paraId="544DB43E" w14:textId="384A3C20"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 xml:space="preserve">Introduction ...............................................................................Page </w:t>
      </w:r>
      <w:r w:rsidR="008515B3" w:rsidRPr="008515B3">
        <w:rPr>
          <w:rFonts w:ascii="Arial" w:hAnsi="Arial" w:cs="Arial"/>
          <w:b/>
          <w:bCs/>
        </w:rPr>
        <w:t>3</w:t>
      </w:r>
    </w:p>
    <w:p w14:paraId="44088E6F" w14:textId="5A25F2FF"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Classification and Diagnosis ...................................................Page</w:t>
      </w:r>
      <w:r w:rsidR="008515B3" w:rsidRPr="008515B3">
        <w:rPr>
          <w:rFonts w:ascii="Arial" w:hAnsi="Arial" w:cs="Arial"/>
          <w:b/>
          <w:bCs/>
        </w:rPr>
        <w:t xml:space="preserve"> 3/4</w:t>
      </w:r>
    </w:p>
    <w:p w14:paraId="174CFEFC" w14:textId="0C9A65D0"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Treatment Approaches .............................................................Page</w:t>
      </w:r>
      <w:r w:rsidR="008515B3" w:rsidRPr="008515B3">
        <w:rPr>
          <w:rFonts w:ascii="Arial" w:hAnsi="Arial" w:cs="Arial"/>
          <w:b/>
          <w:bCs/>
        </w:rPr>
        <w:t xml:space="preserve"> 4/5</w:t>
      </w:r>
    </w:p>
    <w:p w14:paraId="7FDEC809" w14:textId="495D60A9"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Rehabilitation &amp; Long</w:t>
      </w:r>
      <w:r w:rsidRPr="008515B3">
        <w:rPr>
          <w:rFonts w:ascii="Arial" w:hAnsi="Arial" w:cs="Arial"/>
          <w:b/>
          <w:bCs/>
        </w:rPr>
        <w:noBreakHyphen/>
        <w:t>Term Management ..............................Page</w:t>
      </w:r>
      <w:r w:rsidR="008515B3" w:rsidRPr="008515B3">
        <w:rPr>
          <w:rFonts w:ascii="Arial" w:hAnsi="Arial" w:cs="Arial"/>
          <w:b/>
          <w:bCs/>
        </w:rPr>
        <w:t xml:space="preserve"> 5/6</w:t>
      </w:r>
    </w:p>
    <w:p w14:paraId="20ACEDD8" w14:textId="23B3C4F8"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Current Debates &amp; Emerging Issues .......................................Page</w:t>
      </w:r>
      <w:r w:rsidR="008515B3" w:rsidRPr="008515B3">
        <w:rPr>
          <w:rFonts w:ascii="Arial" w:hAnsi="Arial" w:cs="Arial"/>
          <w:b/>
          <w:bCs/>
        </w:rPr>
        <w:t xml:space="preserve"> 6/7</w:t>
      </w:r>
    </w:p>
    <w:p w14:paraId="252D3297" w14:textId="643F2226"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Policy &amp; Legal Framework .......................................................Page</w:t>
      </w:r>
      <w:r w:rsidR="008515B3" w:rsidRPr="008515B3">
        <w:rPr>
          <w:rFonts w:ascii="Arial" w:hAnsi="Arial" w:cs="Arial"/>
          <w:b/>
          <w:bCs/>
        </w:rPr>
        <w:t xml:space="preserve"> 7</w:t>
      </w:r>
    </w:p>
    <w:p w14:paraId="51FA8A65" w14:textId="656EB05C"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UK Data &amp; Statistical Evidence ...............................................Page</w:t>
      </w:r>
      <w:r w:rsidR="008515B3" w:rsidRPr="008515B3">
        <w:rPr>
          <w:rFonts w:ascii="Arial" w:hAnsi="Arial" w:cs="Arial"/>
          <w:b/>
          <w:bCs/>
        </w:rPr>
        <w:t xml:space="preserve"> 8</w:t>
      </w:r>
    </w:p>
    <w:p w14:paraId="139C1FBB" w14:textId="34FE4903"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Recommendations ...................................................................Page</w:t>
      </w:r>
      <w:r w:rsidR="008515B3" w:rsidRPr="008515B3">
        <w:rPr>
          <w:rFonts w:ascii="Arial" w:hAnsi="Arial" w:cs="Arial"/>
          <w:b/>
          <w:bCs/>
        </w:rPr>
        <w:t xml:space="preserve"> 8/9</w:t>
      </w:r>
    </w:p>
    <w:p w14:paraId="677A1702" w14:textId="35DC7484"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Conclusion ................................................................................Page</w:t>
      </w:r>
      <w:r w:rsidR="008515B3" w:rsidRPr="008515B3">
        <w:rPr>
          <w:rFonts w:ascii="Arial" w:hAnsi="Arial" w:cs="Arial"/>
          <w:b/>
          <w:bCs/>
        </w:rPr>
        <w:t xml:space="preserve"> 9</w:t>
      </w:r>
    </w:p>
    <w:p w14:paraId="51D18BE8" w14:textId="1368D89A" w:rsidR="00EB1AB0" w:rsidRPr="008515B3" w:rsidRDefault="00EB1AB0" w:rsidP="008515B3">
      <w:pPr>
        <w:numPr>
          <w:ilvl w:val="0"/>
          <w:numId w:val="1"/>
        </w:numPr>
        <w:spacing w:line="360" w:lineRule="auto"/>
        <w:rPr>
          <w:rFonts w:ascii="Arial" w:hAnsi="Arial" w:cs="Arial"/>
          <w:b/>
          <w:bCs/>
        </w:rPr>
      </w:pPr>
      <w:r w:rsidRPr="008515B3">
        <w:rPr>
          <w:rFonts w:ascii="Arial" w:hAnsi="Arial" w:cs="Arial"/>
          <w:b/>
          <w:bCs/>
        </w:rPr>
        <w:t xml:space="preserve">References ................................................................................Page </w:t>
      </w:r>
      <w:r w:rsidR="008515B3" w:rsidRPr="008515B3">
        <w:rPr>
          <w:rFonts w:ascii="Arial" w:hAnsi="Arial" w:cs="Arial"/>
          <w:b/>
          <w:bCs/>
        </w:rPr>
        <w:t>10/11</w:t>
      </w:r>
    </w:p>
    <w:p w14:paraId="395179A9" w14:textId="77777777" w:rsidR="00EB1AB0" w:rsidRDefault="00EB1AB0" w:rsidP="00E4388A">
      <w:pPr>
        <w:spacing w:line="360" w:lineRule="auto"/>
        <w:rPr>
          <w:rFonts w:ascii="Arial" w:hAnsi="Arial" w:cs="Arial"/>
        </w:rPr>
      </w:pPr>
    </w:p>
    <w:p w14:paraId="2BC2B053" w14:textId="77777777" w:rsidR="00EB1AB0" w:rsidRDefault="00EB1AB0" w:rsidP="00E4388A">
      <w:pPr>
        <w:spacing w:line="360" w:lineRule="auto"/>
        <w:rPr>
          <w:rFonts w:ascii="Arial" w:hAnsi="Arial" w:cs="Arial"/>
          <w:b/>
          <w:bCs/>
          <w:highlight w:val="lightGray"/>
        </w:rPr>
      </w:pPr>
    </w:p>
    <w:p w14:paraId="1B805CE6" w14:textId="77777777" w:rsidR="00EB1AB0" w:rsidRDefault="00EB1AB0" w:rsidP="00E4388A">
      <w:pPr>
        <w:spacing w:line="360" w:lineRule="auto"/>
        <w:rPr>
          <w:rFonts w:ascii="Arial" w:hAnsi="Arial" w:cs="Arial"/>
          <w:b/>
          <w:bCs/>
          <w:highlight w:val="lightGray"/>
        </w:rPr>
      </w:pPr>
    </w:p>
    <w:p w14:paraId="7ADF643B" w14:textId="77777777" w:rsidR="00EB1AB0" w:rsidRDefault="00EB1AB0" w:rsidP="00E4388A">
      <w:pPr>
        <w:spacing w:line="360" w:lineRule="auto"/>
        <w:rPr>
          <w:rFonts w:ascii="Arial" w:hAnsi="Arial" w:cs="Arial"/>
          <w:b/>
          <w:bCs/>
          <w:highlight w:val="lightGray"/>
        </w:rPr>
      </w:pPr>
    </w:p>
    <w:p w14:paraId="48F5C53B" w14:textId="77777777" w:rsidR="008515B3" w:rsidRDefault="008515B3" w:rsidP="00E4388A">
      <w:pPr>
        <w:spacing w:line="360" w:lineRule="auto"/>
        <w:rPr>
          <w:rFonts w:ascii="Arial" w:hAnsi="Arial" w:cs="Arial"/>
          <w:b/>
          <w:bCs/>
          <w:highlight w:val="lightGray"/>
        </w:rPr>
      </w:pPr>
    </w:p>
    <w:p w14:paraId="6292D2FC" w14:textId="77777777" w:rsidR="008515B3" w:rsidRDefault="008515B3" w:rsidP="00E4388A">
      <w:pPr>
        <w:spacing w:line="360" w:lineRule="auto"/>
        <w:rPr>
          <w:rFonts w:ascii="Arial" w:hAnsi="Arial" w:cs="Arial"/>
          <w:b/>
          <w:bCs/>
          <w:highlight w:val="lightGray"/>
        </w:rPr>
      </w:pPr>
    </w:p>
    <w:p w14:paraId="7BACC9A3" w14:textId="77777777" w:rsidR="008515B3" w:rsidRDefault="008515B3" w:rsidP="00E4388A">
      <w:pPr>
        <w:spacing w:line="360" w:lineRule="auto"/>
        <w:rPr>
          <w:rFonts w:ascii="Arial" w:hAnsi="Arial" w:cs="Arial"/>
          <w:b/>
          <w:bCs/>
          <w:highlight w:val="lightGray"/>
        </w:rPr>
      </w:pPr>
    </w:p>
    <w:p w14:paraId="279368F6" w14:textId="77777777" w:rsidR="008515B3" w:rsidRDefault="008515B3" w:rsidP="00E4388A">
      <w:pPr>
        <w:spacing w:line="360" w:lineRule="auto"/>
        <w:rPr>
          <w:rFonts w:ascii="Arial" w:hAnsi="Arial" w:cs="Arial"/>
          <w:b/>
          <w:bCs/>
          <w:highlight w:val="lightGray"/>
        </w:rPr>
      </w:pPr>
    </w:p>
    <w:p w14:paraId="5B3A8CC7" w14:textId="77777777" w:rsidR="008515B3" w:rsidRDefault="008515B3" w:rsidP="00E4388A">
      <w:pPr>
        <w:spacing w:line="360" w:lineRule="auto"/>
        <w:rPr>
          <w:rFonts w:ascii="Arial" w:hAnsi="Arial" w:cs="Arial"/>
          <w:b/>
          <w:bCs/>
          <w:highlight w:val="lightGray"/>
        </w:rPr>
      </w:pPr>
    </w:p>
    <w:p w14:paraId="215984E4" w14:textId="77777777" w:rsidR="008515B3" w:rsidRDefault="008515B3" w:rsidP="00E4388A">
      <w:pPr>
        <w:spacing w:line="360" w:lineRule="auto"/>
        <w:rPr>
          <w:rFonts w:ascii="Arial" w:hAnsi="Arial" w:cs="Arial"/>
          <w:b/>
          <w:bCs/>
          <w:highlight w:val="lightGray"/>
        </w:rPr>
      </w:pPr>
    </w:p>
    <w:p w14:paraId="34AFAAE7" w14:textId="77777777" w:rsidR="008515B3" w:rsidRDefault="008515B3" w:rsidP="00E4388A">
      <w:pPr>
        <w:spacing w:line="360" w:lineRule="auto"/>
        <w:rPr>
          <w:rFonts w:ascii="Arial" w:hAnsi="Arial" w:cs="Arial"/>
          <w:b/>
          <w:bCs/>
          <w:highlight w:val="lightGray"/>
        </w:rPr>
      </w:pPr>
    </w:p>
    <w:p w14:paraId="688F9208" w14:textId="77777777" w:rsidR="008515B3" w:rsidRDefault="008515B3" w:rsidP="00E4388A">
      <w:pPr>
        <w:spacing w:line="360" w:lineRule="auto"/>
        <w:rPr>
          <w:rFonts w:ascii="Arial" w:hAnsi="Arial" w:cs="Arial"/>
          <w:b/>
          <w:bCs/>
          <w:highlight w:val="lightGray"/>
        </w:rPr>
      </w:pPr>
    </w:p>
    <w:p w14:paraId="0FB6D3B4" w14:textId="77777777" w:rsidR="008515B3" w:rsidRDefault="008515B3" w:rsidP="00E4388A">
      <w:pPr>
        <w:spacing w:line="360" w:lineRule="auto"/>
        <w:rPr>
          <w:rFonts w:ascii="Arial" w:hAnsi="Arial" w:cs="Arial"/>
          <w:b/>
          <w:bCs/>
          <w:highlight w:val="lightGray"/>
        </w:rPr>
      </w:pPr>
    </w:p>
    <w:p w14:paraId="179DB267" w14:textId="77777777" w:rsidR="008515B3" w:rsidRDefault="008515B3" w:rsidP="00E4388A">
      <w:pPr>
        <w:spacing w:line="360" w:lineRule="auto"/>
        <w:rPr>
          <w:rFonts w:ascii="Arial" w:hAnsi="Arial" w:cs="Arial"/>
          <w:b/>
          <w:bCs/>
          <w:highlight w:val="lightGray"/>
        </w:rPr>
      </w:pPr>
    </w:p>
    <w:p w14:paraId="698E1DC1" w14:textId="77777777" w:rsidR="008515B3" w:rsidRDefault="008515B3" w:rsidP="00E4388A">
      <w:pPr>
        <w:spacing w:line="360" w:lineRule="auto"/>
        <w:rPr>
          <w:rFonts w:ascii="Arial" w:hAnsi="Arial" w:cs="Arial"/>
          <w:b/>
          <w:bCs/>
          <w:highlight w:val="lightGray"/>
        </w:rPr>
      </w:pPr>
    </w:p>
    <w:p w14:paraId="06DE182A" w14:textId="17D1E014" w:rsidR="00C96BE0" w:rsidRDefault="00E4388A" w:rsidP="00E4388A">
      <w:pPr>
        <w:spacing w:line="360" w:lineRule="auto"/>
        <w:rPr>
          <w:rFonts w:ascii="Arial" w:hAnsi="Arial" w:cs="Arial"/>
          <w:b/>
          <w:bCs/>
          <w:color w:val="EE0000"/>
        </w:rPr>
      </w:pPr>
      <w:r w:rsidRPr="005D41B0">
        <w:rPr>
          <w:rFonts w:ascii="Arial" w:hAnsi="Arial" w:cs="Arial"/>
          <w:b/>
          <w:bCs/>
          <w:highlight w:val="lightGray"/>
        </w:rPr>
        <w:lastRenderedPageBreak/>
        <w:t>Introduction</w:t>
      </w:r>
      <w:r>
        <w:rPr>
          <w:rFonts w:ascii="Arial" w:hAnsi="Arial" w:cs="Arial"/>
          <w:b/>
          <w:bCs/>
        </w:rPr>
        <w:t xml:space="preserve"> </w:t>
      </w:r>
      <w:r>
        <w:rPr>
          <w:rFonts w:ascii="Arial" w:hAnsi="Arial" w:cs="Arial"/>
          <w:b/>
          <w:bCs/>
        </w:rPr>
        <w:tab/>
      </w:r>
      <w:r w:rsidR="00747021">
        <w:rPr>
          <w:rFonts w:ascii="Arial" w:hAnsi="Arial" w:cs="Arial"/>
          <w:b/>
          <w:bCs/>
          <w:color w:val="EE0000"/>
        </w:rPr>
        <w:tab/>
      </w:r>
    </w:p>
    <w:p w14:paraId="1B40D497" w14:textId="55571AF6" w:rsidR="00BF3732" w:rsidRPr="00BF3732" w:rsidRDefault="00C96BE0" w:rsidP="00BF3732">
      <w:pPr>
        <w:spacing w:line="360" w:lineRule="auto"/>
        <w:rPr>
          <w:rFonts w:ascii="Arial" w:hAnsi="Arial" w:cs="Arial"/>
        </w:rPr>
      </w:pPr>
      <w:r w:rsidRPr="00C96BE0">
        <w:rPr>
          <w:rFonts w:ascii="Arial" w:hAnsi="Arial" w:cs="Arial"/>
        </w:rPr>
        <w:t>ICD-11 Chapter 6: Mental, Behavioural, or Neurodevelopmental Disorders lists anorexia nervosa (AN) as a severe eating and feeding illness. It is characterised by a distorted body image, severe anxiety of gaining weight, and ongoing eating restriction (WHO, 20</w:t>
      </w:r>
      <w:r w:rsidR="00414239" w:rsidRPr="00BF3732">
        <w:rPr>
          <w:rFonts w:ascii="Arial" w:hAnsi="Arial" w:cs="Arial"/>
        </w:rPr>
        <w:t>24</w:t>
      </w:r>
      <w:r w:rsidRPr="00C96BE0">
        <w:rPr>
          <w:rFonts w:ascii="Arial" w:hAnsi="Arial" w:cs="Arial"/>
        </w:rPr>
        <w:t>). AN is one of the most dangerous mental illnesses because of its high morbidity and fatality rates.</w:t>
      </w:r>
      <w:r w:rsidRPr="00BF3732">
        <w:rPr>
          <w:rFonts w:ascii="Arial" w:hAnsi="Arial" w:cs="Arial"/>
        </w:rPr>
        <w:t xml:space="preserve"> Anorexia nervosa is most common among teenage girls and young women in the UK, where eating disorders impact over 1.25 million people (</w:t>
      </w:r>
      <w:r w:rsidR="005F157C">
        <w:rPr>
          <w:rFonts w:ascii="Arial" w:hAnsi="Arial" w:cs="Arial"/>
        </w:rPr>
        <w:t>Children’s Commissioner</w:t>
      </w:r>
      <w:r w:rsidRPr="00BF3732">
        <w:rPr>
          <w:rFonts w:ascii="Arial" w:hAnsi="Arial" w:cs="Arial"/>
        </w:rPr>
        <w:t>, 202</w:t>
      </w:r>
      <w:r w:rsidR="005F157C">
        <w:rPr>
          <w:rFonts w:ascii="Arial" w:hAnsi="Arial" w:cs="Arial"/>
        </w:rPr>
        <w:t>3</w:t>
      </w:r>
      <w:r w:rsidRPr="00BF3732">
        <w:rPr>
          <w:rFonts w:ascii="Arial" w:hAnsi="Arial" w:cs="Arial"/>
        </w:rPr>
        <w:t>).</w:t>
      </w:r>
      <w:r w:rsidRPr="00C96BE0">
        <w:rPr>
          <w:rFonts w:ascii="Arial" w:hAnsi="Arial" w:cs="Arial"/>
        </w:rPr>
        <w:t xml:space="preserve"> </w:t>
      </w:r>
      <w:r w:rsidRPr="00BF3732">
        <w:rPr>
          <w:rFonts w:ascii="Arial" w:hAnsi="Arial" w:cs="Arial"/>
        </w:rPr>
        <w:t>While the Office for National Statistics (ONS, 2020) states</w:t>
      </w:r>
      <w:r w:rsidRPr="00C96BE0">
        <w:rPr>
          <w:rFonts w:ascii="Arial" w:hAnsi="Arial" w:cs="Arial"/>
        </w:rPr>
        <w:t xml:space="preserve"> that anorexia nervosa has one of the highest death rates among psychiatric disorders, </w:t>
      </w:r>
      <w:r w:rsidRPr="00BF3732">
        <w:rPr>
          <w:rFonts w:ascii="Arial" w:hAnsi="Arial" w:cs="Arial"/>
        </w:rPr>
        <w:t>NHS Digital (2023)</w:t>
      </w:r>
      <w:r w:rsidRPr="00C96BE0">
        <w:rPr>
          <w:rFonts w:ascii="Arial" w:hAnsi="Arial" w:cs="Arial"/>
        </w:rPr>
        <w:t xml:space="preserve"> states that eating disorders among children and young people have increased dramatically since 2017.</w:t>
      </w:r>
      <w:r w:rsidR="00BF3732">
        <w:rPr>
          <w:rFonts w:ascii="Arial" w:hAnsi="Arial" w:cs="Arial"/>
        </w:rPr>
        <w:t xml:space="preserve"> </w:t>
      </w:r>
    </w:p>
    <w:p w14:paraId="45487A05" w14:textId="2128612D" w:rsidR="00C96BE0" w:rsidRPr="00C96BE0" w:rsidRDefault="00C96BE0" w:rsidP="00C96BE0">
      <w:pPr>
        <w:spacing w:line="360" w:lineRule="auto"/>
        <w:rPr>
          <w:rFonts w:ascii="Arial" w:hAnsi="Arial" w:cs="Arial"/>
        </w:rPr>
      </w:pPr>
    </w:p>
    <w:p w14:paraId="65F864E0" w14:textId="05CBB306" w:rsidR="00C96BE0" w:rsidRPr="00C96BE0" w:rsidRDefault="00C96BE0" w:rsidP="00C96BE0">
      <w:pPr>
        <w:spacing w:line="360" w:lineRule="auto"/>
        <w:rPr>
          <w:rFonts w:ascii="Arial" w:hAnsi="Arial" w:cs="Arial"/>
        </w:rPr>
      </w:pPr>
      <w:r w:rsidRPr="00C96BE0">
        <w:rPr>
          <w:rFonts w:ascii="Arial" w:hAnsi="Arial" w:cs="Arial"/>
        </w:rPr>
        <w:t>The NHS Long Term Plan, which prioritises mental health expansion (Beat, 2019), NHS England's Adult Eating Disorders Guidance (NHS England, 2019), and NICE guideline NG69 (Eating Disorders: Recognition and Treatment) (NICE, 2020</w:t>
      </w:r>
      <w:r w:rsidR="00224309" w:rsidRPr="00AE63E2">
        <w:rPr>
          <w:rFonts w:ascii="Arial" w:hAnsi="Arial" w:cs="Arial"/>
        </w:rPr>
        <w:t xml:space="preserve"> and </w:t>
      </w:r>
      <w:r w:rsidRPr="00C96BE0">
        <w:rPr>
          <w:rFonts w:ascii="Arial" w:hAnsi="Arial" w:cs="Arial"/>
        </w:rPr>
        <w:t>NICE, 2024) are examples of government strategies. Researching AN is essential for enhancing policy development, treatment accessibility, and accurate diagnosis.</w:t>
      </w:r>
    </w:p>
    <w:p w14:paraId="07589B19" w14:textId="087DEEF5" w:rsidR="00C96BE0" w:rsidRPr="00C96BE0" w:rsidRDefault="00C96BE0" w:rsidP="00C96BE0">
      <w:pPr>
        <w:spacing w:line="360" w:lineRule="auto"/>
        <w:rPr>
          <w:rFonts w:ascii="Arial" w:hAnsi="Arial" w:cs="Arial"/>
        </w:rPr>
      </w:pPr>
    </w:p>
    <w:p w14:paraId="511290BF" w14:textId="33C6A7A3" w:rsidR="00E4388A" w:rsidRDefault="006F61F8" w:rsidP="00E4388A">
      <w:pPr>
        <w:spacing w:line="360" w:lineRule="auto"/>
        <w:rPr>
          <w:rFonts w:ascii="Arial" w:hAnsi="Arial" w:cs="Arial"/>
          <w:b/>
          <w:bCs/>
          <w:color w:val="EE0000"/>
        </w:rPr>
      </w:pPr>
      <w:r w:rsidRPr="005D41B0">
        <w:rPr>
          <w:rFonts w:ascii="Arial" w:hAnsi="Arial" w:cs="Arial"/>
          <w:b/>
          <w:bCs/>
          <w:highlight w:val="lightGray"/>
        </w:rPr>
        <w:t>Classification and Diagnosis</w:t>
      </w:r>
      <w:r w:rsidR="00747021">
        <w:rPr>
          <w:rFonts w:ascii="Arial" w:hAnsi="Arial" w:cs="Arial"/>
          <w:b/>
          <w:bCs/>
        </w:rPr>
        <w:t xml:space="preserve"> </w:t>
      </w:r>
    </w:p>
    <w:p w14:paraId="3E8C9C41" w14:textId="0FDFA460" w:rsidR="00BA6511" w:rsidRPr="00AE63E2" w:rsidRDefault="00BA6511" w:rsidP="00BA6511">
      <w:pPr>
        <w:spacing w:line="360" w:lineRule="auto"/>
        <w:rPr>
          <w:rFonts w:ascii="Arial" w:hAnsi="Arial" w:cs="Arial"/>
        </w:rPr>
      </w:pPr>
      <w:r w:rsidRPr="00BA6511">
        <w:rPr>
          <w:rFonts w:ascii="Arial" w:hAnsi="Arial" w:cs="Arial"/>
        </w:rPr>
        <w:t>The International Classification of Diseases, 11th Revision (ICD-11) explicitly classifies anorexia nervosa (AN) as a feeding and eating disorder under Chapter 6: Mental, Behavioural, or Neurodevelopmental Disorders. Significantly low body weight in relation to age and developmental stage, persistent behaviours intended to prevent weight gain, and a distorted body image with undue influence of weight or shape on self-perception are the three main characteristics that define the disorder, which has an ICD-11 diagnostic code of 6B80 (WHO, 20</w:t>
      </w:r>
      <w:r w:rsidR="00FD45B4" w:rsidRPr="00AE63E2">
        <w:rPr>
          <w:rFonts w:ascii="Arial" w:hAnsi="Arial" w:cs="Arial"/>
        </w:rPr>
        <w:t>24</w:t>
      </w:r>
      <w:r w:rsidRPr="00BA6511">
        <w:rPr>
          <w:rFonts w:ascii="Arial" w:hAnsi="Arial" w:cs="Arial"/>
        </w:rPr>
        <w:t>). Additionally, ICD-11 makes a distinction between the restricting type, in which people lose weight mainly by fasting, dieting, or extreme exercise, and the binge-eating/purging type, in which people experience bouts of binge eating or purging behaviours, such as self-induced vomiting or laxative abuse.</w:t>
      </w:r>
    </w:p>
    <w:p w14:paraId="09032E6A" w14:textId="13C98355" w:rsidR="00BA6511" w:rsidRPr="00BA6511" w:rsidRDefault="00BA6511" w:rsidP="00BA6511">
      <w:pPr>
        <w:spacing w:line="360" w:lineRule="auto"/>
        <w:rPr>
          <w:rFonts w:ascii="Arial" w:hAnsi="Arial" w:cs="Arial"/>
        </w:rPr>
      </w:pPr>
      <w:r w:rsidRPr="00BA6511">
        <w:rPr>
          <w:rFonts w:ascii="Arial" w:hAnsi="Arial" w:cs="Arial"/>
        </w:rPr>
        <w:t>Additionally, ICD-11 takes a more comprehensive approach than ICD-10 by recognising atypical anorexia nervosa, in which people meet most diagnostic criteria but maintain a body weight within or above the normal range (Datta et al., 2023).</w:t>
      </w:r>
      <w:r w:rsidR="00E4634C">
        <w:rPr>
          <w:rFonts w:ascii="Arial" w:hAnsi="Arial" w:cs="Arial"/>
        </w:rPr>
        <w:t xml:space="preserve"> </w:t>
      </w:r>
    </w:p>
    <w:p w14:paraId="7BF576CE" w14:textId="77777777" w:rsidR="00FE253B" w:rsidRPr="00FE253B" w:rsidRDefault="00FE253B" w:rsidP="00FE253B">
      <w:pPr>
        <w:spacing w:line="360" w:lineRule="auto"/>
        <w:rPr>
          <w:rFonts w:ascii="Arial" w:hAnsi="Arial" w:cs="Arial"/>
        </w:rPr>
      </w:pPr>
      <w:r w:rsidRPr="00FE253B">
        <w:rPr>
          <w:rFonts w:ascii="Arial" w:hAnsi="Arial" w:cs="Arial"/>
        </w:rPr>
        <w:t xml:space="preserve">ICD-11 diagnostic criteria place more focus on clinical discretion than strict standards. Although a body mass index (BMI) of less than 18.5 kg/m² in adults or less than the fifth </w:t>
      </w:r>
      <w:r w:rsidRPr="00FE253B">
        <w:rPr>
          <w:rFonts w:ascii="Arial" w:hAnsi="Arial" w:cs="Arial"/>
        </w:rPr>
        <w:lastRenderedPageBreak/>
        <w:t>percentage point for age in children is frequently used as a guideline, a diagnosis can also be made when children fail to gain expected weight during growth or when rapid weight loss exceeds 20% of body weight within six months (Claudino et al., 2019). A multidisciplinary assessment is usually used in the diagnostic process, which includes clinical interviews to investigate eating behaviours and psychological symptoms, laboratory testing and physical examinations to rule out medical causes, and psychological testing to evaluate conditions like anxiety or depression (NICE, 2020).</w:t>
      </w:r>
    </w:p>
    <w:p w14:paraId="1FC5854E" w14:textId="1000E3DF" w:rsidR="00FE253B" w:rsidRPr="00FE253B" w:rsidRDefault="00FE253B" w:rsidP="00FE253B">
      <w:pPr>
        <w:spacing w:line="360" w:lineRule="auto"/>
        <w:rPr>
          <w:rFonts w:ascii="Arial" w:hAnsi="Arial" w:cs="Arial"/>
        </w:rPr>
      </w:pPr>
      <w:r w:rsidRPr="00FE253B">
        <w:rPr>
          <w:rFonts w:ascii="Arial" w:hAnsi="Arial" w:cs="Arial"/>
        </w:rPr>
        <w:t>With a focus on family participation for younger patients, NICE guideline NG69 in the UK suggests early detection in primary care and referral to specialist services (NICE, 2020</w:t>
      </w:r>
      <w:r w:rsidR="009A5371" w:rsidRPr="00AE63E2">
        <w:rPr>
          <w:rFonts w:ascii="Arial" w:hAnsi="Arial" w:cs="Arial"/>
        </w:rPr>
        <w:t xml:space="preserve"> and </w:t>
      </w:r>
      <w:r w:rsidRPr="00FE253B">
        <w:rPr>
          <w:rFonts w:ascii="Arial" w:hAnsi="Arial" w:cs="Arial"/>
        </w:rPr>
        <w:t>NICE, 2024). In order to ensure correct diagnosis, NHS Digital (2023) emphasises the significance of multidisciplinary teams that include psychologists, dietitians, and psychiatrists. The Royal College of Psychiatrists (RCPsych</w:t>
      </w:r>
      <w:r w:rsidR="00063176" w:rsidRPr="00AE63E2">
        <w:rPr>
          <w:rFonts w:ascii="Arial" w:hAnsi="Arial" w:cs="Arial"/>
        </w:rPr>
        <w:tab/>
      </w:r>
      <w:r w:rsidRPr="00FE253B">
        <w:rPr>
          <w:rFonts w:ascii="Arial" w:hAnsi="Arial" w:cs="Arial"/>
        </w:rPr>
        <w:t>, 2025) warns of significant regional disparities in access, and NHS England (2025) reports crisis-level waiting times for eating disorder therapies.</w:t>
      </w:r>
    </w:p>
    <w:p w14:paraId="3D6BFCEC" w14:textId="77777777" w:rsidR="00FE253B" w:rsidRPr="00FE253B" w:rsidRDefault="00FE253B" w:rsidP="00FE253B">
      <w:pPr>
        <w:spacing w:line="360" w:lineRule="auto"/>
        <w:rPr>
          <w:rFonts w:ascii="Arial" w:hAnsi="Arial" w:cs="Arial"/>
        </w:rPr>
      </w:pPr>
      <w:r w:rsidRPr="00FE253B">
        <w:rPr>
          <w:rFonts w:ascii="Arial" w:hAnsi="Arial" w:cs="Arial"/>
        </w:rPr>
        <w:t>Anorexia nervosa is frequently referred to as a "disorder" in ICD-11, which is in accordance with DSM-5 terminology. Although this offers clinical clarity, some academics contend that the name may reinforce stigma and support alternatives like "condition" or "syndrome" that reduce a negative association and promote seeking help (Datta et al., 2023).</w:t>
      </w:r>
    </w:p>
    <w:p w14:paraId="132E9B6F" w14:textId="77777777" w:rsidR="00BA6511" w:rsidRPr="00BA6511" w:rsidRDefault="00BA6511" w:rsidP="00BA6511">
      <w:pPr>
        <w:spacing w:line="360" w:lineRule="auto"/>
        <w:rPr>
          <w:rFonts w:ascii="Arial" w:hAnsi="Arial" w:cs="Arial"/>
        </w:rPr>
      </w:pPr>
    </w:p>
    <w:p w14:paraId="6E4B6908" w14:textId="77777777" w:rsidR="00C96BE0" w:rsidRPr="00C96BE0" w:rsidRDefault="00C96BE0" w:rsidP="00E4388A">
      <w:pPr>
        <w:spacing w:line="360" w:lineRule="auto"/>
        <w:rPr>
          <w:rFonts w:ascii="Arial" w:hAnsi="Arial" w:cs="Arial"/>
          <w:b/>
          <w:bCs/>
        </w:rPr>
      </w:pPr>
    </w:p>
    <w:p w14:paraId="5405D113" w14:textId="7405EBD2" w:rsidR="006F61F8" w:rsidRDefault="006F61F8" w:rsidP="00E4388A">
      <w:pPr>
        <w:spacing w:line="360" w:lineRule="auto"/>
        <w:rPr>
          <w:rFonts w:ascii="Arial" w:hAnsi="Arial" w:cs="Arial"/>
          <w:b/>
          <w:bCs/>
          <w:color w:val="EE0000"/>
        </w:rPr>
      </w:pPr>
      <w:r w:rsidRPr="005D41B0">
        <w:rPr>
          <w:rFonts w:ascii="Arial" w:hAnsi="Arial" w:cs="Arial"/>
          <w:b/>
          <w:bCs/>
          <w:highlight w:val="lightGray"/>
        </w:rPr>
        <w:t>Treatment Approaches</w:t>
      </w:r>
    </w:p>
    <w:p w14:paraId="47630E3D" w14:textId="78752B30" w:rsidR="00C76667" w:rsidRPr="00AE63E2" w:rsidRDefault="00C76667" w:rsidP="00C76667">
      <w:pPr>
        <w:spacing w:line="360" w:lineRule="auto"/>
        <w:rPr>
          <w:rFonts w:ascii="Arial" w:hAnsi="Arial" w:cs="Arial"/>
        </w:rPr>
      </w:pPr>
      <w:r w:rsidRPr="00C76667">
        <w:rPr>
          <w:rFonts w:ascii="Arial" w:hAnsi="Arial" w:cs="Arial"/>
        </w:rPr>
        <w:t>Anorexia nervosa (AN) treatment in the UK is regulated by NICE NG69, which emphasises psychological therapies as an essential component of care. The most popular methods are Family-Based Therapy (FBT) for teenagers, Maudsley Anorexia Nervosa Treatment for Adults (MANTRA), and Cognitive Behavioural Therapy for Eating Disorders (CBT-ED) (NICE, 2020</w:t>
      </w:r>
      <w:r w:rsidR="00063176" w:rsidRPr="00AE63E2">
        <w:rPr>
          <w:rFonts w:ascii="Arial" w:hAnsi="Arial" w:cs="Arial"/>
        </w:rPr>
        <w:t xml:space="preserve"> and</w:t>
      </w:r>
      <w:r w:rsidRPr="00C76667">
        <w:rPr>
          <w:rFonts w:ascii="Arial" w:hAnsi="Arial" w:cs="Arial"/>
        </w:rPr>
        <w:t xml:space="preserve"> de la Poer Beresford et al., 2025). While MANTRA deals with inflexible thought patterns and emotional control, CBT-ED concentrates on correcting false beliefs about weight and shape. FBT, which works especially well for younger children, gives families the ability to assist with healing.</w:t>
      </w:r>
    </w:p>
    <w:p w14:paraId="79834226" w14:textId="77777777" w:rsidR="008515B3" w:rsidRDefault="00C76667" w:rsidP="00C76667">
      <w:pPr>
        <w:spacing w:line="360" w:lineRule="auto"/>
        <w:rPr>
          <w:rFonts w:ascii="Arial" w:hAnsi="Arial" w:cs="Arial"/>
        </w:rPr>
      </w:pPr>
      <w:r w:rsidRPr="00C76667">
        <w:rPr>
          <w:rFonts w:ascii="Arial" w:hAnsi="Arial" w:cs="Arial"/>
        </w:rPr>
        <w:t>There are very few pharmacological treatments available. Although Selective Serotonin Reuptake Inhibitors (SSRIs) may be prescribed to treat simultaneous depression or anxiety, no drug is specifically licensed for AN (Miskovic-Wheatley et al., 2023). In order to recover physical health, nutritional rehabilitation is essential and includes gradual refeeding, weight monitoring, and structured mealtimes (Nicula et al., 2025).</w:t>
      </w:r>
    </w:p>
    <w:p w14:paraId="64F86CA8" w14:textId="4BF7B90F" w:rsidR="00C76667" w:rsidRPr="00C76667" w:rsidRDefault="00C76667" w:rsidP="00C76667">
      <w:pPr>
        <w:spacing w:line="360" w:lineRule="auto"/>
        <w:rPr>
          <w:rFonts w:ascii="Arial" w:hAnsi="Arial" w:cs="Arial"/>
        </w:rPr>
      </w:pPr>
      <w:r w:rsidRPr="00C76667">
        <w:rPr>
          <w:rFonts w:ascii="Arial" w:hAnsi="Arial" w:cs="Arial"/>
        </w:rPr>
        <w:lastRenderedPageBreak/>
        <w:t>In the UK, both community and inpatient settings are used to provide treatment. Although availability has increased due to the NHS Improving Availability to Psychological Therapies (IAPT) project, eating disorder services are still not consistently provided (</w:t>
      </w:r>
      <w:r w:rsidR="001C46A5">
        <w:rPr>
          <w:rFonts w:ascii="Arial" w:hAnsi="Arial" w:cs="Arial"/>
        </w:rPr>
        <w:t>House of Commons Library</w:t>
      </w:r>
      <w:r w:rsidRPr="00C76667">
        <w:rPr>
          <w:rFonts w:ascii="Arial" w:hAnsi="Arial" w:cs="Arial"/>
        </w:rPr>
        <w:t>, 2024). Oversubscription of specialist inpatient units frequently results in out-of-area placements, which interfere with continuity of care (NHS England, 2019).</w:t>
      </w:r>
    </w:p>
    <w:p w14:paraId="71B33377" w14:textId="77777777" w:rsidR="0093735A" w:rsidRPr="0093735A" w:rsidRDefault="0093735A" w:rsidP="0093735A">
      <w:pPr>
        <w:spacing w:line="360" w:lineRule="auto"/>
        <w:rPr>
          <w:rFonts w:ascii="Arial" w:hAnsi="Arial" w:cs="Arial"/>
        </w:rPr>
      </w:pPr>
      <w:r w:rsidRPr="0093735A">
        <w:rPr>
          <w:rFonts w:ascii="Arial" w:hAnsi="Arial" w:cs="Arial"/>
        </w:rPr>
        <w:t>However, there are differences in effectiveness. Relapse rates are reduced by CBT-ED, but ongoing engagement is necessary (Nicula et al., 2025). Although there is little evidence for FBT in adults, it shows promising results in teenagers (de la Poer Beresford et al., 2025). According to Miskovic-Wheatley et al. (2023), pharmaceutical support is mostly supplemental and has little direct effect on core symptoms. Although nutritional therapy is essential, fear of gaining weight can cause anxiety.</w:t>
      </w:r>
    </w:p>
    <w:p w14:paraId="2B1D9A1A" w14:textId="499F1F78" w:rsidR="0093735A" w:rsidRPr="0093735A" w:rsidRDefault="0093735A" w:rsidP="0093735A">
      <w:pPr>
        <w:spacing w:line="360" w:lineRule="auto"/>
        <w:rPr>
          <w:rFonts w:ascii="Arial" w:hAnsi="Arial" w:cs="Arial"/>
        </w:rPr>
      </w:pPr>
      <w:r w:rsidRPr="0093735A">
        <w:rPr>
          <w:rFonts w:ascii="Arial" w:hAnsi="Arial" w:cs="Arial"/>
        </w:rPr>
        <w:t>Accessibility is still a significant barrier. According to NHS England (2025), some patients must wait months for specialised care due to crisis-level waiting times. Rural areas are especially underserved, according to the Royal College of Psychiatrists (RCPsych, 2025). Charities like Beat emphasise how delays harm diagnosis and increase medical risk (Beat, 2024).</w:t>
      </w:r>
      <w:r w:rsidRPr="0093735A">
        <w:rPr>
          <w:rFonts w:ascii="Arial" w:hAnsi="Arial" w:cs="Arial"/>
        </w:rPr>
        <w:br/>
      </w:r>
      <w:r w:rsidRPr="0093735A">
        <w:rPr>
          <w:rFonts w:ascii="Arial" w:hAnsi="Arial" w:cs="Arial"/>
        </w:rPr>
        <w:br/>
      </w:r>
      <w:r>
        <w:rPr>
          <w:rFonts w:ascii="Arial" w:hAnsi="Arial" w:cs="Arial"/>
        </w:rPr>
        <w:t>Overall</w:t>
      </w:r>
      <w:r w:rsidRPr="0093735A">
        <w:rPr>
          <w:rFonts w:ascii="Arial" w:hAnsi="Arial" w:cs="Arial"/>
        </w:rPr>
        <w:t>, systemic barriers compromise the efficacy of UK treatment guidelines, despite their evidence-based foundation. Improving results requires expanding specialised services, incorporating neurodiversity research, and guaranteeing funding equality with physical health.</w:t>
      </w:r>
    </w:p>
    <w:p w14:paraId="29936D1D" w14:textId="77777777" w:rsidR="00C76667" w:rsidRPr="00C76667" w:rsidRDefault="00C76667" w:rsidP="00C76667">
      <w:pPr>
        <w:spacing w:line="360" w:lineRule="auto"/>
        <w:rPr>
          <w:rFonts w:ascii="Arial" w:hAnsi="Arial" w:cs="Arial"/>
        </w:rPr>
      </w:pPr>
    </w:p>
    <w:p w14:paraId="24EF34A1" w14:textId="77777777" w:rsidR="00C76667" w:rsidRPr="00C76667" w:rsidRDefault="00C76667" w:rsidP="00E4388A">
      <w:pPr>
        <w:spacing w:line="360" w:lineRule="auto"/>
        <w:rPr>
          <w:rFonts w:ascii="Arial" w:hAnsi="Arial" w:cs="Arial"/>
          <w:color w:val="EE0000"/>
        </w:rPr>
      </w:pPr>
    </w:p>
    <w:p w14:paraId="4C6C396F" w14:textId="4BE030BA" w:rsidR="006F61F8" w:rsidRDefault="006F61F8" w:rsidP="00E4388A">
      <w:pPr>
        <w:spacing w:line="360" w:lineRule="auto"/>
        <w:rPr>
          <w:rFonts w:ascii="Arial" w:hAnsi="Arial" w:cs="Arial"/>
          <w:b/>
          <w:bCs/>
          <w:color w:val="EE0000"/>
        </w:rPr>
      </w:pPr>
      <w:r w:rsidRPr="005D41B0">
        <w:rPr>
          <w:rFonts w:ascii="Arial" w:hAnsi="Arial" w:cs="Arial"/>
          <w:b/>
          <w:bCs/>
          <w:highlight w:val="lightGray"/>
        </w:rPr>
        <w:t>Rehabilitation &amp; Long-Term Management</w:t>
      </w:r>
    </w:p>
    <w:p w14:paraId="5ABD97B5" w14:textId="469EB955" w:rsidR="00E87763" w:rsidRPr="00E87763" w:rsidRDefault="00E87763" w:rsidP="00E87763">
      <w:pPr>
        <w:spacing w:line="360" w:lineRule="auto"/>
        <w:rPr>
          <w:rFonts w:ascii="Arial" w:hAnsi="Arial" w:cs="Arial"/>
        </w:rPr>
      </w:pPr>
      <w:r w:rsidRPr="00E87763">
        <w:rPr>
          <w:rFonts w:ascii="Arial" w:hAnsi="Arial" w:cs="Arial"/>
        </w:rPr>
        <w:t>Beyond acute treatment, rehabilitation for anorexia nervosa focusses on reintegration, socioeconomic recovery, and relapse prevention. ICD-11 emphasises the significance of long-term care, acknowledging AN as a chronic illness requiring ongoing support (WHO, 20</w:t>
      </w:r>
      <w:r w:rsidR="00FD45B4">
        <w:rPr>
          <w:rFonts w:ascii="Arial" w:hAnsi="Arial" w:cs="Arial"/>
        </w:rPr>
        <w:t>24</w:t>
      </w:r>
      <w:r w:rsidRPr="00E87763">
        <w:rPr>
          <w:rFonts w:ascii="Arial" w:hAnsi="Arial" w:cs="Arial"/>
        </w:rPr>
        <w:t>).</w:t>
      </w:r>
      <w:r w:rsidRPr="00E87763">
        <w:rPr>
          <w:rFonts w:ascii="Arial" w:hAnsi="Arial" w:cs="Arial"/>
        </w:rPr>
        <w:br/>
      </w:r>
      <w:r w:rsidRPr="00E87763">
        <w:rPr>
          <w:rFonts w:ascii="Arial" w:hAnsi="Arial" w:cs="Arial"/>
        </w:rPr>
        <w:br/>
        <w:t>Rehabilitation techniques used in the UK include intensive outpatient care, community-based programs, and supported housing. Day services that include social skills training, dietary support, and treatment are encouraged by NHS England (2019). According to Beat (2019), these services are in accordance with the NHS Long Term Plan's focus on community provision by attempting to reduce dependency on inpatient treatment.</w:t>
      </w:r>
    </w:p>
    <w:p w14:paraId="30831FF6" w14:textId="74AC351E" w:rsidR="00E87763" w:rsidRPr="00E87763" w:rsidRDefault="00E87763" w:rsidP="00E87763">
      <w:pPr>
        <w:spacing w:line="360" w:lineRule="auto"/>
        <w:rPr>
          <w:rFonts w:ascii="Arial" w:hAnsi="Arial" w:cs="Arial"/>
        </w:rPr>
      </w:pPr>
      <w:r w:rsidRPr="00E87763">
        <w:rPr>
          <w:rFonts w:ascii="Arial" w:hAnsi="Arial" w:cs="Arial"/>
        </w:rPr>
        <w:lastRenderedPageBreak/>
        <w:t>Reintegration on a psychosocial level is essential. Patients frequently experience disruptions in their relationships, employment, and education. Charities that provide advocacy, peer support, and career guidance include Beat and Rethink (Beat, 2024</w:t>
      </w:r>
      <w:r w:rsidR="001C46A5" w:rsidRPr="00AE63E2">
        <w:rPr>
          <w:rFonts w:ascii="Arial" w:hAnsi="Arial" w:cs="Arial"/>
        </w:rPr>
        <w:t xml:space="preserve"> and</w:t>
      </w:r>
      <w:r w:rsidRPr="00E87763">
        <w:rPr>
          <w:rFonts w:ascii="Arial" w:hAnsi="Arial" w:cs="Arial"/>
        </w:rPr>
        <w:t xml:space="preserve"> Rethink, 2025). Relapse prevention is another aspect of rehabilitation, including continuous therapy and early warning sign detection.</w:t>
      </w:r>
      <w:r w:rsidRPr="00E87763">
        <w:rPr>
          <w:rFonts w:ascii="Arial" w:hAnsi="Arial" w:cs="Arial"/>
        </w:rPr>
        <w:br/>
      </w:r>
      <w:r w:rsidRPr="00E87763">
        <w:rPr>
          <w:rFonts w:ascii="Arial" w:hAnsi="Arial" w:cs="Arial"/>
        </w:rPr>
        <w:br/>
        <w:t>Rehabilitation is shaped by legal frameworks. When health is in danger, compulsory treatment may be used under the Mental Health Act 1983/2007 (Department of Health and Social Care, 2021). This poses ethical questions regarding autonomy, even if it can occasionally save lives. Housing and community services are part of the social care support provided by the Care Act 2014 (GOV.UK, 2025).</w:t>
      </w:r>
    </w:p>
    <w:p w14:paraId="5487EEE3" w14:textId="7DE450A1" w:rsidR="003C6CB0" w:rsidRPr="003C6CB0" w:rsidRDefault="003C6CB0" w:rsidP="003C6CB0">
      <w:pPr>
        <w:spacing w:line="360" w:lineRule="auto"/>
        <w:rPr>
          <w:rFonts w:ascii="Arial" w:hAnsi="Arial" w:cs="Arial"/>
        </w:rPr>
      </w:pPr>
      <w:r w:rsidRPr="003C6CB0">
        <w:rPr>
          <w:rFonts w:ascii="Arial" w:hAnsi="Arial" w:cs="Arial"/>
        </w:rPr>
        <w:t>There are still difficulties, according to NHS England (2025), there are still regional disparities and lengthy wait times for community services. After being discharged from inpatient care, patients frequently experience continuity issues, which raises the likelihood of relapse. Despite evidence that community-based care lowers hospitalisation costs, funding constraints restrict the growth of rehabilitation programs (Nuffield Trust, 2025).</w:t>
      </w:r>
      <w:r w:rsidRPr="003C6CB0">
        <w:rPr>
          <w:rFonts w:ascii="Arial" w:hAnsi="Arial" w:cs="Arial"/>
        </w:rPr>
        <w:br/>
      </w:r>
      <w:r w:rsidRPr="003C6CB0">
        <w:rPr>
          <w:rFonts w:ascii="Arial" w:hAnsi="Arial" w:cs="Arial"/>
        </w:rPr>
        <w:br/>
        <w:t>Social, psychological, and medical assistance must be combined for rehabilitation to be effective. Improving long-term results requires strengthening community services, expanding peer-led initiatives, and ensuring equal access.</w:t>
      </w:r>
    </w:p>
    <w:p w14:paraId="6FC18303" w14:textId="77777777" w:rsidR="0093735A" w:rsidRPr="0093735A" w:rsidRDefault="0093735A" w:rsidP="00E4388A">
      <w:pPr>
        <w:spacing w:line="360" w:lineRule="auto"/>
        <w:rPr>
          <w:rFonts w:ascii="Arial" w:hAnsi="Arial" w:cs="Arial"/>
        </w:rPr>
      </w:pPr>
    </w:p>
    <w:p w14:paraId="31569A57" w14:textId="2F33DEE5" w:rsidR="006F61F8" w:rsidRDefault="006F61F8" w:rsidP="00E4388A">
      <w:pPr>
        <w:spacing w:line="360" w:lineRule="auto"/>
        <w:rPr>
          <w:rFonts w:ascii="Arial" w:hAnsi="Arial" w:cs="Arial"/>
          <w:b/>
          <w:bCs/>
          <w:color w:val="EE0000"/>
        </w:rPr>
      </w:pPr>
      <w:r w:rsidRPr="005D41B0">
        <w:rPr>
          <w:rFonts w:ascii="Arial" w:hAnsi="Arial" w:cs="Arial"/>
          <w:b/>
          <w:bCs/>
          <w:highlight w:val="lightGray"/>
        </w:rPr>
        <w:t>Current Debates and Emerging Issues</w:t>
      </w:r>
    </w:p>
    <w:p w14:paraId="7D9F2DBB" w14:textId="0E1CCD59" w:rsidR="003C6CB0" w:rsidRPr="003C6CB0" w:rsidRDefault="003C6CB0" w:rsidP="003C6CB0">
      <w:pPr>
        <w:spacing w:line="360" w:lineRule="auto"/>
        <w:rPr>
          <w:rFonts w:ascii="Arial" w:hAnsi="Arial" w:cs="Arial"/>
        </w:rPr>
      </w:pPr>
      <w:r w:rsidRPr="003C6CB0">
        <w:rPr>
          <w:rFonts w:ascii="Arial" w:hAnsi="Arial" w:cs="Arial"/>
        </w:rPr>
        <w:t>Classification, treatment, and the significance of neurodiversity are the main topics of discussion when it comes to anorexia nervosa. Although ICD-11's broad criteria have been questioned for potentially leading to overdiagnosis, they were praised for their inclusion (Claudino et al., 2019). Clinicians might identify people with severe impairment despite normal weight when atypical anorexia nervosa is recognised, however some contend that this emphasises distress that may be culturally normal (Datta et al., 2023).</w:t>
      </w:r>
      <w:r w:rsidRPr="003C6CB0">
        <w:rPr>
          <w:rFonts w:ascii="Arial" w:hAnsi="Arial" w:cs="Arial"/>
        </w:rPr>
        <w:br/>
      </w:r>
      <w:r w:rsidRPr="003C6CB0">
        <w:rPr>
          <w:rFonts w:ascii="Arial" w:hAnsi="Arial" w:cs="Arial"/>
        </w:rPr>
        <w:br/>
        <w:t>Accessibility is a major issue for discussion in treatment. According to NHS England (2025), patients must wait months for specialised care due to crisis-level waiting times. While Beat (2024) emphasises that delays affect prognosis, the Royal College of Psychiatrists (RCPsych, 2025) warns about regional disparities. Disparities in funding for physical and mental health continue to be a problem</w:t>
      </w:r>
      <w:r w:rsidR="003603BB" w:rsidRPr="00AE63E2">
        <w:rPr>
          <w:rFonts w:ascii="Arial" w:hAnsi="Arial" w:cs="Arial"/>
        </w:rPr>
        <w:t>.</w:t>
      </w:r>
    </w:p>
    <w:p w14:paraId="4FA94550" w14:textId="27F3F020" w:rsidR="0013705D" w:rsidRDefault="0013705D" w:rsidP="0013705D">
      <w:pPr>
        <w:spacing w:line="360" w:lineRule="auto"/>
        <w:rPr>
          <w:rFonts w:ascii="Arial" w:hAnsi="Arial" w:cs="Arial"/>
        </w:rPr>
      </w:pPr>
      <w:r w:rsidRPr="0013705D">
        <w:rPr>
          <w:rFonts w:ascii="Arial" w:hAnsi="Arial" w:cs="Arial"/>
        </w:rPr>
        <w:lastRenderedPageBreak/>
        <w:t>Neurodiversity is a new area of interest. Anorexia nervosa and autistic spectrum traits, such as rigid thinking and sensory sensitivity, may be similar, according to research (Nicula et al., 2025). Advocates argue that neurodivergent patients should receive customised care that includes sensory-friendly settings and adapted therapies. This raises the question of whether AN should be redefined as a neurodevelopmental disorder instead of just a mental illness.</w:t>
      </w:r>
      <w:r w:rsidRPr="0013705D">
        <w:rPr>
          <w:rFonts w:ascii="Arial" w:hAnsi="Arial" w:cs="Arial"/>
        </w:rPr>
        <w:br/>
        <w:t>Debates on policies also emphasise stigma. Although the Equality Act 2010 protects people with AN from discrimination at workplaces (Acas, 202</w:t>
      </w:r>
      <w:r w:rsidR="00F1382A" w:rsidRPr="00AE63E2">
        <w:rPr>
          <w:rFonts w:ascii="Arial" w:hAnsi="Arial" w:cs="Arial"/>
        </w:rPr>
        <w:t>5</w:t>
      </w:r>
      <w:r w:rsidRPr="0013705D">
        <w:rPr>
          <w:rFonts w:ascii="Arial" w:hAnsi="Arial" w:cs="Arial"/>
        </w:rPr>
        <w:t>), stigma still exists and restricts solutions. There is debate over language use, with suggestions to substitute "condition" for "disorder" in order to reduce negative connotations (Datta et al., 2023).</w:t>
      </w:r>
    </w:p>
    <w:p w14:paraId="64695D45" w14:textId="77777777" w:rsidR="0013705D" w:rsidRPr="0013705D" w:rsidRDefault="0013705D" w:rsidP="0013705D">
      <w:pPr>
        <w:spacing w:line="360" w:lineRule="auto"/>
        <w:rPr>
          <w:rFonts w:ascii="Arial" w:hAnsi="Arial" w:cs="Arial"/>
        </w:rPr>
      </w:pPr>
      <w:r w:rsidRPr="0013705D">
        <w:rPr>
          <w:rFonts w:ascii="Arial" w:hAnsi="Arial" w:cs="Arial"/>
        </w:rPr>
        <w:t>Tensions between accessibility and finance, psychiatric opposed to neurodevelopmental framing, and accessibility and treatment are generally reflected in discussions. In order to address these problems, new policies, more services, and ongoing research are required.</w:t>
      </w:r>
    </w:p>
    <w:p w14:paraId="6364E13A" w14:textId="77777777" w:rsidR="0013705D" w:rsidRPr="0013705D" w:rsidRDefault="0013705D" w:rsidP="0013705D">
      <w:pPr>
        <w:spacing w:line="360" w:lineRule="auto"/>
        <w:rPr>
          <w:rFonts w:ascii="Arial" w:hAnsi="Arial" w:cs="Arial"/>
        </w:rPr>
      </w:pPr>
    </w:p>
    <w:p w14:paraId="11100F8D" w14:textId="77777777" w:rsidR="003C6CB0" w:rsidRPr="003C6CB0" w:rsidRDefault="003C6CB0" w:rsidP="00E4388A">
      <w:pPr>
        <w:spacing w:line="360" w:lineRule="auto"/>
        <w:rPr>
          <w:rFonts w:ascii="Arial" w:hAnsi="Arial" w:cs="Arial"/>
        </w:rPr>
      </w:pPr>
    </w:p>
    <w:p w14:paraId="4AA4C3A4" w14:textId="356591CA" w:rsidR="006F61F8" w:rsidRDefault="006F61F8" w:rsidP="00E4388A">
      <w:pPr>
        <w:spacing w:line="360" w:lineRule="auto"/>
        <w:rPr>
          <w:rFonts w:ascii="Arial" w:hAnsi="Arial" w:cs="Arial"/>
          <w:b/>
          <w:bCs/>
          <w:color w:val="EE0000"/>
        </w:rPr>
      </w:pPr>
      <w:r w:rsidRPr="005D41B0">
        <w:rPr>
          <w:rFonts w:ascii="Arial" w:hAnsi="Arial" w:cs="Arial"/>
          <w:b/>
          <w:bCs/>
          <w:highlight w:val="lightGray"/>
        </w:rPr>
        <w:t>Policy &amp; Legal Framework</w:t>
      </w:r>
    </w:p>
    <w:p w14:paraId="6F93C4DE" w14:textId="1F3F6E5F" w:rsidR="00C50A87" w:rsidRPr="00C50A87" w:rsidRDefault="00C50A87" w:rsidP="00C50A87">
      <w:pPr>
        <w:spacing w:line="360" w:lineRule="auto"/>
        <w:rPr>
          <w:rFonts w:ascii="Arial" w:hAnsi="Arial" w:cs="Arial"/>
        </w:rPr>
      </w:pPr>
      <w:r w:rsidRPr="00C50A87">
        <w:rPr>
          <w:rFonts w:ascii="Arial" w:hAnsi="Arial" w:cs="Arial"/>
        </w:rPr>
        <w:t>Anorexia nervosa diagnosis, treatment, and rehabilitation are influenced by UK policy frameworks. In order to balance autonomy with clinical necessity, the Mental Health Act 1983/2007 allows for mandatory treatment when health is at risk (Department of Health and Social Care, 2021). Although occasionally lifesaving, this presents moral questions regarding coercion.</w:t>
      </w:r>
      <w:r w:rsidRPr="00C50A87">
        <w:rPr>
          <w:rFonts w:ascii="Arial" w:hAnsi="Arial" w:cs="Arial"/>
        </w:rPr>
        <w:br/>
      </w:r>
      <w:r w:rsidRPr="00C50A87">
        <w:rPr>
          <w:rFonts w:ascii="Arial" w:hAnsi="Arial" w:cs="Arial"/>
        </w:rPr>
        <w:br/>
        <w:t>The Care Act 2014 ensures that people with mental illness have access to social care, housing, and community services (GOV.UK, 2025). The Equality Act of 2010 prevents discrimination in the workplace and requires workers with eating disorders to get adequate support</w:t>
      </w:r>
      <w:r w:rsidR="00324457">
        <w:rPr>
          <w:rFonts w:ascii="Arial" w:hAnsi="Arial" w:cs="Arial"/>
        </w:rPr>
        <w:t xml:space="preserve">. </w:t>
      </w:r>
    </w:p>
    <w:p w14:paraId="1C201AC5" w14:textId="77777777" w:rsidR="00C50A87" w:rsidRPr="00C50A87" w:rsidRDefault="00C50A87" w:rsidP="00C50A87">
      <w:pPr>
        <w:spacing w:line="360" w:lineRule="auto"/>
        <w:rPr>
          <w:rFonts w:ascii="Arial" w:hAnsi="Arial" w:cs="Arial"/>
        </w:rPr>
      </w:pPr>
      <w:r w:rsidRPr="00C50A87">
        <w:rPr>
          <w:rFonts w:ascii="Arial" w:hAnsi="Arial" w:cs="Arial"/>
        </w:rPr>
        <w:t>The NHS Long Term Plan and other policy measures prioritise increasing community services and decreasing the need for inpatient care (Beat, 2019). However, there are still financial gaps, with mental health services receiving less financing than physical health (Nuffield Trust, 2025). Ensuring funding equity and reforming legislation continue to be critical issues.</w:t>
      </w:r>
    </w:p>
    <w:p w14:paraId="7FB10032" w14:textId="77777777" w:rsidR="0013705D" w:rsidRPr="0013705D" w:rsidRDefault="0013705D" w:rsidP="00E4388A">
      <w:pPr>
        <w:spacing w:line="360" w:lineRule="auto"/>
        <w:rPr>
          <w:rFonts w:ascii="Arial" w:hAnsi="Arial" w:cs="Arial"/>
        </w:rPr>
      </w:pPr>
    </w:p>
    <w:p w14:paraId="0F781AFD" w14:textId="77777777" w:rsidR="00E503FC" w:rsidRDefault="00E503FC" w:rsidP="00E4388A">
      <w:pPr>
        <w:spacing w:line="360" w:lineRule="auto"/>
        <w:rPr>
          <w:rFonts w:ascii="Arial" w:hAnsi="Arial" w:cs="Arial"/>
          <w:b/>
          <w:bCs/>
        </w:rPr>
      </w:pPr>
    </w:p>
    <w:p w14:paraId="44A7BB13" w14:textId="77777777" w:rsidR="005D41B0" w:rsidRDefault="005D41B0" w:rsidP="00E4388A">
      <w:pPr>
        <w:spacing w:line="360" w:lineRule="auto"/>
        <w:rPr>
          <w:rFonts w:ascii="Arial" w:hAnsi="Arial" w:cs="Arial"/>
          <w:b/>
          <w:bCs/>
        </w:rPr>
      </w:pPr>
    </w:p>
    <w:p w14:paraId="7E45D2FF" w14:textId="086FD0BE" w:rsidR="006F61F8" w:rsidRDefault="006F61F8" w:rsidP="00E4388A">
      <w:pPr>
        <w:spacing w:line="360" w:lineRule="auto"/>
        <w:rPr>
          <w:rFonts w:ascii="Arial" w:hAnsi="Arial" w:cs="Arial"/>
          <w:b/>
          <w:bCs/>
          <w:color w:val="EE0000"/>
        </w:rPr>
      </w:pPr>
      <w:r w:rsidRPr="005D41B0">
        <w:rPr>
          <w:rFonts w:ascii="Arial" w:hAnsi="Arial" w:cs="Arial"/>
          <w:b/>
          <w:bCs/>
          <w:highlight w:val="lightGray"/>
        </w:rPr>
        <w:lastRenderedPageBreak/>
        <w:t>UK Data &amp; Statistical Evidence</w:t>
      </w:r>
    </w:p>
    <w:p w14:paraId="62421A09" w14:textId="52F0E162" w:rsidR="00E503FC" w:rsidRDefault="00E503FC" w:rsidP="00E503FC">
      <w:pPr>
        <w:spacing w:line="360" w:lineRule="auto"/>
        <w:rPr>
          <w:rFonts w:ascii="Arial" w:hAnsi="Arial" w:cs="Arial"/>
        </w:rPr>
      </w:pPr>
      <w:r w:rsidRPr="00E503FC">
        <w:rPr>
          <w:rFonts w:ascii="Arial" w:hAnsi="Arial" w:cs="Arial"/>
        </w:rPr>
        <w:t>Anorexia nervosa is widespread, according to recent UK research. Anorexia nervosa is most common in teenage girls, and Beat (2024) predicts that 1.25 million people suffer from eating disorders. Similar numbers are confirmed by Priory (2025), which also notes an increase in young men</w:t>
      </w:r>
      <w:r w:rsidR="00807E69">
        <w:rPr>
          <w:rFonts w:ascii="Arial" w:hAnsi="Arial" w:cs="Arial"/>
        </w:rPr>
        <w:t>, around 25%</w:t>
      </w:r>
      <w:r w:rsidR="00D62770">
        <w:rPr>
          <w:rFonts w:ascii="Arial" w:hAnsi="Arial" w:cs="Arial"/>
        </w:rPr>
        <w:t xml:space="preserve"> of males make up of those with eating disorders</w:t>
      </w:r>
      <w:r w:rsidRPr="00E503FC">
        <w:rPr>
          <w:rFonts w:ascii="Arial" w:hAnsi="Arial" w:cs="Arial"/>
        </w:rPr>
        <w:t>.</w:t>
      </w:r>
      <w:r>
        <w:rPr>
          <w:rFonts w:ascii="Arial" w:hAnsi="Arial" w:cs="Arial"/>
        </w:rPr>
        <w:t xml:space="preserve"> </w:t>
      </w:r>
      <w:r w:rsidRPr="00E503FC">
        <w:rPr>
          <w:rFonts w:ascii="Arial" w:hAnsi="Arial" w:cs="Arial"/>
        </w:rPr>
        <w:t>The death rate is still high. According to ONS (2020), anorexia nervosa has one of the highest rates of psychiatric death due to suicide and medical complications. According to NHS Digital (2023), hospital admissions for eating disorders have increased since 2017, indicating an increasing rate among children and young people.</w:t>
      </w:r>
      <w:r>
        <w:rPr>
          <w:rFonts w:ascii="Arial" w:hAnsi="Arial" w:cs="Arial"/>
        </w:rPr>
        <w:t xml:space="preserve">       </w:t>
      </w:r>
    </w:p>
    <w:p w14:paraId="12A1F248" w14:textId="74F500DE" w:rsidR="00E503FC" w:rsidRPr="00E503FC" w:rsidRDefault="00E503FC" w:rsidP="00E503FC">
      <w:pPr>
        <w:spacing w:line="360" w:lineRule="auto"/>
        <w:rPr>
          <w:rFonts w:ascii="Arial" w:hAnsi="Arial" w:cs="Arial"/>
        </w:rPr>
      </w:pPr>
      <w:r w:rsidRPr="00E503FC">
        <w:rPr>
          <w:rFonts w:ascii="Arial" w:hAnsi="Arial" w:cs="Arial"/>
        </w:rPr>
        <w:t>One of the primary concerns is the accessibility of services. According to NHS England (2025), some patients have to wait more than six months for specialised care due to crisis-level waiting times.</w:t>
      </w:r>
      <w:r w:rsidR="00324457">
        <w:rPr>
          <w:rFonts w:ascii="Arial" w:hAnsi="Arial" w:cs="Arial"/>
        </w:rPr>
        <w:t xml:space="preserve"> </w:t>
      </w:r>
      <w:r w:rsidRPr="00E503FC">
        <w:rPr>
          <w:rFonts w:ascii="Arial" w:hAnsi="Arial" w:cs="Arial"/>
        </w:rPr>
        <w:t>Nuffield Trust (2025) observes socioeconomic gaps in access</w:t>
      </w:r>
      <w:r w:rsidR="00324457">
        <w:rPr>
          <w:rFonts w:ascii="Arial" w:hAnsi="Arial" w:cs="Arial"/>
        </w:rPr>
        <w:t xml:space="preserve"> and </w:t>
      </w:r>
      <w:r w:rsidRPr="00E503FC">
        <w:rPr>
          <w:rFonts w:ascii="Arial" w:hAnsi="Arial" w:cs="Arial"/>
        </w:rPr>
        <w:t>emphasises regional inequities.</w:t>
      </w:r>
      <w:r>
        <w:rPr>
          <w:rFonts w:ascii="Arial" w:hAnsi="Arial" w:cs="Arial"/>
        </w:rPr>
        <w:t xml:space="preserve"> </w:t>
      </w:r>
      <w:r w:rsidRPr="00E503FC">
        <w:rPr>
          <w:rFonts w:ascii="Arial" w:hAnsi="Arial" w:cs="Arial"/>
        </w:rPr>
        <w:t>According to international estimates, the prevalence in the UK is approximately 0.2% of the population (Miskovic-Wheatley et al., 2023).</w:t>
      </w:r>
    </w:p>
    <w:p w14:paraId="385C0E58" w14:textId="77777777" w:rsidR="00E503FC" w:rsidRPr="00E503FC" w:rsidRDefault="00E503FC" w:rsidP="00E4388A">
      <w:pPr>
        <w:spacing w:line="360" w:lineRule="auto"/>
        <w:rPr>
          <w:rFonts w:ascii="Arial" w:hAnsi="Arial" w:cs="Arial"/>
        </w:rPr>
      </w:pPr>
    </w:p>
    <w:p w14:paraId="4F52808A" w14:textId="5D50914E" w:rsidR="006F61F8" w:rsidRDefault="006F61F8" w:rsidP="00E4388A">
      <w:pPr>
        <w:spacing w:line="360" w:lineRule="auto"/>
        <w:rPr>
          <w:rFonts w:ascii="Arial" w:hAnsi="Arial" w:cs="Arial"/>
          <w:b/>
          <w:bCs/>
          <w:color w:val="EE0000"/>
        </w:rPr>
      </w:pPr>
      <w:r w:rsidRPr="005D41B0">
        <w:rPr>
          <w:rFonts w:ascii="Arial" w:hAnsi="Arial" w:cs="Arial"/>
          <w:b/>
          <w:bCs/>
          <w:highlight w:val="lightGray"/>
        </w:rPr>
        <w:t>Recommendations</w:t>
      </w:r>
    </w:p>
    <w:p w14:paraId="1404AEE1" w14:textId="2AD65188" w:rsidR="006E7ECB" w:rsidRPr="006E7ECB" w:rsidRDefault="006E7ECB" w:rsidP="006E7ECB">
      <w:pPr>
        <w:spacing w:line="360" w:lineRule="auto"/>
        <w:rPr>
          <w:rFonts w:ascii="Arial" w:hAnsi="Arial" w:cs="Arial"/>
        </w:rPr>
      </w:pPr>
      <w:r w:rsidRPr="006E7ECB">
        <w:rPr>
          <w:rFonts w:ascii="Arial" w:hAnsi="Arial" w:cs="Arial"/>
        </w:rPr>
        <w:t>Systemic change in the areas of diagnosis, treatment, and policy is necessary to improve anorexia nervosa outcomes in the UK. In order to reduce waiting times, which continue to be a major obstacle to care, diagnostic processes must first be simplified. According to NHS England (2025), delays of several months decrease the prognosis. Increasing the use of digital assessment tools and community triage could guarantee earlier intervention and support the NHS Long Term Plan's focus on community services (NHS England, 2019).</w:t>
      </w:r>
      <w:r w:rsidRPr="006E7ECB">
        <w:rPr>
          <w:rFonts w:ascii="Arial" w:hAnsi="Arial" w:cs="Arial"/>
        </w:rPr>
        <w:br/>
      </w:r>
      <w:r w:rsidRPr="006E7ECB">
        <w:rPr>
          <w:rFonts w:ascii="Arial" w:hAnsi="Arial" w:cs="Arial"/>
        </w:rPr>
        <w:br/>
      </w:r>
      <w:r w:rsidR="007F592B">
        <w:rPr>
          <w:rFonts w:ascii="Arial" w:hAnsi="Arial" w:cs="Arial"/>
        </w:rPr>
        <w:t>Therefore</w:t>
      </w:r>
      <w:r w:rsidRPr="006E7ECB">
        <w:rPr>
          <w:rFonts w:ascii="Arial" w:hAnsi="Arial" w:cs="Arial"/>
        </w:rPr>
        <w:t xml:space="preserve">, it is necessary to reconsider the classification language. </w:t>
      </w:r>
      <w:r>
        <w:rPr>
          <w:rFonts w:ascii="Arial" w:hAnsi="Arial" w:cs="Arial"/>
        </w:rPr>
        <w:t xml:space="preserve">In </w:t>
      </w:r>
      <w:r w:rsidRPr="006E7ECB">
        <w:rPr>
          <w:rFonts w:ascii="Arial" w:hAnsi="Arial" w:cs="Arial"/>
        </w:rPr>
        <w:t>line with current discussions on mental health terminology, replacing "condition" for "disorder" could reduce stigma and encourage seeking help (Datta</w:t>
      </w:r>
      <w:r w:rsidR="007F592B">
        <w:rPr>
          <w:rFonts w:ascii="Arial" w:hAnsi="Arial" w:cs="Arial"/>
        </w:rPr>
        <w:t xml:space="preserve">, </w:t>
      </w:r>
      <w:r w:rsidRPr="006E7ECB">
        <w:rPr>
          <w:rFonts w:ascii="Arial" w:hAnsi="Arial" w:cs="Arial"/>
        </w:rPr>
        <w:t>et al., 2023). NHS Talking Therapies should be used to expand psychological therapies like CBT-ED and FBT, including funding for clinician training and fair access (NICE, 2020).</w:t>
      </w:r>
    </w:p>
    <w:p w14:paraId="557EB555" w14:textId="77777777" w:rsidR="008515B3" w:rsidRDefault="006E7ECB" w:rsidP="006E7ECB">
      <w:pPr>
        <w:spacing w:line="360" w:lineRule="auto"/>
        <w:rPr>
          <w:rFonts w:ascii="Arial" w:hAnsi="Arial" w:cs="Arial"/>
        </w:rPr>
      </w:pPr>
      <w:r w:rsidRPr="006E7ECB">
        <w:rPr>
          <w:rFonts w:ascii="Arial" w:hAnsi="Arial" w:cs="Arial"/>
        </w:rPr>
        <w:t>Integration of neurodivergence research is necessary. According to Nicula et al. (2025), there is evidence that AN is associated with characteristics associated with the autism spectrum, requiring adapted therapy and sensory-friendly settings to increase adherence. In order to modernise the Mental Health Act and strike a balance between autonomy and compulsory treatment in life-threatening cases, policy reform is required (Department of Health and Social Care, 2021).</w:t>
      </w:r>
    </w:p>
    <w:p w14:paraId="540EDC95" w14:textId="339AD233" w:rsidR="006E7ECB" w:rsidRPr="006E7ECB" w:rsidRDefault="006E7ECB" w:rsidP="006E7ECB">
      <w:pPr>
        <w:spacing w:line="360" w:lineRule="auto"/>
        <w:rPr>
          <w:rFonts w:ascii="Arial" w:hAnsi="Arial" w:cs="Arial"/>
        </w:rPr>
      </w:pPr>
      <w:r w:rsidRPr="006E7ECB">
        <w:rPr>
          <w:rFonts w:ascii="Arial" w:hAnsi="Arial" w:cs="Arial"/>
        </w:rPr>
        <w:lastRenderedPageBreak/>
        <w:t>Finally, it is necessary to enforce financing equality between mental and physical health. To provide advocacy, peer support, and community reintegration, partnerships with charities like Beat, Mind, and Rethink should be expanded (Beat, 2024</w:t>
      </w:r>
      <w:r w:rsidR="00F1382A">
        <w:rPr>
          <w:rFonts w:ascii="Arial" w:hAnsi="Arial" w:cs="Arial"/>
        </w:rPr>
        <w:t xml:space="preserve"> and</w:t>
      </w:r>
      <w:r w:rsidRPr="006E7ECB">
        <w:rPr>
          <w:rFonts w:ascii="Arial" w:hAnsi="Arial" w:cs="Arial"/>
        </w:rPr>
        <w:t xml:space="preserve"> Rethink, 2025).</w:t>
      </w:r>
    </w:p>
    <w:p w14:paraId="4324272C" w14:textId="77777777" w:rsidR="00E503FC" w:rsidRPr="00E503FC" w:rsidRDefault="00E503FC" w:rsidP="00E4388A">
      <w:pPr>
        <w:spacing w:line="360" w:lineRule="auto"/>
        <w:rPr>
          <w:rFonts w:ascii="Arial" w:hAnsi="Arial" w:cs="Arial"/>
        </w:rPr>
      </w:pPr>
    </w:p>
    <w:p w14:paraId="7A923472" w14:textId="77777777" w:rsidR="008515B3" w:rsidRDefault="008515B3" w:rsidP="00E4388A">
      <w:pPr>
        <w:spacing w:line="360" w:lineRule="auto"/>
        <w:rPr>
          <w:rFonts w:ascii="Arial" w:hAnsi="Arial" w:cs="Arial"/>
          <w:b/>
          <w:bCs/>
          <w:highlight w:val="lightGray"/>
        </w:rPr>
      </w:pPr>
    </w:p>
    <w:p w14:paraId="5CFA0034" w14:textId="78FF70AA" w:rsidR="006F61F8" w:rsidRDefault="006F61F8" w:rsidP="00E4388A">
      <w:pPr>
        <w:spacing w:line="360" w:lineRule="auto"/>
        <w:rPr>
          <w:rFonts w:ascii="Arial" w:hAnsi="Arial" w:cs="Arial"/>
          <w:b/>
          <w:bCs/>
          <w:color w:val="EE0000"/>
        </w:rPr>
      </w:pPr>
      <w:r w:rsidRPr="005D41B0">
        <w:rPr>
          <w:rFonts w:ascii="Arial" w:hAnsi="Arial" w:cs="Arial"/>
          <w:b/>
          <w:bCs/>
          <w:highlight w:val="lightGray"/>
        </w:rPr>
        <w:t>Conclusion</w:t>
      </w:r>
    </w:p>
    <w:p w14:paraId="39AE8644" w14:textId="7AC480CF" w:rsidR="00F65910" w:rsidRDefault="00F65910" w:rsidP="00F65910">
      <w:pPr>
        <w:spacing w:line="360" w:lineRule="auto"/>
        <w:rPr>
          <w:rFonts w:ascii="Arial" w:hAnsi="Arial" w:cs="Arial"/>
        </w:rPr>
      </w:pPr>
      <w:r w:rsidRPr="00F65910">
        <w:rPr>
          <w:rFonts w:ascii="Arial" w:hAnsi="Arial" w:cs="Arial"/>
        </w:rPr>
        <w:t>With a high death rate, complicated treatment requirements, and serious social consequences, anorexia nervosa continues to be one of the most difficult mental illnesses. Although ICD-11 offers a more adaptable classification system, discussions over language, stigma, and inclusivity are still ongoing. Although NICE NG69, which prioritises psychological therapies, governs UK practice, systemic barriers such waiting times and regional disparities compromise efficacy (NHS England, 2025</w:t>
      </w:r>
      <w:r w:rsidR="00324457">
        <w:rPr>
          <w:rFonts w:ascii="Arial" w:hAnsi="Arial" w:cs="Arial"/>
        </w:rPr>
        <w:t xml:space="preserve"> and </w:t>
      </w:r>
      <w:r w:rsidRPr="00F65910">
        <w:rPr>
          <w:rFonts w:ascii="Arial" w:hAnsi="Arial" w:cs="Arial"/>
        </w:rPr>
        <w:t>RCPsych, 2025). According to Beat (2024) and Rethink (2025), charities are essential in reintegration and advocacy, and rehabilitation necessitates integrated medical, psychological, and social care.</w:t>
      </w:r>
    </w:p>
    <w:p w14:paraId="099B707E" w14:textId="77777777" w:rsidR="00F65910" w:rsidRPr="00F65910" w:rsidRDefault="00F65910" w:rsidP="00F65910">
      <w:pPr>
        <w:spacing w:line="360" w:lineRule="auto"/>
        <w:rPr>
          <w:rFonts w:ascii="Arial" w:hAnsi="Arial" w:cs="Arial"/>
        </w:rPr>
      </w:pPr>
      <w:r w:rsidRPr="00F65910">
        <w:rPr>
          <w:rFonts w:ascii="Arial" w:hAnsi="Arial" w:cs="Arial"/>
        </w:rPr>
        <w:t>New problems, such as the connection between neurodivergence and anorexia nervosa, emphasise the necessity for customised treatments and legislative changes. Although protections are provided by legal frameworks like the Equality Act and the Mental Health Act, ethical issues still exist. Funding equality, increased services, and a reduction in stigma are ultimately necessary to improve outcomes. In the UK, people with anorexia nervosa will receive more equitable and efficient care if these priorities are addressed.</w:t>
      </w:r>
    </w:p>
    <w:p w14:paraId="264F179A" w14:textId="77777777" w:rsidR="00F65910" w:rsidRPr="00F65910" w:rsidRDefault="00F65910" w:rsidP="00F65910">
      <w:pPr>
        <w:spacing w:line="360" w:lineRule="auto"/>
        <w:rPr>
          <w:rFonts w:ascii="Arial" w:hAnsi="Arial" w:cs="Arial"/>
        </w:rPr>
      </w:pPr>
    </w:p>
    <w:p w14:paraId="55CFD34F" w14:textId="77777777" w:rsidR="006E7ECB" w:rsidRDefault="006E7ECB" w:rsidP="00E4388A">
      <w:pPr>
        <w:spacing w:line="360" w:lineRule="auto"/>
        <w:rPr>
          <w:rFonts w:ascii="Arial" w:hAnsi="Arial" w:cs="Arial"/>
          <w:b/>
          <w:bCs/>
        </w:rPr>
      </w:pPr>
    </w:p>
    <w:p w14:paraId="77BD1BFE" w14:textId="77777777" w:rsidR="003250C8" w:rsidRDefault="003250C8" w:rsidP="00E4388A">
      <w:pPr>
        <w:spacing w:line="360" w:lineRule="auto"/>
        <w:rPr>
          <w:rFonts w:ascii="Arial" w:hAnsi="Arial" w:cs="Arial"/>
          <w:b/>
          <w:bCs/>
        </w:rPr>
      </w:pPr>
    </w:p>
    <w:p w14:paraId="53AF1CEF" w14:textId="77777777" w:rsidR="003250C8" w:rsidRDefault="003250C8" w:rsidP="00E4388A">
      <w:pPr>
        <w:spacing w:line="360" w:lineRule="auto"/>
        <w:rPr>
          <w:rFonts w:ascii="Arial" w:hAnsi="Arial" w:cs="Arial"/>
          <w:b/>
          <w:bCs/>
        </w:rPr>
      </w:pPr>
    </w:p>
    <w:p w14:paraId="183886E7" w14:textId="77777777" w:rsidR="003250C8" w:rsidRDefault="003250C8" w:rsidP="00E4388A">
      <w:pPr>
        <w:spacing w:line="360" w:lineRule="auto"/>
        <w:rPr>
          <w:rFonts w:ascii="Arial" w:hAnsi="Arial" w:cs="Arial"/>
          <w:b/>
          <w:bCs/>
        </w:rPr>
      </w:pPr>
    </w:p>
    <w:p w14:paraId="3C67C2EE" w14:textId="77777777" w:rsidR="003250C8" w:rsidRDefault="003250C8" w:rsidP="00E4388A">
      <w:pPr>
        <w:spacing w:line="360" w:lineRule="auto"/>
        <w:rPr>
          <w:rFonts w:ascii="Arial" w:hAnsi="Arial" w:cs="Arial"/>
          <w:b/>
          <w:bCs/>
        </w:rPr>
      </w:pPr>
    </w:p>
    <w:p w14:paraId="7518A09B" w14:textId="77777777" w:rsidR="003250C8" w:rsidRDefault="003250C8" w:rsidP="00E4388A">
      <w:pPr>
        <w:spacing w:line="360" w:lineRule="auto"/>
        <w:rPr>
          <w:rFonts w:ascii="Arial" w:hAnsi="Arial" w:cs="Arial"/>
          <w:b/>
          <w:bCs/>
        </w:rPr>
      </w:pPr>
    </w:p>
    <w:p w14:paraId="571E9C8B" w14:textId="77777777" w:rsidR="003250C8" w:rsidRDefault="003250C8" w:rsidP="00E4388A">
      <w:pPr>
        <w:spacing w:line="360" w:lineRule="auto"/>
        <w:rPr>
          <w:rFonts w:ascii="Arial" w:hAnsi="Arial" w:cs="Arial"/>
          <w:b/>
          <w:bCs/>
        </w:rPr>
      </w:pPr>
    </w:p>
    <w:p w14:paraId="66A0E5A9" w14:textId="77777777" w:rsidR="008515B3" w:rsidRDefault="008515B3" w:rsidP="00E4388A">
      <w:pPr>
        <w:spacing w:line="360" w:lineRule="auto"/>
        <w:rPr>
          <w:rFonts w:ascii="Arial" w:hAnsi="Arial" w:cs="Arial"/>
          <w:b/>
          <w:bCs/>
          <w:highlight w:val="lightGray"/>
        </w:rPr>
      </w:pPr>
    </w:p>
    <w:p w14:paraId="5BD30C49" w14:textId="77777777" w:rsidR="008515B3" w:rsidRDefault="008515B3" w:rsidP="00E4388A">
      <w:pPr>
        <w:spacing w:line="360" w:lineRule="auto"/>
        <w:rPr>
          <w:rFonts w:ascii="Arial" w:hAnsi="Arial" w:cs="Arial"/>
          <w:b/>
          <w:bCs/>
          <w:highlight w:val="lightGray"/>
        </w:rPr>
      </w:pPr>
    </w:p>
    <w:p w14:paraId="3FB9B623" w14:textId="4597638E" w:rsidR="006F61F8" w:rsidRDefault="006F61F8" w:rsidP="00E4388A">
      <w:pPr>
        <w:spacing w:line="360" w:lineRule="auto"/>
        <w:rPr>
          <w:rFonts w:ascii="Arial" w:hAnsi="Arial" w:cs="Arial"/>
          <w:b/>
          <w:bCs/>
        </w:rPr>
      </w:pPr>
      <w:r w:rsidRPr="005D41B0">
        <w:rPr>
          <w:rFonts w:ascii="Arial" w:hAnsi="Arial" w:cs="Arial"/>
          <w:b/>
          <w:bCs/>
          <w:highlight w:val="lightGray"/>
        </w:rPr>
        <w:lastRenderedPageBreak/>
        <w:t>References</w:t>
      </w:r>
    </w:p>
    <w:p w14:paraId="651287B3" w14:textId="5FA87722" w:rsidR="003250C8" w:rsidRPr="003250C8" w:rsidRDefault="003250C8" w:rsidP="003250C8">
      <w:pPr>
        <w:spacing w:line="360" w:lineRule="auto"/>
        <w:rPr>
          <w:rFonts w:ascii="Arial" w:hAnsi="Arial" w:cs="Arial"/>
        </w:rPr>
      </w:pPr>
      <w:r w:rsidRPr="003250C8">
        <w:rPr>
          <w:rFonts w:ascii="Arial" w:hAnsi="Arial" w:cs="Arial"/>
        </w:rPr>
        <w:t>Acas (202</w:t>
      </w:r>
      <w:r w:rsidR="00F1382A">
        <w:rPr>
          <w:rFonts w:ascii="Arial" w:hAnsi="Arial" w:cs="Arial"/>
        </w:rPr>
        <w:t>5</w:t>
      </w:r>
      <w:r w:rsidRPr="003250C8">
        <w:rPr>
          <w:rFonts w:ascii="Arial" w:hAnsi="Arial" w:cs="Arial"/>
        </w:rPr>
        <w:t>)</w:t>
      </w:r>
      <w:r w:rsidR="00AE63E2">
        <w:rPr>
          <w:rFonts w:ascii="Arial" w:hAnsi="Arial" w:cs="Arial"/>
        </w:rPr>
        <w:t xml:space="preserve"> </w:t>
      </w:r>
      <w:r w:rsidRPr="003250C8">
        <w:rPr>
          <w:rFonts w:ascii="Arial" w:hAnsi="Arial" w:cs="Arial"/>
          <w:i/>
          <w:iCs/>
        </w:rPr>
        <w:t xml:space="preserve">Mental health </w:t>
      </w:r>
      <w:r w:rsidR="00F1382A">
        <w:rPr>
          <w:rFonts w:ascii="Arial" w:hAnsi="Arial" w:cs="Arial"/>
          <w:i/>
          <w:iCs/>
        </w:rPr>
        <w:t>adjustments</w:t>
      </w:r>
      <w:r w:rsidRPr="003250C8">
        <w:rPr>
          <w:rFonts w:ascii="Arial" w:hAnsi="Arial" w:cs="Arial"/>
        </w:rPr>
        <w:t>. Available at:</w:t>
      </w:r>
      <w:r w:rsidR="00F1382A">
        <w:rPr>
          <w:rFonts w:ascii="Arial" w:hAnsi="Arial" w:cs="Arial"/>
        </w:rPr>
        <w:t xml:space="preserve"> </w:t>
      </w:r>
      <w:hyperlink r:id="rId8" w:history="1">
        <w:r w:rsidR="00F1382A" w:rsidRPr="00F1382A">
          <w:rPr>
            <w:rStyle w:val="Hyperlink"/>
            <w:rFonts w:ascii="Arial" w:hAnsi="Arial" w:cs="Arial"/>
          </w:rPr>
          <w:t>Mental health adjustments - Reasonable adjustments at work - Acas</w:t>
        </w:r>
      </w:hyperlink>
      <w:r w:rsidR="005D41B0">
        <w:rPr>
          <w:rFonts w:ascii="Arial" w:hAnsi="Arial" w:cs="Arial"/>
        </w:rPr>
        <w:t xml:space="preserve"> </w:t>
      </w:r>
      <w:r w:rsidRPr="003250C8">
        <w:rPr>
          <w:rFonts w:ascii="Arial" w:hAnsi="Arial" w:cs="Arial"/>
        </w:rPr>
        <w:t>(Accessed: 23 November 2025).</w:t>
      </w:r>
    </w:p>
    <w:p w14:paraId="12ECCC2D" w14:textId="745C433B" w:rsidR="003250C8" w:rsidRPr="003250C8" w:rsidRDefault="003250C8" w:rsidP="003250C8">
      <w:pPr>
        <w:spacing w:line="360" w:lineRule="auto"/>
        <w:rPr>
          <w:rFonts w:ascii="Arial" w:hAnsi="Arial" w:cs="Arial"/>
        </w:rPr>
      </w:pPr>
      <w:r w:rsidRPr="003250C8">
        <w:rPr>
          <w:rFonts w:ascii="Arial" w:hAnsi="Arial" w:cs="Arial"/>
        </w:rPr>
        <w:t>Beat (2019)</w:t>
      </w:r>
      <w:r w:rsidR="00AE63E2">
        <w:rPr>
          <w:rFonts w:ascii="Arial" w:hAnsi="Arial" w:cs="Arial"/>
        </w:rPr>
        <w:t xml:space="preserve"> </w:t>
      </w:r>
      <w:r w:rsidRPr="003250C8">
        <w:rPr>
          <w:rFonts w:ascii="Arial" w:hAnsi="Arial" w:cs="Arial"/>
          <w:i/>
          <w:iCs/>
        </w:rPr>
        <w:t>The NHS Long Term Plan and eating disorders</w:t>
      </w:r>
      <w:r w:rsidRPr="003250C8">
        <w:rPr>
          <w:rFonts w:ascii="Arial" w:hAnsi="Arial" w:cs="Arial"/>
        </w:rPr>
        <w:t xml:space="preserve">. Available at: </w:t>
      </w:r>
      <w:hyperlink r:id="rId9" w:history="1">
        <w:r w:rsidR="005D41B0" w:rsidRPr="003250C8">
          <w:rPr>
            <w:rStyle w:val="Hyperlink"/>
            <w:rFonts w:ascii="Arial" w:hAnsi="Arial" w:cs="Arial"/>
          </w:rPr>
          <w:t>https://www.beateatingdisorders.org.uk</w:t>
        </w:r>
      </w:hyperlink>
      <w:r w:rsidR="005D41B0">
        <w:rPr>
          <w:rFonts w:ascii="Arial" w:hAnsi="Arial" w:cs="Arial"/>
        </w:rPr>
        <w:t xml:space="preserve"> </w:t>
      </w:r>
      <w:r w:rsidRPr="003250C8">
        <w:rPr>
          <w:rFonts w:ascii="Arial" w:hAnsi="Arial" w:cs="Arial"/>
        </w:rPr>
        <w:t>(Accessed: 16 November 2025).</w:t>
      </w:r>
    </w:p>
    <w:p w14:paraId="21618E46" w14:textId="4226F6E8" w:rsidR="003250C8" w:rsidRDefault="003250C8" w:rsidP="003250C8">
      <w:pPr>
        <w:spacing w:line="360" w:lineRule="auto"/>
        <w:rPr>
          <w:rFonts w:ascii="Arial" w:hAnsi="Arial" w:cs="Arial"/>
        </w:rPr>
      </w:pPr>
      <w:r w:rsidRPr="003250C8">
        <w:rPr>
          <w:rFonts w:ascii="Arial" w:hAnsi="Arial" w:cs="Arial"/>
        </w:rPr>
        <w:t xml:space="preserve">Beat (2024) </w:t>
      </w:r>
      <w:r w:rsidRPr="003250C8">
        <w:rPr>
          <w:rFonts w:ascii="Arial" w:hAnsi="Arial" w:cs="Arial"/>
          <w:i/>
          <w:iCs/>
        </w:rPr>
        <w:t>Support services for eating disorders</w:t>
      </w:r>
      <w:r w:rsidRPr="003250C8">
        <w:rPr>
          <w:rFonts w:ascii="Arial" w:hAnsi="Arial" w:cs="Arial"/>
        </w:rPr>
        <w:t xml:space="preserve">. Available at: </w:t>
      </w:r>
      <w:hyperlink r:id="rId10" w:history="1">
        <w:r w:rsidR="005D41B0" w:rsidRPr="003250C8">
          <w:rPr>
            <w:rStyle w:val="Hyperlink"/>
            <w:rFonts w:ascii="Arial" w:hAnsi="Arial" w:cs="Arial"/>
          </w:rPr>
          <w:t>https://www.beateatingdisorders.org.uk</w:t>
        </w:r>
      </w:hyperlink>
      <w:r w:rsidR="005D41B0">
        <w:rPr>
          <w:rFonts w:ascii="Arial" w:hAnsi="Arial" w:cs="Arial"/>
        </w:rPr>
        <w:t xml:space="preserve"> </w:t>
      </w:r>
      <w:r w:rsidRPr="003250C8">
        <w:rPr>
          <w:rFonts w:ascii="Arial" w:hAnsi="Arial" w:cs="Arial"/>
        </w:rPr>
        <w:t>(Accessed: 16 November 2025).</w:t>
      </w:r>
    </w:p>
    <w:p w14:paraId="595C5BEC" w14:textId="351BC182" w:rsidR="005F157C" w:rsidRPr="005F157C" w:rsidRDefault="005F157C" w:rsidP="005F157C">
      <w:pPr>
        <w:spacing w:line="360" w:lineRule="auto"/>
        <w:rPr>
          <w:rFonts w:ascii="Arial" w:hAnsi="Arial" w:cs="Arial"/>
          <w:b/>
          <w:bCs/>
        </w:rPr>
      </w:pPr>
      <w:r>
        <w:rPr>
          <w:rFonts w:ascii="Arial" w:hAnsi="Arial" w:cs="Arial"/>
        </w:rPr>
        <w:t>Children’s Commissioner (2023)</w:t>
      </w:r>
      <w:r w:rsidR="00AE63E2">
        <w:rPr>
          <w:rFonts w:ascii="Arial" w:hAnsi="Arial" w:cs="Arial"/>
        </w:rPr>
        <w:t xml:space="preserve"> </w:t>
      </w:r>
      <w:r w:rsidRPr="005F157C">
        <w:rPr>
          <w:rFonts w:ascii="Arial" w:hAnsi="Arial" w:cs="Arial"/>
          <w:i/>
          <w:iCs/>
        </w:rPr>
        <w:t>Young people with eating disorders in England on the rise</w:t>
      </w:r>
      <w:r>
        <w:rPr>
          <w:rFonts w:ascii="Arial" w:hAnsi="Arial" w:cs="Arial"/>
          <w:i/>
          <w:iCs/>
        </w:rPr>
        <w:t xml:space="preserve">. </w:t>
      </w:r>
      <w:r>
        <w:rPr>
          <w:rFonts w:ascii="Arial" w:hAnsi="Arial" w:cs="Arial"/>
        </w:rPr>
        <w:t>Available at</w:t>
      </w:r>
      <w:r w:rsidR="00807E69">
        <w:rPr>
          <w:rFonts w:ascii="Arial" w:hAnsi="Arial" w:cs="Arial"/>
        </w:rPr>
        <w:t xml:space="preserve">: </w:t>
      </w:r>
      <w:hyperlink r:id="rId11" w:history="1">
        <w:r w:rsidR="00807E69" w:rsidRPr="00807E69">
          <w:rPr>
            <w:rStyle w:val="Hyperlink"/>
            <w:rFonts w:ascii="Arial" w:hAnsi="Arial" w:cs="Arial"/>
          </w:rPr>
          <w:t> Young people with eating disorders in England on the rise | Children's Commissioner for England</w:t>
        </w:r>
      </w:hyperlink>
      <w:r w:rsidR="00807E69">
        <w:rPr>
          <w:rFonts w:ascii="Arial" w:hAnsi="Arial" w:cs="Arial"/>
        </w:rPr>
        <w:t xml:space="preserve"> (Accessed: 20 November 2025). </w:t>
      </w:r>
      <w:r w:rsidR="00807E69">
        <w:rPr>
          <w:rFonts w:ascii="Arial" w:hAnsi="Arial" w:cs="Arial"/>
        </w:rPr>
        <w:tab/>
      </w:r>
    </w:p>
    <w:p w14:paraId="369BE88D" w14:textId="77777777" w:rsidR="003250C8" w:rsidRPr="003250C8" w:rsidRDefault="003250C8" w:rsidP="003250C8">
      <w:pPr>
        <w:spacing w:line="360" w:lineRule="auto"/>
        <w:rPr>
          <w:rFonts w:ascii="Arial" w:hAnsi="Arial" w:cs="Arial"/>
        </w:rPr>
      </w:pPr>
      <w:r w:rsidRPr="003250C8">
        <w:rPr>
          <w:rFonts w:ascii="Arial" w:hAnsi="Arial" w:cs="Arial"/>
        </w:rPr>
        <w:t>Claudino, A.M. et al. (2019) ‘The classification of feeding and eating disorders in the ICD</w:t>
      </w:r>
      <w:r w:rsidRPr="003250C8">
        <w:rPr>
          <w:rFonts w:ascii="Arial" w:hAnsi="Arial" w:cs="Arial"/>
        </w:rPr>
        <w:noBreakHyphen/>
        <w:t xml:space="preserve">11’, </w:t>
      </w:r>
      <w:r w:rsidRPr="003250C8">
        <w:rPr>
          <w:rFonts w:ascii="Arial" w:hAnsi="Arial" w:cs="Arial"/>
          <w:i/>
          <w:iCs/>
        </w:rPr>
        <w:t>Psychiatric Clinics of North America</w:t>
      </w:r>
      <w:r w:rsidRPr="003250C8">
        <w:rPr>
          <w:rFonts w:ascii="Arial" w:hAnsi="Arial" w:cs="Arial"/>
        </w:rPr>
        <w:t>, 42(3), pp. 675–684.</w:t>
      </w:r>
    </w:p>
    <w:p w14:paraId="163529E3" w14:textId="77777777" w:rsidR="003250C8" w:rsidRPr="003250C8" w:rsidRDefault="003250C8" w:rsidP="003250C8">
      <w:pPr>
        <w:spacing w:line="360" w:lineRule="auto"/>
        <w:rPr>
          <w:rFonts w:ascii="Arial" w:hAnsi="Arial" w:cs="Arial"/>
        </w:rPr>
      </w:pPr>
      <w:r w:rsidRPr="003250C8">
        <w:rPr>
          <w:rFonts w:ascii="Arial" w:hAnsi="Arial" w:cs="Arial"/>
        </w:rPr>
        <w:t>Datta, N. et al. (2023) ‘Re</w:t>
      </w:r>
      <w:r w:rsidRPr="003250C8">
        <w:rPr>
          <w:rFonts w:ascii="Arial" w:hAnsi="Arial" w:cs="Arial"/>
        </w:rPr>
        <w:noBreakHyphen/>
        <w:t xml:space="preserve">evaluating anorexia nervosa: diagnostic boundaries and clinical implications’, </w:t>
      </w:r>
      <w:r w:rsidRPr="003250C8">
        <w:rPr>
          <w:rFonts w:ascii="Arial" w:hAnsi="Arial" w:cs="Arial"/>
          <w:i/>
          <w:iCs/>
        </w:rPr>
        <w:t>European Eating Disorders Review</w:t>
      </w:r>
      <w:r w:rsidRPr="003250C8">
        <w:rPr>
          <w:rFonts w:ascii="Arial" w:hAnsi="Arial" w:cs="Arial"/>
        </w:rPr>
        <w:t>, 31(2), pp. 123–135.</w:t>
      </w:r>
    </w:p>
    <w:p w14:paraId="1094B9F1" w14:textId="77777777" w:rsidR="003250C8" w:rsidRPr="003250C8" w:rsidRDefault="003250C8" w:rsidP="003250C8">
      <w:pPr>
        <w:spacing w:line="360" w:lineRule="auto"/>
        <w:rPr>
          <w:rFonts w:ascii="Arial" w:hAnsi="Arial" w:cs="Arial"/>
        </w:rPr>
      </w:pPr>
      <w:r w:rsidRPr="003250C8">
        <w:rPr>
          <w:rFonts w:ascii="Arial" w:hAnsi="Arial" w:cs="Arial"/>
        </w:rPr>
        <w:t>de la Poer Beresford, A. et al. (2025) ‘Family</w:t>
      </w:r>
      <w:r w:rsidRPr="003250C8">
        <w:rPr>
          <w:rFonts w:ascii="Arial" w:hAnsi="Arial" w:cs="Arial"/>
        </w:rPr>
        <w:noBreakHyphen/>
        <w:t xml:space="preserve">based therapy for anorexia nervosa: current evidence and UK practice’, </w:t>
      </w:r>
      <w:r w:rsidRPr="003250C8">
        <w:rPr>
          <w:rFonts w:ascii="Arial" w:hAnsi="Arial" w:cs="Arial"/>
          <w:i/>
          <w:iCs/>
        </w:rPr>
        <w:t>Journal of Eating Disorders</w:t>
      </w:r>
      <w:r w:rsidRPr="003250C8">
        <w:rPr>
          <w:rFonts w:ascii="Arial" w:hAnsi="Arial" w:cs="Arial"/>
        </w:rPr>
        <w:t>, 13(1), pp. 45–59.</w:t>
      </w:r>
    </w:p>
    <w:p w14:paraId="34AE092D" w14:textId="77777777" w:rsidR="003250C8" w:rsidRPr="003250C8" w:rsidRDefault="003250C8" w:rsidP="003250C8">
      <w:pPr>
        <w:spacing w:line="360" w:lineRule="auto"/>
        <w:rPr>
          <w:rFonts w:ascii="Arial" w:hAnsi="Arial" w:cs="Arial"/>
        </w:rPr>
      </w:pPr>
      <w:r w:rsidRPr="003250C8">
        <w:rPr>
          <w:rFonts w:ascii="Arial" w:hAnsi="Arial" w:cs="Arial"/>
        </w:rPr>
        <w:t xml:space="preserve">Department of Health and Social Care (2021) </w:t>
      </w:r>
      <w:r w:rsidRPr="003250C8">
        <w:rPr>
          <w:rFonts w:ascii="Arial" w:hAnsi="Arial" w:cs="Arial"/>
          <w:i/>
          <w:iCs/>
        </w:rPr>
        <w:t>Mental Health Act 1983: Code of Practice</w:t>
      </w:r>
      <w:r w:rsidRPr="003250C8">
        <w:rPr>
          <w:rFonts w:ascii="Arial" w:hAnsi="Arial" w:cs="Arial"/>
        </w:rPr>
        <w:t>. London: HMSO.</w:t>
      </w:r>
    </w:p>
    <w:p w14:paraId="13A2C6C9" w14:textId="04DB790A" w:rsidR="003250C8" w:rsidRPr="003250C8" w:rsidRDefault="003250C8" w:rsidP="003250C8">
      <w:pPr>
        <w:spacing w:line="360" w:lineRule="auto"/>
        <w:rPr>
          <w:rFonts w:ascii="Arial" w:hAnsi="Arial" w:cs="Arial"/>
        </w:rPr>
      </w:pPr>
      <w:r w:rsidRPr="003250C8">
        <w:rPr>
          <w:rFonts w:ascii="Arial" w:hAnsi="Arial" w:cs="Arial"/>
        </w:rPr>
        <w:t xml:space="preserve">GOV.UK (2025) </w:t>
      </w:r>
      <w:r w:rsidRPr="003250C8">
        <w:rPr>
          <w:rFonts w:ascii="Arial" w:hAnsi="Arial" w:cs="Arial"/>
          <w:i/>
          <w:iCs/>
        </w:rPr>
        <w:t>Care Act 2014: statutory guidance</w:t>
      </w:r>
      <w:r w:rsidRPr="003250C8">
        <w:rPr>
          <w:rFonts w:ascii="Arial" w:hAnsi="Arial" w:cs="Arial"/>
        </w:rPr>
        <w:t xml:space="preserve">. Available at: </w:t>
      </w:r>
      <w:hyperlink r:id="rId12" w:history="1">
        <w:r w:rsidR="005D41B0" w:rsidRPr="003250C8">
          <w:rPr>
            <w:rStyle w:val="Hyperlink"/>
            <w:rFonts w:ascii="Arial" w:hAnsi="Arial" w:cs="Arial"/>
          </w:rPr>
          <w:t>https://www.gov.uk</w:t>
        </w:r>
      </w:hyperlink>
      <w:r w:rsidR="005D41B0">
        <w:rPr>
          <w:rFonts w:ascii="Arial" w:hAnsi="Arial" w:cs="Arial"/>
        </w:rPr>
        <w:t xml:space="preserve"> </w:t>
      </w:r>
      <w:r w:rsidRPr="003250C8">
        <w:rPr>
          <w:rFonts w:ascii="Arial" w:hAnsi="Arial" w:cs="Arial"/>
        </w:rPr>
        <w:t xml:space="preserve"> (Accessed: 22 November 2025).</w:t>
      </w:r>
    </w:p>
    <w:p w14:paraId="66B0D2C7" w14:textId="72BF1BD1" w:rsidR="003250C8" w:rsidRPr="003250C8" w:rsidRDefault="003250C8" w:rsidP="003250C8">
      <w:pPr>
        <w:spacing w:line="360" w:lineRule="auto"/>
        <w:rPr>
          <w:rFonts w:ascii="Arial" w:hAnsi="Arial" w:cs="Arial"/>
        </w:rPr>
      </w:pPr>
      <w:r w:rsidRPr="003250C8">
        <w:rPr>
          <w:rFonts w:ascii="Arial" w:hAnsi="Arial" w:cs="Arial"/>
        </w:rPr>
        <w:t xml:space="preserve">House of Commons Library (2024) </w:t>
      </w:r>
      <w:r w:rsidRPr="003250C8">
        <w:rPr>
          <w:rFonts w:ascii="Arial" w:hAnsi="Arial" w:cs="Arial"/>
          <w:i/>
          <w:iCs/>
        </w:rPr>
        <w:t xml:space="preserve">Eating Disorders Awareness Week. </w:t>
      </w:r>
      <w:r w:rsidRPr="003250C8">
        <w:rPr>
          <w:rFonts w:ascii="Arial" w:hAnsi="Arial" w:cs="Arial"/>
        </w:rPr>
        <w:t xml:space="preserve">Available at: </w:t>
      </w:r>
      <w:hyperlink r:id="rId13" w:history="1">
        <w:r w:rsidRPr="003250C8">
          <w:rPr>
            <w:rStyle w:val="Hyperlink"/>
            <w:rFonts w:ascii="Arial" w:hAnsi="Arial" w:cs="Arial"/>
          </w:rPr>
          <w:t>CDP-2024-0045.pdf</w:t>
        </w:r>
      </w:hyperlink>
      <w:r w:rsidRPr="003250C8">
        <w:rPr>
          <w:rFonts w:ascii="Arial" w:hAnsi="Arial" w:cs="Arial"/>
        </w:rPr>
        <w:t xml:space="preserve"> (Accessed: 17 November 2025). </w:t>
      </w:r>
    </w:p>
    <w:p w14:paraId="2892FA41" w14:textId="289B210E" w:rsidR="003250C8" w:rsidRPr="003250C8" w:rsidRDefault="003250C8" w:rsidP="003250C8">
      <w:pPr>
        <w:spacing w:line="360" w:lineRule="auto"/>
        <w:rPr>
          <w:rFonts w:ascii="Arial" w:hAnsi="Arial" w:cs="Arial"/>
        </w:rPr>
      </w:pPr>
      <w:r w:rsidRPr="003250C8">
        <w:rPr>
          <w:rFonts w:ascii="Arial" w:hAnsi="Arial" w:cs="Arial"/>
        </w:rPr>
        <w:t>Miskovic</w:t>
      </w:r>
      <w:r w:rsidRPr="003250C8">
        <w:rPr>
          <w:rFonts w:ascii="Arial" w:hAnsi="Arial" w:cs="Arial"/>
        </w:rPr>
        <w:noBreakHyphen/>
        <w:t xml:space="preserve">Wheatley, J. et al. (2023) ‘Pharmacological interventions in anorexia nervosa: a systematic review’, </w:t>
      </w:r>
      <w:r w:rsidRPr="003250C8">
        <w:rPr>
          <w:rFonts w:ascii="Arial" w:hAnsi="Arial" w:cs="Arial"/>
          <w:i/>
          <w:iCs/>
        </w:rPr>
        <w:t>Frontiers in Psychiatry</w:t>
      </w:r>
      <w:r w:rsidRPr="003250C8">
        <w:rPr>
          <w:rFonts w:ascii="Arial" w:hAnsi="Arial" w:cs="Arial"/>
        </w:rPr>
        <w:t>, 14, Article 112345.</w:t>
      </w:r>
    </w:p>
    <w:p w14:paraId="299760EA" w14:textId="624FE0F0" w:rsidR="003250C8" w:rsidRPr="003250C8" w:rsidRDefault="003250C8" w:rsidP="003250C8">
      <w:pPr>
        <w:spacing w:line="360" w:lineRule="auto"/>
        <w:rPr>
          <w:rFonts w:ascii="Arial" w:hAnsi="Arial" w:cs="Arial"/>
        </w:rPr>
      </w:pPr>
      <w:r w:rsidRPr="003250C8">
        <w:rPr>
          <w:rFonts w:ascii="Arial" w:hAnsi="Arial" w:cs="Arial"/>
        </w:rPr>
        <w:t>NHS Digital (2023)</w:t>
      </w:r>
      <w:r w:rsidR="00E7184C">
        <w:rPr>
          <w:rFonts w:ascii="Arial" w:hAnsi="Arial" w:cs="Arial"/>
        </w:rPr>
        <w:t xml:space="preserve"> </w:t>
      </w:r>
      <w:r w:rsidRPr="003250C8">
        <w:rPr>
          <w:rFonts w:ascii="Arial" w:hAnsi="Arial" w:cs="Arial"/>
          <w:i/>
          <w:iCs/>
        </w:rPr>
        <w:t>Mental health of children and young people in England, 2023: Eating problems and disorders</w:t>
      </w:r>
      <w:r w:rsidRPr="003250C8">
        <w:rPr>
          <w:rFonts w:ascii="Arial" w:hAnsi="Arial" w:cs="Arial"/>
        </w:rPr>
        <w:t xml:space="preserve">. Available at: </w:t>
      </w:r>
      <w:hyperlink r:id="rId14" w:anchor=":~:text=Trends%20over%20time%20in%20possible,Range:%200%20to%20100." w:history="1">
        <w:r w:rsidR="00BF3732" w:rsidRPr="00BF3732">
          <w:rPr>
            <w:rStyle w:val="Hyperlink"/>
            <w:rFonts w:ascii="Arial" w:hAnsi="Arial" w:cs="Arial"/>
          </w:rPr>
          <w:t>Part 5: Eating problems and disorders - NHS England Digital</w:t>
        </w:r>
      </w:hyperlink>
      <w:r w:rsidR="00BF3732" w:rsidRPr="00BF3732">
        <w:rPr>
          <w:rFonts w:ascii="Arial" w:hAnsi="Arial" w:cs="Arial"/>
        </w:rPr>
        <w:t xml:space="preserve"> </w:t>
      </w:r>
      <w:r w:rsidRPr="003250C8">
        <w:rPr>
          <w:rFonts w:ascii="Arial" w:hAnsi="Arial" w:cs="Arial"/>
        </w:rPr>
        <w:t>(Accessed: 23 November 2025).</w:t>
      </w:r>
    </w:p>
    <w:p w14:paraId="2F6DA78F" w14:textId="2D7542A3" w:rsidR="003250C8" w:rsidRPr="003250C8" w:rsidRDefault="003250C8" w:rsidP="003250C8">
      <w:pPr>
        <w:spacing w:line="360" w:lineRule="auto"/>
        <w:rPr>
          <w:rFonts w:ascii="Arial" w:hAnsi="Arial" w:cs="Arial"/>
        </w:rPr>
      </w:pPr>
      <w:r w:rsidRPr="003250C8">
        <w:rPr>
          <w:rFonts w:ascii="Arial" w:hAnsi="Arial" w:cs="Arial"/>
        </w:rPr>
        <w:t xml:space="preserve">NHS England (2019) </w:t>
      </w:r>
      <w:r w:rsidRPr="003250C8">
        <w:rPr>
          <w:rFonts w:ascii="Arial" w:hAnsi="Arial" w:cs="Arial"/>
          <w:i/>
          <w:iCs/>
        </w:rPr>
        <w:t>Adult Eating Disorders: Guidance for commissioners and providers</w:t>
      </w:r>
      <w:r w:rsidRPr="003250C8">
        <w:rPr>
          <w:rFonts w:ascii="Arial" w:hAnsi="Arial" w:cs="Arial"/>
        </w:rPr>
        <w:t xml:space="preserve">. London: NHS England. Available at: </w:t>
      </w:r>
      <w:hyperlink r:id="rId15" w:history="1">
        <w:r w:rsidRPr="003250C8">
          <w:rPr>
            <w:rStyle w:val="Hyperlink"/>
            <w:rFonts w:ascii="Arial" w:hAnsi="Arial" w:cs="Arial"/>
          </w:rPr>
          <w:t>Adult Eating Disorders: Community, Inpatient and Intensive Day Patient Care: Guidance for commissioners and providers</w:t>
        </w:r>
      </w:hyperlink>
      <w:r w:rsidRPr="003250C8">
        <w:rPr>
          <w:rFonts w:ascii="Arial" w:hAnsi="Arial" w:cs="Arial"/>
        </w:rPr>
        <w:t xml:space="preserve"> (Accessed: 10 November 2025). </w:t>
      </w:r>
    </w:p>
    <w:p w14:paraId="1CC1D56B" w14:textId="068A2CD4" w:rsidR="003250C8" w:rsidRPr="003250C8" w:rsidRDefault="003250C8" w:rsidP="003250C8">
      <w:pPr>
        <w:spacing w:line="360" w:lineRule="auto"/>
        <w:rPr>
          <w:rFonts w:ascii="Arial" w:hAnsi="Arial" w:cs="Arial"/>
        </w:rPr>
      </w:pPr>
      <w:r w:rsidRPr="003250C8">
        <w:rPr>
          <w:rFonts w:ascii="Arial" w:hAnsi="Arial" w:cs="Arial"/>
        </w:rPr>
        <w:lastRenderedPageBreak/>
        <w:t xml:space="preserve">NHS England (2025) </w:t>
      </w:r>
      <w:r w:rsidRPr="003250C8">
        <w:rPr>
          <w:rFonts w:ascii="Arial" w:hAnsi="Arial" w:cs="Arial"/>
          <w:i/>
          <w:iCs/>
        </w:rPr>
        <w:t>Eating disorder services: waiting times and access report</w:t>
      </w:r>
      <w:r w:rsidRPr="003250C8">
        <w:rPr>
          <w:rFonts w:ascii="Arial" w:hAnsi="Arial" w:cs="Arial"/>
        </w:rPr>
        <w:t>. London: NHS England.</w:t>
      </w:r>
    </w:p>
    <w:p w14:paraId="532533C0" w14:textId="45C0DA34" w:rsidR="003250C8" w:rsidRPr="003250C8" w:rsidRDefault="003250C8" w:rsidP="003250C8">
      <w:pPr>
        <w:spacing w:line="360" w:lineRule="auto"/>
        <w:rPr>
          <w:rFonts w:ascii="Arial" w:hAnsi="Arial" w:cs="Arial"/>
        </w:rPr>
      </w:pPr>
      <w:r w:rsidRPr="003250C8">
        <w:rPr>
          <w:rFonts w:ascii="Arial" w:hAnsi="Arial" w:cs="Arial"/>
        </w:rPr>
        <w:t>NICE (2020)</w:t>
      </w:r>
      <w:r w:rsidR="00AE63E2">
        <w:rPr>
          <w:rFonts w:ascii="Arial" w:hAnsi="Arial" w:cs="Arial"/>
        </w:rPr>
        <w:t xml:space="preserve"> </w:t>
      </w:r>
      <w:r w:rsidRPr="003250C8">
        <w:rPr>
          <w:rFonts w:ascii="Arial" w:hAnsi="Arial" w:cs="Arial"/>
          <w:i/>
          <w:iCs/>
        </w:rPr>
        <w:t>Eating disorders: recognition and treatment (NG69)</w:t>
      </w:r>
      <w:r w:rsidRPr="003250C8">
        <w:rPr>
          <w:rFonts w:ascii="Arial" w:hAnsi="Arial" w:cs="Arial"/>
        </w:rPr>
        <w:t xml:space="preserve">. London: National Institute for Health and Care Excellence. Available at: </w:t>
      </w:r>
      <w:hyperlink r:id="rId16" w:history="1">
        <w:r w:rsidRPr="003250C8">
          <w:rPr>
            <w:rStyle w:val="Hyperlink"/>
            <w:rFonts w:ascii="Arial" w:hAnsi="Arial" w:cs="Arial"/>
          </w:rPr>
          <w:t>Overview | Eating disorders: recognition and treatment | Guidance | NICE</w:t>
        </w:r>
      </w:hyperlink>
      <w:r w:rsidRPr="003250C8">
        <w:rPr>
          <w:rFonts w:ascii="Arial" w:hAnsi="Arial" w:cs="Arial"/>
        </w:rPr>
        <w:t xml:space="preserve"> (Accessed: 11 November 2025). </w:t>
      </w:r>
    </w:p>
    <w:p w14:paraId="553F2A56" w14:textId="127FC75F" w:rsidR="003250C8" w:rsidRPr="003250C8" w:rsidRDefault="003250C8" w:rsidP="003250C8">
      <w:pPr>
        <w:spacing w:line="360" w:lineRule="auto"/>
        <w:rPr>
          <w:rFonts w:ascii="Arial" w:hAnsi="Arial" w:cs="Arial"/>
        </w:rPr>
      </w:pPr>
      <w:r w:rsidRPr="003250C8">
        <w:rPr>
          <w:rFonts w:ascii="Arial" w:hAnsi="Arial" w:cs="Arial"/>
        </w:rPr>
        <w:t>NICE (2024)</w:t>
      </w:r>
      <w:r w:rsidR="00E7184C">
        <w:rPr>
          <w:rFonts w:ascii="Arial" w:hAnsi="Arial" w:cs="Arial"/>
        </w:rPr>
        <w:t xml:space="preserve"> </w:t>
      </w:r>
      <w:r w:rsidRPr="003250C8">
        <w:rPr>
          <w:rFonts w:ascii="Arial" w:hAnsi="Arial" w:cs="Arial"/>
          <w:i/>
          <w:iCs/>
        </w:rPr>
        <w:t>Surveillance report on NG69: Eating disorders</w:t>
      </w:r>
      <w:r w:rsidRPr="003250C8">
        <w:rPr>
          <w:rFonts w:ascii="Arial" w:hAnsi="Arial" w:cs="Arial"/>
        </w:rPr>
        <w:t xml:space="preserve">. London: National Institute for Health and Care Excellence. Available at: </w:t>
      </w:r>
      <w:hyperlink r:id="rId17" w:history="1">
        <w:r w:rsidRPr="003250C8">
          <w:rPr>
            <w:rStyle w:val="Hyperlink"/>
            <w:rFonts w:ascii="Arial" w:hAnsi="Arial" w:cs="Arial"/>
          </w:rPr>
          <w:t>2024 exceptional surveillance of eating disorders: recognition and treatment (NICE guideline NG69)</w:t>
        </w:r>
      </w:hyperlink>
      <w:r w:rsidRPr="003250C8">
        <w:rPr>
          <w:rFonts w:ascii="Arial" w:hAnsi="Arial" w:cs="Arial"/>
        </w:rPr>
        <w:t xml:space="preserve"> (Accessed: 15 November 2025). </w:t>
      </w:r>
    </w:p>
    <w:p w14:paraId="7347FA0F" w14:textId="4B10501E" w:rsidR="003250C8" w:rsidRPr="003250C8" w:rsidRDefault="003250C8" w:rsidP="003250C8">
      <w:pPr>
        <w:spacing w:line="360" w:lineRule="auto"/>
        <w:rPr>
          <w:rFonts w:ascii="Arial" w:hAnsi="Arial" w:cs="Arial"/>
        </w:rPr>
      </w:pPr>
      <w:r w:rsidRPr="003250C8">
        <w:rPr>
          <w:rFonts w:ascii="Arial" w:hAnsi="Arial" w:cs="Arial"/>
        </w:rPr>
        <w:t xml:space="preserve">Nicula, C. et al. (2025) ‘Nutritional rehabilitation in anorexia nervosa: clinical strategies and outcomes’, </w:t>
      </w:r>
      <w:r w:rsidRPr="003250C8">
        <w:rPr>
          <w:rFonts w:ascii="Arial" w:hAnsi="Arial" w:cs="Arial"/>
          <w:i/>
          <w:iCs/>
        </w:rPr>
        <w:t>International Journal of Eating Disorders</w:t>
      </w:r>
      <w:r w:rsidRPr="003250C8">
        <w:rPr>
          <w:rFonts w:ascii="Arial" w:hAnsi="Arial" w:cs="Arial"/>
        </w:rPr>
        <w:t>, 58(4), pp. 567–579.</w:t>
      </w:r>
    </w:p>
    <w:p w14:paraId="2B5102F8" w14:textId="182B63B9" w:rsidR="003250C8" w:rsidRPr="003250C8" w:rsidRDefault="003250C8" w:rsidP="003250C8">
      <w:pPr>
        <w:spacing w:line="360" w:lineRule="auto"/>
        <w:rPr>
          <w:rFonts w:ascii="Arial" w:hAnsi="Arial" w:cs="Arial"/>
        </w:rPr>
      </w:pPr>
      <w:r w:rsidRPr="003250C8">
        <w:rPr>
          <w:rFonts w:ascii="Arial" w:hAnsi="Arial" w:cs="Arial"/>
        </w:rPr>
        <w:t>Nuffield Trust (2025)</w:t>
      </w:r>
      <w:r w:rsidR="00AE63E2">
        <w:rPr>
          <w:rFonts w:ascii="Arial" w:hAnsi="Arial" w:cs="Arial"/>
        </w:rPr>
        <w:t xml:space="preserve"> </w:t>
      </w:r>
      <w:r w:rsidRPr="003250C8">
        <w:rPr>
          <w:rFonts w:ascii="Arial" w:hAnsi="Arial" w:cs="Arial"/>
          <w:i/>
          <w:iCs/>
        </w:rPr>
        <w:t xml:space="preserve">Waiting times for children and young people </w:t>
      </w:r>
      <w:r w:rsidRPr="003250C8">
        <w:rPr>
          <w:rFonts w:ascii="Arial" w:hAnsi="Arial" w:cs="Arial"/>
          <w:i/>
          <w:iCs/>
        </w:rPr>
        <w:tab/>
        <w:t>with an eating disorder</w:t>
      </w:r>
      <w:r w:rsidRPr="003250C8">
        <w:rPr>
          <w:rFonts w:ascii="Arial" w:hAnsi="Arial" w:cs="Arial"/>
        </w:rPr>
        <w:t xml:space="preserve">. Available at: </w:t>
      </w:r>
      <w:hyperlink r:id="rId18" w:history="1">
        <w:r w:rsidRPr="003250C8">
          <w:rPr>
            <w:rStyle w:val="Hyperlink"/>
            <w:rFonts w:ascii="Arial" w:hAnsi="Arial" w:cs="Arial"/>
          </w:rPr>
          <w:t>Waiting times for children and young people with an eating disorder | Nuffield Trust</w:t>
        </w:r>
      </w:hyperlink>
      <w:r w:rsidRPr="003250C8">
        <w:rPr>
          <w:rFonts w:ascii="Arial" w:hAnsi="Arial" w:cs="Arial"/>
        </w:rPr>
        <w:t xml:space="preserve"> (Accessed: 22 November 2025).</w:t>
      </w:r>
    </w:p>
    <w:p w14:paraId="5DEB9EC3" w14:textId="539D804E" w:rsidR="003250C8" w:rsidRDefault="003250C8" w:rsidP="003250C8">
      <w:pPr>
        <w:spacing w:line="360" w:lineRule="auto"/>
        <w:rPr>
          <w:rFonts w:ascii="Arial" w:hAnsi="Arial" w:cs="Arial"/>
        </w:rPr>
      </w:pPr>
      <w:r w:rsidRPr="003250C8">
        <w:rPr>
          <w:rFonts w:ascii="Arial" w:hAnsi="Arial" w:cs="Arial"/>
        </w:rPr>
        <w:t>ONS (2020)</w:t>
      </w:r>
      <w:r w:rsidR="00E7184C">
        <w:rPr>
          <w:rFonts w:ascii="Arial" w:hAnsi="Arial" w:cs="Arial"/>
        </w:rPr>
        <w:t xml:space="preserve"> </w:t>
      </w:r>
      <w:r w:rsidRPr="003250C8">
        <w:rPr>
          <w:rFonts w:ascii="Arial" w:hAnsi="Arial" w:cs="Arial"/>
          <w:i/>
          <w:iCs/>
        </w:rPr>
        <w:t>Suicide and eating disorders: mortality statistics in England and Wales</w:t>
      </w:r>
      <w:r w:rsidRPr="003250C8">
        <w:rPr>
          <w:rFonts w:ascii="Arial" w:hAnsi="Arial" w:cs="Arial"/>
        </w:rPr>
        <w:t xml:space="preserve">. Office for National Statistics. Available at: </w:t>
      </w:r>
      <w:hyperlink r:id="rId19" w:history="1">
        <w:r w:rsidR="00E7184C" w:rsidRPr="003250C8">
          <w:rPr>
            <w:rStyle w:val="Hyperlink"/>
            <w:rFonts w:ascii="Arial" w:hAnsi="Arial" w:cs="Arial"/>
          </w:rPr>
          <w:t>https://www.ons.gov.uk</w:t>
        </w:r>
      </w:hyperlink>
      <w:r w:rsidR="00E7184C">
        <w:rPr>
          <w:rFonts w:ascii="Arial" w:hAnsi="Arial" w:cs="Arial"/>
        </w:rPr>
        <w:t xml:space="preserve"> </w:t>
      </w:r>
      <w:r w:rsidRPr="003250C8">
        <w:rPr>
          <w:rFonts w:ascii="Arial" w:hAnsi="Arial" w:cs="Arial"/>
        </w:rPr>
        <w:t>(Accessed: 23 November 2025).</w:t>
      </w:r>
    </w:p>
    <w:p w14:paraId="5F16CA32" w14:textId="5C5010D8" w:rsidR="00D62770" w:rsidRPr="003250C8" w:rsidRDefault="00D62770" w:rsidP="003250C8">
      <w:pPr>
        <w:spacing w:line="360" w:lineRule="auto"/>
        <w:rPr>
          <w:rFonts w:ascii="Arial" w:hAnsi="Arial" w:cs="Arial"/>
        </w:rPr>
      </w:pPr>
      <w:r>
        <w:rPr>
          <w:rFonts w:ascii="Arial" w:hAnsi="Arial" w:cs="Arial"/>
        </w:rPr>
        <w:t xml:space="preserve">Priory (2025) </w:t>
      </w:r>
      <w:r>
        <w:rPr>
          <w:rFonts w:ascii="Arial" w:hAnsi="Arial" w:cs="Arial"/>
          <w:i/>
          <w:iCs/>
        </w:rPr>
        <w:t xml:space="preserve">Eating disorder statistics. </w:t>
      </w:r>
      <w:r>
        <w:rPr>
          <w:rFonts w:ascii="Arial" w:hAnsi="Arial" w:cs="Arial"/>
        </w:rPr>
        <w:t xml:space="preserve">Available at: </w:t>
      </w:r>
      <w:hyperlink r:id="rId20" w:history="1">
        <w:r w:rsidRPr="00D62770">
          <w:rPr>
            <w:rStyle w:val="Hyperlink"/>
            <w:rFonts w:ascii="Arial" w:hAnsi="Arial" w:cs="Arial"/>
          </w:rPr>
          <w:t>Eating disorder statistics UK 2025 - Priory</w:t>
        </w:r>
      </w:hyperlink>
      <w:r>
        <w:rPr>
          <w:rFonts w:ascii="Arial" w:hAnsi="Arial" w:cs="Arial"/>
        </w:rPr>
        <w:t xml:space="preserve"> (Accessed: 16 November 2025). </w:t>
      </w:r>
    </w:p>
    <w:p w14:paraId="4D0B0E03" w14:textId="06A30683" w:rsidR="003250C8" w:rsidRPr="003250C8" w:rsidRDefault="003250C8" w:rsidP="003250C8">
      <w:pPr>
        <w:spacing w:line="360" w:lineRule="auto"/>
        <w:rPr>
          <w:rFonts w:ascii="Arial" w:hAnsi="Arial" w:cs="Arial"/>
        </w:rPr>
      </w:pPr>
      <w:r w:rsidRPr="003250C8">
        <w:rPr>
          <w:rFonts w:ascii="Arial" w:hAnsi="Arial" w:cs="Arial"/>
        </w:rPr>
        <w:t xml:space="preserve">Royal College of Psychiatrists (RCPsych) (2025) </w:t>
      </w:r>
      <w:r w:rsidRPr="003250C8">
        <w:rPr>
          <w:rFonts w:ascii="Arial" w:hAnsi="Arial" w:cs="Arial"/>
          <w:i/>
          <w:iCs/>
        </w:rPr>
        <w:t>State of eating disorder services in the UK</w:t>
      </w:r>
      <w:r w:rsidRPr="003250C8">
        <w:rPr>
          <w:rFonts w:ascii="Arial" w:hAnsi="Arial" w:cs="Arial"/>
        </w:rPr>
        <w:t>. London: RCPsych.</w:t>
      </w:r>
    </w:p>
    <w:p w14:paraId="3C2554EB" w14:textId="373D937A" w:rsidR="003250C8" w:rsidRPr="003250C8" w:rsidRDefault="003250C8" w:rsidP="003250C8">
      <w:pPr>
        <w:spacing w:line="360" w:lineRule="auto"/>
        <w:rPr>
          <w:rFonts w:ascii="Arial" w:hAnsi="Arial" w:cs="Arial"/>
        </w:rPr>
      </w:pPr>
      <w:r w:rsidRPr="003250C8">
        <w:rPr>
          <w:rFonts w:ascii="Arial" w:hAnsi="Arial" w:cs="Arial"/>
        </w:rPr>
        <w:t xml:space="preserve">Rethink Mental Illness (2025) </w:t>
      </w:r>
      <w:r w:rsidRPr="003250C8">
        <w:rPr>
          <w:rFonts w:ascii="Arial" w:hAnsi="Arial" w:cs="Arial"/>
          <w:i/>
          <w:iCs/>
        </w:rPr>
        <w:t>Community support and advocacy for eating disorders</w:t>
      </w:r>
      <w:r w:rsidRPr="003250C8">
        <w:rPr>
          <w:rFonts w:ascii="Arial" w:hAnsi="Arial" w:cs="Arial"/>
        </w:rPr>
        <w:t xml:space="preserve">. Available at: </w:t>
      </w:r>
      <w:hyperlink r:id="rId21" w:history="1">
        <w:r w:rsidR="00D62770" w:rsidRPr="003250C8">
          <w:rPr>
            <w:rStyle w:val="Hyperlink"/>
            <w:rFonts w:ascii="Arial" w:hAnsi="Arial" w:cs="Arial"/>
          </w:rPr>
          <w:t>https://www.rethink.org</w:t>
        </w:r>
      </w:hyperlink>
      <w:r w:rsidR="00D62770">
        <w:rPr>
          <w:rFonts w:ascii="Arial" w:hAnsi="Arial" w:cs="Arial"/>
        </w:rPr>
        <w:t xml:space="preserve"> </w:t>
      </w:r>
      <w:r w:rsidRPr="003250C8">
        <w:rPr>
          <w:rFonts w:ascii="Arial" w:hAnsi="Arial" w:cs="Arial"/>
        </w:rPr>
        <w:t>(Accessed: 20 November 2025).</w:t>
      </w:r>
    </w:p>
    <w:p w14:paraId="7F378E50" w14:textId="504F7886" w:rsidR="003250C8" w:rsidRPr="003250C8" w:rsidRDefault="003250C8" w:rsidP="003250C8">
      <w:pPr>
        <w:spacing w:line="360" w:lineRule="auto"/>
        <w:rPr>
          <w:rFonts w:ascii="Arial" w:hAnsi="Arial" w:cs="Arial"/>
        </w:rPr>
      </w:pPr>
      <w:r w:rsidRPr="003250C8">
        <w:rPr>
          <w:rFonts w:ascii="Arial" w:hAnsi="Arial" w:cs="Arial"/>
        </w:rPr>
        <w:t xml:space="preserve">World Health Organization (WHO) (2019) </w:t>
      </w:r>
      <w:r w:rsidRPr="003250C8">
        <w:rPr>
          <w:rFonts w:ascii="Arial" w:hAnsi="Arial" w:cs="Arial"/>
          <w:i/>
          <w:iCs/>
        </w:rPr>
        <w:t>International Classification of Diseases 11th Revision (ICD</w:t>
      </w:r>
      <w:r w:rsidRPr="003250C8">
        <w:rPr>
          <w:rFonts w:ascii="Arial" w:hAnsi="Arial" w:cs="Arial"/>
          <w:i/>
          <w:iCs/>
        </w:rPr>
        <w:noBreakHyphen/>
        <w:t>11): Feeding and Eating Disorders</w:t>
      </w:r>
      <w:r w:rsidRPr="003250C8">
        <w:rPr>
          <w:rFonts w:ascii="Arial" w:hAnsi="Arial" w:cs="Arial"/>
        </w:rPr>
        <w:t xml:space="preserve">. World Health Organization. Available at: </w:t>
      </w:r>
      <w:hyperlink r:id="rId22" w:anchor="1412387537" w:history="1">
        <w:r w:rsidRPr="003250C8">
          <w:rPr>
            <w:rStyle w:val="Hyperlink"/>
            <w:rFonts w:ascii="Arial" w:hAnsi="Arial" w:cs="Arial"/>
          </w:rPr>
          <w:t>ICD-11 for Mortality and Morbidity Statistics</w:t>
        </w:r>
      </w:hyperlink>
      <w:r w:rsidRPr="003250C8">
        <w:rPr>
          <w:rFonts w:ascii="Arial" w:hAnsi="Arial" w:cs="Arial"/>
        </w:rPr>
        <w:t xml:space="preserve"> (Accessed: 01 November 2025).</w:t>
      </w:r>
    </w:p>
    <w:p w14:paraId="531DE7EF" w14:textId="77777777" w:rsidR="003250C8" w:rsidRPr="003250C8" w:rsidRDefault="003250C8" w:rsidP="00E4388A">
      <w:pPr>
        <w:spacing w:line="360" w:lineRule="auto"/>
        <w:rPr>
          <w:rFonts w:ascii="Arial" w:hAnsi="Arial" w:cs="Arial"/>
        </w:rPr>
      </w:pPr>
    </w:p>
    <w:p w14:paraId="064A59F1" w14:textId="77777777" w:rsidR="006F61F8" w:rsidRPr="00E4388A" w:rsidRDefault="006F61F8" w:rsidP="00E4388A">
      <w:pPr>
        <w:spacing w:line="360" w:lineRule="auto"/>
        <w:rPr>
          <w:rFonts w:ascii="Arial" w:hAnsi="Arial" w:cs="Arial"/>
          <w:b/>
          <w:bCs/>
        </w:rPr>
      </w:pPr>
    </w:p>
    <w:sectPr w:rsidR="006F61F8" w:rsidRPr="00E4388A">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B1117" w14:textId="77777777" w:rsidR="000F5F78" w:rsidRDefault="000F5F78" w:rsidP="00EB1AB0">
      <w:pPr>
        <w:spacing w:after="0" w:line="240" w:lineRule="auto"/>
      </w:pPr>
      <w:r>
        <w:separator/>
      </w:r>
    </w:p>
  </w:endnote>
  <w:endnote w:type="continuationSeparator" w:id="0">
    <w:p w14:paraId="6094355F" w14:textId="77777777" w:rsidR="000F5F78" w:rsidRDefault="000F5F78" w:rsidP="00EB1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2CB73E" w14:textId="77777777" w:rsidR="00EB1AB0" w:rsidRDefault="00EB1A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55C30" w14:textId="77777777" w:rsidR="00EB1AB0" w:rsidRDefault="00EB1A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D2891" w14:textId="77777777" w:rsidR="00EB1AB0" w:rsidRDefault="00EB1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06CAC" w14:textId="77777777" w:rsidR="000F5F78" w:rsidRDefault="000F5F78" w:rsidP="00EB1AB0">
      <w:pPr>
        <w:spacing w:after="0" w:line="240" w:lineRule="auto"/>
      </w:pPr>
      <w:r>
        <w:separator/>
      </w:r>
    </w:p>
  </w:footnote>
  <w:footnote w:type="continuationSeparator" w:id="0">
    <w:p w14:paraId="4A2BA516" w14:textId="77777777" w:rsidR="000F5F78" w:rsidRDefault="000F5F78" w:rsidP="00EB1A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CB5EB" w14:textId="77777777" w:rsidR="00EB1AB0" w:rsidRDefault="00EB1A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6724875"/>
      <w:docPartObj>
        <w:docPartGallery w:val="Page Numbers (Top of Page)"/>
        <w:docPartUnique/>
      </w:docPartObj>
    </w:sdtPr>
    <w:sdtContent>
      <w:p w14:paraId="5CAA25F4" w14:textId="2E58B2F5" w:rsidR="00EB1AB0" w:rsidRDefault="00EB1AB0">
        <w:pPr>
          <w:pStyle w:val="Header"/>
        </w:pPr>
        <w:r>
          <w:fldChar w:fldCharType="begin"/>
        </w:r>
        <w:r>
          <w:instrText>PAGE   \* MERGEFORMAT</w:instrText>
        </w:r>
        <w:r>
          <w:fldChar w:fldCharType="separate"/>
        </w:r>
        <w:r>
          <w:t>2</w:t>
        </w:r>
        <w:r>
          <w:fldChar w:fldCharType="end"/>
        </w:r>
      </w:p>
    </w:sdtContent>
  </w:sdt>
  <w:p w14:paraId="4AE1BD1E" w14:textId="77777777" w:rsidR="00EB1AB0" w:rsidRDefault="00EB1AB0" w:rsidP="00AF0554">
    <w:pPr>
      <w:pStyle w:val="Header"/>
      <w:spacing w:line="360"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90971" w14:textId="77777777" w:rsidR="00EB1AB0" w:rsidRDefault="00EB1A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0417B"/>
    <w:multiLevelType w:val="multilevel"/>
    <w:tmpl w:val="96E2D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412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88A"/>
    <w:rsid w:val="00063176"/>
    <w:rsid w:val="000F5F78"/>
    <w:rsid w:val="0013705D"/>
    <w:rsid w:val="00153D30"/>
    <w:rsid w:val="001C46A5"/>
    <w:rsid w:val="00224309"/>
    <w:rsid w:val="00250428"/>
    <w:rsid w:val="002E1EE0"/>
    <w:rsid w:val="00324457"/>
    <w:rsid w:val="003250C8"/>
    <w:rsid w:val="00332276"/>
    <w:rsid w:val="003603BB"/>
    <w:rsid w:val="003A740D"/>
    <w:rsid w:val="003C6CB0"/>
    <w:rsid w:val="00414239"/>
    <w:rsid w:val="00436366"/>
    <w:rsid w:val="00563A89"/>
    <w:rsid w:val="005861B4"/>
    <w:rsid w:val="005D41B0"/>
    <w:rsid w:val="005F157C"/>
    <w:rsid w:val="00672AE0"/>
    <w:rsid w:val="006E7ECB"/>
    <w:rsid w:val="006F61F8"/>
    <w:rsid w:val="00747021"/>
    <w:rsid w:val="007F592B"/>
    <w:rsid w:val="00807E69"/>
    <w:rsid w:val="008515B3"/>
    <w:rsid w:val="00871078"/>
    <w:rsid w:val="00912321"/>
    <w:rsid w:val="0093735A"/>
    <w:rsid w:val="009A5371"/>
    <w:rsid w:val="00A212A2"/>
    <w:rsid w:val="00AE63E2"/>
    <w:rsid w:val="00AF0554"/>
    <w:rsid w:val="00BA6511"/>
    <w:rsid w:val="00BF3732"/>
    <w:rsid w:val="00C50A87"/>
    <w:rsid w:val="00C76667"/>
    <w:rsid w:val="00C94720"/>
    <w:rsid w:val="00C94872"/>
    <w:rsid w:val="00C96BE0"/>
    <w:rsid w:val="00CA32E4"/>
    <w:rsid w:val="00D62770"/>
    <w:rsid w:val="00D675BA"/>
    <w:rsid w:val="00E4388A"/>
    <w:rsid w:val="00E4634C"/>
    <w:rsid w:val="00E503FC"/>
    <w:rsid w:val="00E54ABC"/>
    <w:rsid w:val="00E7184C"/>
    <w:rsid w:val="00E87763"/>
    <w:rsid w:val="00EB1AB0"/>
    <w:rsid w:val="00EE6F78"/>
    <w:rsid w:val="00F1382A"/>
    <w:rsid w:val="00F65910"/>
    <w:rsid w:val="00FD45B4"/>
    <w:rsid w:val="00FE2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2AADD"/>
  <w15:chartTrackingRefBased/>
  <w15:docId w15:val="{35789079-0A73-4FCC-9829-E0088CDBF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8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38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438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38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38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38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8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8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8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8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38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438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38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38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38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8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8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88A"/>
    <w:rPr>
      <w:rFonts w:eastAsiaTheme="majorEastAsia" w:cstheme="majorBidi"/>
      <w:color w:val="272727" w:themeColor="text1" w:themeTint="D8"/>
    </w:rPr>
  </w:style>
  <w:style w:type="paragraph" w:styleId="Title">
    <w:name w:val="Title"/>
    <w:basedOn w:val="Normal"/>
    <w:next w:val="Normal"/>
    <w:link w:val="TitleChar"/>
    <w:uiPriority w:val="10"/>
    <w:qFormat/>
    <w:rsid w:val="00E438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8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8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8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88A"/>
    <w:pPr>
      <w:spacing w:before="160"/>
      <w:jc w:val="center"/>
    </w:pPr>
    <w:rPr>
      <w:i/>
      <w:iCs/>
      <w:color w:val="404040" w:themeColor="text1" w:themeTint="BF"/>
    </w:rPr>
  </w:style>
  <w:style w:type="character" w:customStyle="1" w:styleId="QuoteChar">
    <w:name w:val="Quote Char"/>
    <w:basedOn w:val="DefaultParagraphFont"/>
    <w:link w:val="Quote"/>
    <w:uiPriority w:val="29"/>
    <w:rsid w:val="00E4388A"/>
    <w:rPr>
      <w:i/>
      <w:iCs/>
      <w:color w:val="404040" w:themeColor="text1" w:themeTint="BF"/>
    </w:rPr>
  </w:style>
  <w:style w:type="paragraph" w:styleId="ListParagraph">
    <w:name w:val="List Paragraph"/>
    <w:basedOn w:val="Normal"/>
    <w:uiPriority w:val="34"/>
    <w:qFormat/>
    <w:rsid w:val="00E4388A"/>
    <w:pPr>
      <w:ind w:left="720"/>
      <w:contextualSpacing/>
    </w:pPr>
  </w:style>
  <w:style w:type="character" w:styleId="IntenseEmphasis">
    <w:name w:val="Intense Emphasis"/>
    <w:basedOn w:val="DefaultParagraphFont"/>
    <w:uiPriority w:val="21"/>
    <w:qFormat/>
    <w:rsid w:val="00E4388A"/>
    <w:rPr>
      <w:i/>
      <w:iCs/>
      <w:color w:val="2F5496" w:themeColor="accent1" w:themeShade="BF"/>
    </w:rPr>
  </w:style>
  <w:style w:type="paragraph" w:styleId="IntenseQuote">
    <w:name w:val="Intense Quote"/>
    <w:basedOn w:val="Normal"/>
    <w:next w:val="Normal"/>
    <w:link w:val="IntenseQuoteChar"/>
    <w:uiPriority w:val="30"/>
    <w:qFormat/>
    <w:rsid w:val="00E438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388A"/>
    <w:rPr>
      <w:i/>
      <w:iCs/>
      <w:color w:val="2F5496" w:themeColor="accent1" w:themeShade="BF"/>
    </w:rPr>
  </w:style>
  <w:style w:type="character" w:styleId="IntenseReference">
    <w:name w:val="Intense Reference"/>
    <w:basedOn w:val="DefaultParagraphFont"/>
    <w:uiPriority w:val="32"/>
    <w:qFormat/>
    <w:rsid w:val="00E4388A"/>
    <w:rPr>
      <w:b/>
      <w:bCs/>
      <w:smallCaps/>
      <w:color w:val="2F5496" w:themeColor="accent1" w:themeShade="BF"/>
      <w:spacing w:val="5"/>
    </w:rPr>
  </w:style>
  <w:style w:type="table" w:styleId="TableGrid">
    <w:name w:val="Table Grid"/>
    <w:basedOn w:val="TableNormal"/>
    <w:uiPriority w:val="39"/>
    <w:rsid w:val="00E438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50C8"/>
    <w:rPr>
      <w:color w:val="0563C1" w:themeColor="hyperlink"/>
      <w:u w:val="single"/>
    </w:rPr>
  </w:style>
  <w:style w:type="character" w:styleId="UnresolvedMention">
    <w:name w:val="Unresolved Mention"/>
    <w:basedOn w:val="DefaultParagraphFont"/>
    <w:uiPriority w:val="99"/>
    <w:semiHidden/>
    <w:unhideWhenUsed/>
    <w:rsid w:val="003250C8"/>
    <w:rPr>
      <w:color w:val="605E5C"/>
      <w:shd w:val="clear" w:color="auto" w:fill="E1DFDD"/>
    </w:rPr>
  </w:style>
  <w:style w:type="paragraph" w:styleId="Header">
    <w:name w:val="header"/>
    <w:basedOn w:val="Normal"/>
    <w:link w:val="HeaderChar"/>
    <w:uiPriority w:val="99"/>
    <w:unhideWhenUsed/>
    <w:rsid w:val="00EB1A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AB0"/>
  </w:style>
  <w:style w:type="paragraph" w:styleId="Footer">
    <w:name w:val="footer"/>
    <w:basedOn w:val="Normal"/>
    <w:link w:val="FooterChar"/>
    <w:uiPriority w:val="99"/>
    <w:unhideWhenUsed/>
    <w:rsid w:val="00EB1A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A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reasonable-adjustments/mental-health-adjustments" TargetMode="External"/><Relationship Id="rId13" Type="http://schemas.openxmlformats.org/officeDocument/2006/relationships/hyperlink" Target="https://researchbriefings.files.parliament.uk/documents/CDP-2024-0045/CDP-2024-0045.pdf" TargetMode="External"/><Relationship Id="rId18" Type="http://schemas.openxmlformats.org/officeDocument/2006/relationships/hyperlink" Target="https://www.nuffieldtrust.org.uk/resource/children-and-young-people-with-an-eating-disorder-waiting-times?gad_source=1&amp;gad_campaignid=1028694609&amp;gbraid=0AAAAADwbFHrpbp1yUrwGIwyFQf42deOe2&amp;gclid=CjwKCAiA_orJBhBNEiwABkdmjO5HOX3qzI3evzB3r6ptSfT9XyKEhykdfO2vxP1iFxb4nFhPaBb-hBoCup8QAvD_Bw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rethink.org" TargetMode="External"/><Relationship Id="rId7" Type="http://schemas.openxmlformats.org/officeDocument/2006/relationships/image" Target="media/image1.png"/><Relationship Id="rId12" Type="http://schemas.openxmlformats.org/officeDocument/2006/relationships/hyperlink" Target="https://www.gov.uk" TargetMode="External"/><Relationship Id="rId17" Type="http://schemas.openxmlformats.org/officeDocument/2006/relationships/hyperlink" Target="https://www.nice.org.uk/guidance/ng69/resources/2024-exceptional-surveillance-of-eating-disorders-recognition-and-treatment-nice-guideline-ng69-pdf-17401629609925"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ice.org.uk/guidance/ng69" TargetMode="External"/><Relationship Id="rId20" Type="http://schemas.openxmlformats.org/officeDocument/2006/relationships/hyperlink" Target="https://www.priorygroup.com/eating-disorders/eating-disorder-statistic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commissioner.gov.uk/blog/young-people-with-eating-disorders-in-england-on-the-rise/"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england.nhs.uk/wp-content/uploads/2019/08/aed-guidance.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beateatingdisorders.org.uk" TargetMode="External"/><Relationship Id="rId19"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hyperlink" Target="https://www.beateatingdisorders.org.uk" TargetMode="External"/><Relationship Id="rId14" Type="http://schemas.openxmlformats.org/officeDocument/2006/relationships/hyperlink" Target="https://digital.nhs.uk/data-and-information/publications/statistical/mental-health-of-children-and-young-people-in-england/2023-wave-4-follow-up/part-5-eating-problems-and-disorders" TargetMode="External"/><Relationship Id="rId22" Type="http://schemas.openxmlformats.org/officeDocument/2006/relationships/hyperlink" Target="https://icd.who.int/browse/2024-01/mms/en"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3383</Words>
  <Characters>19288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Khanom</dc:creator>
  <cp:keywords/>
  <dc:description/>
  <cp:lastModifiedBy>Razia Khanom</cp:lastModifiedBy>
  <cp:revision>2</cp:revision>
  <dcterms:created xsi:type="dcterms:W3CDTF">2025-11-24T11:16:00Z</dcterms:created>
  <dcterms:modified xsi:type="dcterms:W3CDTF">2025-11-24T11:16:00Z</dcterms:modified>
</cp:coreProperties>
</file>