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40D" w:rsidRDefault="00867D1D" w:rsidP="00867D1D">
      <w:pPr>
        <w:pStyle w:val="Heading1"/>
        <w:jc w:val="center"/>
      </w:pPr>
      <w:r>
        <w:t>Project Proposal</w:t>
      </w:r>
    </w:p>
    <w:p w:rsidR="00963205" w:rsidRDefault="00963205" w:rsidP="00963205"/>
    <w:p w:rsidR="00EE455C" w:rsidRPr="002D61C2" w:rsidRDefault="002D61C2" w:rsidP="002D61C2">
      <w:pPr>
        <w:pStyle w:val="Heading2"/>
        <w:jc w:val="center"/>
        <w:rPr>
          <w:u w:val="single"/>
        </w:rPr>
      </w:pPr>
      <w:r w:rsidRPr="002D61C2">
        <w:rPr>
          <w:u w:val="single"/>
        </w:rPr>
        <w:t>Can the variations in weather affect the real time Noise results against Modelled predictions?</w:t>
      </w:r>
    </w:p>
    <w:p w:rsidR="00EE455C" w:rsidRDefault="00EE455C" w:rsidP="00963205"/>
    <w:p w:rsidR="00045265" w:rsidRDefault="00045265" w:rsidP="00045265">
      <w:pPr>
        <w:pStyle w:val="Heading2"/>
        <w:rPr>
          <w:u w:val="single"/>
        </w:rPr>
      </w:pPr>
      <w:r>
        <w:rPr>
          <w:u w:val="single"/>
        </w:rPr>
        <w:t>Introduction</w:t>
      </w:r>
    </w:p>
    <w:p w:rsidR="00045265" w:rsidRDefault="00045265" w:rsidP="00045265">
      <w:r>
        <w:t>The aim of this project is to compare recorded results from sensors placed at various points around the range boundary with the predictions from the Met office at Larkhill. The current predictions are calculated at 2 metres above ground level, however a large proportion of the firings carried out on the range during trials are at a height of up to 1 metre above ground, ground level or buried.</w:t>
      </w:r>
      <w:r>
        <w:t xml:space="preserve"> </w:t>
      </w:r>
    </w:p>
    <w:p w:rsidR="00045265" w:rsidRDefault="00045265" w:rsidP="00045265">
      <w:r>
        <w:t>The current Monet formula is unable to process predictions for buried charges so there will be no Modelled data to run a comparison against for the data obtained from the sensors placed around the Range.</w:t>
      </w:r>
    </w:p>
    <w:p w:rsidR="00045265" w:rsidRDefault="00045265" w:rsidP="00045265">
      <w:r>
        <w:t>Met office weather forecast will be obtained for the firing days this will enable a comparison of data to be carried out to see if there is any variables due to the weather conditions.</w:t>
      </w:r>
    </w:p>
    <w:p w:rsidR="00045265" w:rsidRDefault="00045265" w:rsidP="00963205"/>
    <w:p w:rsidR="0058740F" w:rsidRDefault="0058740F" w:rsidP="0058740F">
      <w:pPr>
        <w:pStyle w:val="Heading2"/>
        <w:rPr>
          <w:u w:val="single"/>
        </w:rPr>
      </w:pPr>
      <w:r w:rsidRPr="00867D1D">
        <w:rPr>
          <w:u w:val="single"/>
        </w:rPr>
        <w:t>Background</w:t>
      </w:r>
      <w:r w:rsidR="002D61C2">
        <w:rPr>
          <w:u w:val="single"/>
        </w:rPr>
        <w:t xml:space="preserve"> Research/literature review.</w:t>
      </w:r>
    </w:p>
    <w:p w:rsidR="002D61C2" w:rsidRDefault="002D61C2" w:rsidP="002D61C2">
      <w:pPr>
        <w:spacing w:after="0" w:line="240" w:lineRule="auto"/>
        <w:jc w:val="both"/>
      </w:pPr>
    </w:p>
    <w:p w:rsidR="00C0120B" w:rsidRPr="00C0120B" w:rsidRDefault="00C0120B" w:rsidP="00FE462B">
      <w:pPr>
        <w:pStyle w:val="Heading3"/>
        <w:spacing w:before="0"/>
        <w:jc w:val="both"/>
        <w:rPr>
          <w:rFonts w:asciiTheme="minorHAnsi" w:hAnsiTheme="minorHAnsi" w:cstheme="minorHAnsi"/>
          <w:color w:val="auto"/>
          <w:sz w:val="22"/>
          <w:szCs w:val="22"/>
        </w:rPr>
      </w:pPr>
      <w:r w:rsidRPr="00C0120B">
        <w:rPr>
          <w:rFonts w:asciiTheme="minorHAnsi" w:hAnsiTheme="minorHAnsi" w:cstheme="minorHAnsi"/>
          <w:color w:val="auto"/>
          <w:sz w:val="22"/>
          <w:szCs w:val="22"/>
        </w:rPr>
        <w:t>Representations from local Parish Councils and occasional complaints from members of the public have highlighted concerns over noise.  For this reason it has been decided that explosive firings on Porton Down Range will be restricted if there is a possibility that annoyance or structural damage could be caused.</w:t>
      </w:r>
    </w:p>
    <w:p w:rsidR="00C0120B" w:rsidRPr="00C0120B" w:rsidRDefault="00C0120B" w:rsidP="00FE462B">
      <w:pPr>
        <w:pStyle w:val="Heading3"/>
        <w:spacing w:before="0"/>
        <w:ind w:left="709"/>
        <w:jc w:val="both"/>
        <w:rPr>
          <w:rFonts w:asciiTheme="minorHAnsi" w:hAnsiTheme="minorHAnsi" w:cstheme="minorHAnsi"/>
          <w:color w:val="auto"/>
          <w:sz w:val="22"/>
          <w:szCs w:val="22"/>
        </w:rPr>
      </w:pPr>
      <w:r w:rsidRPr="00C0120B">
        <w:rPr>
          <w:rFonts w:asciiTheme="minorHAnsi" w:hAnsiTheme="minorHAnsi" w:cstheme="minorHAnsi"/>
          <w:color w:val="auto"/>
          <w:sz w:val="22"/>
          <w:szCs w:val="22"/>
        </w:rPr>
        <w:t xml:space="preserve">  </w:t>
      </w:r>
    </w:p>
    <w:p w:rsidR="00C0120B" w:rsidRPr="00C0120B" w:rsidRDefault="00C0120B" w:rsidP="00FE462B">
      <w:pPr>
        <w:pStyle w:val="Text1"/>
        <w:tabs>
          <w:tab w:val="clear" w:pos="851"/>
        </w:tabs>
        <w:spacing w:after="0"/>
        <w:ind w:left="0"/>
        <w:rPr>
          <w:rFonts w:asciiTheme="minorHAnsi" w:hAnsiTheme="minorHAnsi" w:cstheme="minorHAnsi"/>
          <w:sz w:val="22"/>
          <w:szCs w:val="22"/>
        </w:rPr>
      </w:pPr>
      <w:r w:rsidRPr="00C0120B">
        <w:rPr>
          <w:rFonts w:asciiTheme="minorHAnsi" w:hAnsiTheme="minorHAnsi" w:cstheme="minorHAnsi"/>
          <w:sz w:val="22"/>
          <w:szCs w:val="22"/>
        </w:rPr>
        <w:t xml:space="preserve">Experience at The Royal School of Artillery (RSA) Larkhill has indicated that in practice blast noise complaints were unlikely if the impulsive noise level was below 120 dB.    The Meteorological Office at Larkhill has developed a computer model to predict the probable blast noise levels at various distances from a standard explosive source.  </w:t>
      </w:r>
    </w:p>
    <w:p w:rsidR="00C0120B" w:rsidRPr="00C0120B" w:rsidRDefault="00C0120B" w:rsidP="00FE462B">
      <w:pPr>
        <w:pStyle w:val="Text1"/>
        <w:tabs>
          <w:tab w:val="clear" w:pos="851"/>
        </w:tabs>
        <w:spacing w:after="0"/>
        <w:ind w:left="709"/>
        <w:rPr>
          <w:rFonts w:asciiTheme="minorHAnsi" w:hAnsiTheme="minorHAnsi" w:cstheme="minorHAnsi"/>
          <w:sz w:val="22"/>
          <w:szCs w:val="22"/>
        </w:rPr>
      </w:pPr>
    </w:p>
    <w:p w:rsidR="00C0120B" w:rsidRPr="00C0120B" w:rsidRDefault="00C0120B" w:rsidP="00FE462B">
      <w:pPr>
        <w:pStyle w:val="Text1"/>
        <w:tabs>
          <w:tab w:val="clear" w:pos="851"/>
        </w:tabs>
        <w:spacing w:after="0"/>
        <w:ind w:left="0"/>
        <w:rPr>
          <w:rFonts w:asciiTheme="minorHAnsi" w:hAnsiTheme="minorHAnsi" w:cstheme="minorHAnsi"/>
          <w:sz w:val="22"/>
          <w:szCs w:val="22"/>
        </w:rPr>
      </w:pPr>
      <w:r w:rsidRPr="00C0120B">
        <w:rPr>
          <w:rFonts w:asciiTheme="minorHAnsi" w:hAnsiTheme="minorHAnsi" w:cstheme="minorHAnsi"/>
          <w:sz w:val="22"/>
          <w:szCs w:val="22"/>
        </w:rPr>
        <w:t>Based on this experience and modified by local operating conditions the Dstl noise prediction policy has been formulated.  By using data supplied by the Meteorological Office at Larkhill no local built-up area will be subjected to an impulsive noise level of more than 129 dB from a single explosion on Porton Range.  This is further restricted in that where the predicted blast noise level is of the order of 125 dB or more repeated firings will be curtailed to one every 20 minutes.</w:t>
      </w:r>
    </w:p>
    <w:p w:rsidR="00C0120B" w:rsidRPr="00C0120B" w:rsidRDefault="00C0120B" w:rsidP="00FE462B">
      <w:pPr>
        <w:pStyle w:val="Text1"/>
        <w:tabs>
          <w:tab w:val="clear" w:pos="851"/>
        </w:tabs>
        <w:spacing w:after="0"/>
        <w:ind w:left="709"/>
        <w:rPr>
          <w:rFonts w:asciiTheme="minorHAnsi" w:hAnsiTheme="minorHAnsi" w:cstheme="minorHAnsi"/>
          <w:sz w:val="22"/>
          <w:szCs w:val="22"/>
        </w:rPr>
      </w:pPr>
    </w:p>
    <w:p w:rsidR="00C0120B" w:rsidRPr="00C0120B" w:rsidRDefault="00C0120B" w:rsidP="00FE462B">
      <w:pPr>
        <w:pStyle w:val="Text1"/>
        <w:tabs>
          <w:tab w:val="clear" w:pos="851"/>
        </w:tabs>
        <w:spacing w:after="0"/>
        <w:ind w:left="709"/>
        <w:rPr>
          <w:rFonts w:asciiTheme="minorHAnsi" w:hAnsiTheme="minorHAnsi" w:cstheme="minorHAnsi"/>
          <w:sz w:val="22"/>
          <w:szCs w:val="22"/>
        </w:rPr>
      </w:pPr>
    </w:p>
    <w:p w:rsidR="00C0120B" w:rsidRPr="00C0120B" w:rsidRDefault="00C0120B" w:rsidP="00FE462B">
      <w:pPr>
        <w:pStyle w:val="Heading3"/>
        <w:spacing w:before="0"/>
        <w:jc w:val="both"/>
        <w:rPr>
          <w:rFonts w:asciiTheme="minorHAnsi" w:hAnsiTheme="minorHAnsi" w:cstheme="minorHAnsi"/>
          <w:color w:val="auto"/>
          <w:sz w:val="22"/>
          <w:szCs w:val="22"/>
        </w:rPr>
      </w:pPr>
      <w:r w:rsidRPr="00C0120B">
        <w:rPr>
          <w:rFonts w:asciiTheme="minorHAnsi" w:hAnsiTheme="minorHAnsi" w:cstheme="minorHAnsi"/>
          <w:color w:val="auto"/>
          <w:sz w:val="22"/>
          <w:szCs w:val="22"/>
        </w:rPr>
        <w:t>The current blast noise prediction model used by the Larkhill Meteorological Office is based on radio-sonde ascents made at Larkhill at various times through the day.  The sonde data is processed by computer and used to plot a series of isopleths of noise levels related to a standard source of 2.4 kg of PE4 explosive at a scale of 1:10 000.  Copies of this diagram are sent to Porton Down Range and are available at 0800, 1000, 1200 and 1400 hours each day with each prediction being valid for the two hour period following the given times.</w:t>
      </w:r>
    </w:p>
    <w:p w:rsidR="00C0120B" w:rsidRPr="00C0120B" w:rsidRDefault="00C0120B" w:rsidP="00FE462B">
      <w:pPr>
        <w:pStyle w:val="Text1"/>
        <w:tabs>
          <w:tab w:val="clear" w:pos="851"/>
        </w:tabs>
        <w:spacing w:after="0"/>
        <w:ind w:left="709"/>
        <w:rPr>
          <w:rFonts w:asciiTheme="minorHAnsi" w:hAnsiTheme="minorHAnsi" w:cstheme="minorHAnsi"/>
          <w:sz w:val="22"/>
          <w:szCs w:val="22"/>
        </w:rPr>
      </w:pPr>
      <w:bookmarkStart w:id="0" w:name="_GoBack"/>
      <w:bookmarkEnd w:id="0"/>
    </w:p>
    <w:p w:rsidR="00C0120B" w:rsidRPr="00C0120B" w:rsidRDefault="00C0120B" w:rsidP="00FE462B">
      <w:pPr>
        <w:pStyle w:val="Text1"/>
        <w:tabs>
          <w:tab w:val="clear" w:pos="851"/>
        </w:tabs>
        <w:spacing w:after="0"/>
        <w:ind w:left="0"/>
        <w:rPr>
          <w:rFonts w:asciiTheme="minorHAnsi" w:hAnsiTheme="minorHAnsi" w:cstheme="minorHAnsi"/>
          <w:sz w:val="22"/>
          <w:szCs w:val="22"/>
        </w:rPr>
      </w:pPr>
      <w:r w:rsidRPr="00C0120B">
        <w:rPr>
          <w:rFonts w:asciiTheme="minorHAnsi" w:hAnsiTheme="minorHAnsi" w:cstheme="minorHAnsi"/>
          <w:sz w:val="22"/>
          <w:szCs w:val="22"/>
        </w:rPr>
        <w:t xml:space="preserve">No noise limits have been set for buildings within the Establishment.  If the forecasts suggest that excessive noise levels might be experienced (between 120 and 129 dB) at points within the HQ </w:t>
      </w:r>
      <w:r w:rsidRPr="00C0120B">
        <w:rPr>
          <w:rFonts w:asciiTheme="minorHAnsi" w:hAnsiTheme="minorHAnsi" w:cstheme="minorHAnsi"/>
          <w:sz w:val="22"/>
          <w:szCs w:val="22"/>
        </w:rPr>
        <w:lastRenderedPageBreak/>
        <w:t>Building, the Enclosed Area or the Farm, Range Control will ensure the electronic notice board at the main entrance to the Porton site displays Range activity.</w:t>
      </w:r>
      <w:sdt>
        <w:sdtPr>
          <w:rPr>
            <w:rFonts w:asciiTheme="minorHAnsi" w:hAnsiTheme="minorHAnsi" w:cstheme="minorHAnsi"/>
            <w:sz w:val="22"/>
            <w:szCs w:val="22"/>
          </w:rPr>
          <w:id w:val="1358226241"/>
          <w:citation/>
        </w:sdtPr>
        <w:sdtEndPr/>
        <w:sdtContent>
          <w:r w:rsidR="004315D0">
            <w:rPr>
              <w:rFonts w:asciiTheme="minorHAnsi" w:hAnsiTheme="minorHAnsi" w:cstheme="minorHAnsi"/>
              <w:sz w:val="22"/>
              <w:szCs w:val="22"/>
            </w:rPr>
            <w:fldChar w:fldCharType="begin"/>
          </w:r>
          <w:r w:rsidR="004315D0">
            <w:rPr>
              <w:rFonts w:asciiTheme="minorHAnsi" w:hAnsiTheme="minorHAnsi" w:cstheme="minorHAnsi"/>
              <w:sz w:val="22"/>
              <w:szCs w:val="22"/>
            </w:rPr>
            <w:instrText xml:space="preserve"> CITATION PGi20 \l 2057 </w:instrText>
          </w:r>
          <w:r w:rsidR="004315D0">
            <w:rPr>
              <w:rFonts w:asciiTheme="minorHAnsi" w:hAnsiTheme="minorHAnsi" w:cstheme="minorHAnsi"/>
              <w:sz w:val="22"/>
              <w:szCs w:val="22"/>
            </w:rPr>
            <w:fldChar w:fldCharType="separate"/>
          </w:r>
          <w:r w:rsidR="004315D0">
            <w:rPr>
              <w:rFonts w:asciiTheme="minorHAnsi" w:hAnsiTheme="minorHAnsi" w:cstheme="minorHAnsi"/>
              <w:sz w:val="22"/>
              <w:szCs w:val="22"/>
            </w:rPr>
            <w:t xml:space="preserve"> </w:t>
          </w:r>
          <w:r w:rsidR="004315D0" w:rsidRPr="004315D0">
            <w:rPr>
              <w:rFonts w:asciiTheme="minorHAnsi" w:hAnsiTheme="minorHAnsi" w:cstheme="minorHAnsi"/>
              <w:sz w:val="22"/>
              <w:szCs w:val="22"/>
            </w:rPr>
            <w:t>[1]</w:t>
          </w:r>
          <w:r w:rsidR="004315D0">
            <w:rPr>
              <w:rFonts w:asciiTheme="minorHAnsi" w:hAnsiTheme="minorHAnsi" w:cstheme="minorHAnsi"/>
              <w:sz w:val="22"/>
              <w:szCs w:val="22"/>
            </w:rPr>
            <w:fldChar w:fldCharType="end"/>
          </w:r>
        </w:sdtContent>
      </w:sdt>
    </w:p>
    <w:p w:rsidR="002D61C2" w:rsidRDefault="002D61C2" w:rsidP="0058740F"/>
    <w:p w:rsidR="00A53970" w:rsidRPr="00282B2B" w:rsidRDefault="003610FB" w:rsidP="00FE462B">
      <w:pPr>
        <w:rPr>
          <w:color w:val="FF0000"/>
        </w:rPr>
      </w:pPr>
      <w:r>
        <w:t xml:space="preserve">The temperature and humidity can affect sound measurements. With a fixed temperature a decrease of in humidity could reduce the sound to a listener. </w:t>
      </w:r>
      <w:r w:rsidR="00A53970" w:rsidRPr="003610FB">
        <w:t xml:space="preserve">Temperature and humidity affect </w:t>
      </w:r>
      <w:r w:rsidRPr="003610FB">
        <w:t>although</w:t>
      </w:r>
      <w:r w:rsidR="00A53970" w:rsidRPr="003610FB">
        <w:t xml:space="preserve"> humidity changes slowly, this is a factor that affects measurement repeatability.</w:t>
      </w:r>
      <w:sdt>
        <w:sdtPr>
          <w:id w:val="-88700297"/>
          <w:citation/>
        </w:sdtPr>
        <w:sdtEndPr/>
        <w:sdtContent>
          <w:r w:rsidR="00523AE4">
            <w:fldChar w:fldCharType="begin"/>
          </w:r>
          <w:r w:rsidR="00523AE4">
            <w:instrText xml:space="preserve"> CITATION OlsNA \l 2057 </w:instrText>
          </w:r>
          <w:r w:rsidR="00523AE4">
            <w:fldChar w:fldCharType="separate"/>
          </w:r>
          <w:r w:rsidR="00523AE4">
            <w:rPr>
              <w:noProof/>
            </w:rPr>
            <w:t xml:space="preserve"> </w:t>
          </w:r>
          <w:r w:rsidR="00523AE4" w:rsidRPr="00523AE4">
            <w:rPr>
              <w:noProof/>
            </w:rPr>
            <w:t>[2]</w:t>
          </w:r>
          <w:r w:rsidR="00523AE4">
            <w:fldChar w:fldCharType="end"/>
          </w:r>
        </w:sdtContent>
      </w:sdt>
    </w:p>
    <w:p w:rsidR="00A53970" w:rsidRPr="00282B2B" w:rsidRDefault="00A53970" w:rsidP="00A53970">
      <w:pPr>
        <w:ind w:left="360"/>
        <w:rPr>
          <w:color w:val="FF0000"/>
        </w:rPr>
      </w:pPr>
    </w:p>
    <w:p w:rsidR="002D61C2" w:rsidRDefault="00045265" w:rsidP="00045265">
      <w:pPr>
        <w:pStyle w:val="Heading2"/>
        <w:rPr>
          <w:u w:val="single"/>
        </w:rPr>
      </w:pPr>
      <w:r w:rsidRPr="00045265">
        <w:rPr>
          <w:u w:val="single"/>
        </w:rPr>
        <w:t>Project design</w:t>
      </w:r>
    </w:p>
    <w:p w:rsidR="00045265" w:rsidRPr="006379E7" w:rsidRDefault="00045265" w:rsidP="00045265">
      <w:r>
        <w:t>This project could be carried out alongside booked in trials for data retrieval, this enables more data to be collected and enables more data comparison due to mitigation that would be used in the trial.</w:t>
      </w:r>
    </w:p>
    <w:p w:rsidR="00045265" w:rsidRDefault="00045265" w:rsidP="00045265">
      <w:pPr>
        <w:pStyle w:val="ListParagraph"/>
        <w:numPr>
          <w:ilvl w:val="0"/>
          <w:numId w:val="4"/>
        </w:numPr>
      </w:pPr>
      <w:r>
        <w:t>Decibel Meters (Make and model TBC)</w:t>
      </w:r>
    </w:p>
    <w:p w:rsidR="00045265" w:rsidRDefault="00045265" w:rsidP="00045265">
      <w:pPr>
        <w:pStyle w:val="ListParagraph"/>
        <w:numPr>
          <w:ilvl w:val="0"/>
          <w:numId w:val="4"/>
        </w:numPr>
      </w:pPr>
      <w:r>
        <w:t xml:space="preserve">Tripods to mount Decibel readers </w:t>
      </w:r>
    </w:p>
    <w:p w:rsidR="00045265" w:rsidRDefault="00045265" w:rsidP="00045265">
      <w:pPr>
        <w:pStyle w:val="ListParagraph"/>
        <w:numPr>
          <w:ilvl w:val="0"/>
          <w:numId w:val="4"/>
        </w:numPr>
      </w:pPr>
      <w:r>
        <w:t xml:space="preserve">Met office weather data </w:t>
      </w:r>
    </w:p>
    <w:p w:rsidR="00045265" w:rsidRDefault="00045265" w:rsidP="00045265">
      <w:pPr>
        <w:pStyle w:val="ListParagraph"/>
        <w:numPr>
          <w:ilvl w:val="0"/>
          <w:numId w:val="4"/>
        </w:numPr>
      </w:pPr>
      <w:r>
        <w:t>Met office Noise model forecast</w:t>
      </w:r>
    </w:p>
    <w:p w:rsidR="00045265" w:rsidRDefault="00045265" w:rsidP="00045265">
      <w:r>
        <w:t xml:space="preserve">The data that is collected will be compared with the predicted Met office modelling to see if there are any differences between Modelling and real time data, the Met office weather data will then be analysed and compared with the real time data obtained. </w:t>
      </w:r>
    </w:p>
    <w:p w:rsidR="001E0E29" w:rsidRPr="00A53970" w:rsidRDefault="001E0E29" w:rsidP="001E0E29">
      <w:r>
        <w:t>The variables that need to be considered during the project duration, has the potential to have both positive and negative effects. These variable may have effects on the data that is recorded this could be as simple as “the wind blowing in a different direction”.</w:t>
      </w:r>
    </w:p>
    <w:p w:rsidR="001E0E29" w:rsidRDefault="001E0E29" w:rsidP="001E0E29">
      <w:pPr>
        <w:pStyle w:val="ListParagraph"/>
        <w:numPr>
          <w:ilvl w:val="0"/>
          <w:numId w:val="2"/>
        </w:numPr>
      </w:pPr>
      <w:r>
        <w:t>Temperature</w:t>
      </w:r>
    </w:p>
    <w:p w:rsidR="001E0E29" w:rsidRDefault="001E0E29" w:rsidP="001E0E29">
      <w:pPr>
        <w:pStyle w:val="ListParagraph"/>
        <w:numPr>
          <w:ilvl w:val="0"/>
          <w:numId w:val="2"/>
        </w:numPr>
      </w:pPr>
      <w:r>
        <w:t>Humidity</w:t>
      </w:r>
    </w:p>
    <w:p w:rsidR="001E0E29" w:rsidRDefault="001E0E29" w:rsidP="001E0E29">
      <w:pPr>
        <w:pStyle w:val="ListParagraph"/>
        <w:numPr>
          <w:ilvl w:val="0"/>
          <w:numId w:val="2"/>
        </w:numPr>
      </w:pPr>
      <w:r>
        <w:t>Wind</w:t>
      </w:r>
    </w:p>
    <w:p w:rsidR="001E0E29" w:rsidRDefault="001E0E29" w:rsidP="001E0E29">
      <w:pPr>
        <w:pStyle w:val="ListParagraph"/>
        <w:numPr>
          <w:ilvl w:val="0"/>
          <w:numId w:val="2"/>
        </w:numPr>
      </w:pPr>
      <w:r>
        <w:t>Surroundings (mitigation if there is a blast structure built around ground zero)</w:t>
      </w:r>
    </w:p>
    <w:p w:rsidR="001E0E29" w:rsidRDefault="001E0E29" w:rsidP="001E0E29">
      <w:pPr>
        <w:pStyle w:val="ListParagraph"/>
        <w:numPr>
          <w:ilvl w:val="0"/>
          <w:numId w:val="2"/>
        </w:numPr>
      </w:pPr>
      <w:r>
        <w:t>Overall weather</w:t>
      </w:r>
    </w:p>
    <w:p w:rsidR="001E0E29" w:rsidRDefault="001E0E29" w:rsidP="001E0E29">
      <w:pPr>
        <w:pStyle w:val="ListParagraph"/>
        <w:numPr>
          <w:ilvl w:val="0"/>
          <w:numId w:val="2"/>
        </w:numPr>
      </w:pPr>
      <w:r>
        <w:t>Measurement methods (Different brands of decibel readers)</w:t>
      </w:r>
    </w:p>
    <w:p w:rsidR="001E0E29" w:rsidRDefault="001E0E29" w:rsidP="001E0E29">
      <w:pPr>
        <w:pStyle w:val="ListParagraph"/>
        <w:numPr>
          <w:ilvl w:val="0"/>
          <w:numId w:val="2"/>
        </w:numPr>
      </w:pPr>
      <w:r>
        <w:t>Charge size</w:t>
      </w:r>
    </w:p>
    <w:p w:rsidR="001E0E29" w:rsidRDefault="001E0E29" w:rsidP="001E0E29">
      <w:pPr>
        <w:pStyle w:val="ListParagraph"/>
        <w:numPr>
          <w:ilvl w:val="0"/>
          <w:numId w:val="2"/>
        </w:numPr>
      </w:pPr>
      <w:r>
        <w:t>Locations (open area trials sites/enclosed trials sites)</w:t>
      </w:r>
    </w:p>
    <w:p w:rsidR="001E0E29" w:rsidRDefault="001E0E29" w:rsidP="001E0E29">
      <w:pPr>
        <w:pStyle w:val="ListParagraph"/>
        <w:numPr>
          <w:ilvl w:val="0"/>
          <w:numId w:val="2"/>
        </w:numPr>
      </w:pPr>
      <w:r>
        <w:t>Type of Explosive (PE vs C4)</w:t>
      </w:r>
    </w:p>
    <w:p w:rsidR="001E0E29" w:rsidRDefault="001E0E29" w:rsidP="00045265"/>
    <w:p w:rsidR="00523AE4" w:rsidRDefault="00523AE4" w:rsidP="0058740F"/>
    <w:p w:rsidR="00A53970" w:rsidRDefault="00A53970" w:rsidP="00A53970">
      <w:pPr>
        <w:pStyle w:val="ListParagraph"/>
      </w:pPr>
    </w:p>
    <w:p w:rsidR="006379E7" w:rsidRPr="006379E7" w:rsidRDefault="006379E7" w:rsidP="006379E7">
      <w:pPr>
        <w:pStyle w:val="ListParagraph"/>
      </w:pPr>
    </w:p>
    <w:p w:rsidR="00C0120B" w:rsidRPr="00C0120B" w:rsidRDefault="00C0120B" w:rsidP="00C0120B"/>
    <w:p w:rsidR="00963205" w:rsidRDefault="00963205" w:rsidP="00963205"/>
    <w:p w:rsidR="006D6F05" w:rsidRDefault="006D6F05" w:rsidP="00963205"/>
    <w:p w:rsidR="006D6F05" w:rsidRDefault="006D6F05" w:rsidP="00963205"/>
    <w:p w:rsidR="00560A04" w:rsidRPr="00834070" w:rsidRDefault="006D6F05" w:rsidP="00EE455C">
      <w:pPr>
        <w:pStyle w:val="Heading2"/>
        <w:rPr>
          <w:u w:val="single"/>
        </w:rPr>
      </w:pPr>
      <w:r>
        <w:rPr>
          <w:u w:val="single"/>
        </w:rPr>
        <w:t>Resources/Planning</w:t>
      </w:r>
    </w:p>
    <w:p w:rsidR="00A53970" w:rsidRDefault="00A53970" w:rsidP="00560A04"/>
    <w:p w:rsidR="00BE6D5B" w:rsidRDefault="00BE6D5B" w:rsidP="00560A04">
      <w:r>
        <w:lastRenderedPageBreak/>
        <w:t xml:space="preserve">The costing for the project is reduced to only the author’s time to carry out data retrieval. This is due to the author being able to run the project alongside scheduled work that is currently planned on the Range.  </w:t>
      </w:r>
    </w:p>
    <w:p w:rsidR="006D6F05" w:rsidRPr="006D6F05" w:rsidRDefault="006D6F05" w:rsidP="00560A04">
      <w:pPr>
        <w:rPr>
          <w:u w:val="single"/>
        </w:rPr>
      </w:pPr>
      <w:r w:rsidRPr="006D6F05">
        <w:rPr>
          <w:u w:val="single"/>
        </w:rPr>
        <w:t>Gantt chart</w:t>
      </w:r>
    </w:p>
    <w:p w:rsidR="006D6F05" w:rsidRDefault="00BE6D5B" w:rsidP="00560A04">
      <w:r>
        <w:rPr>
          <w:noProof/>
          <w:lang w:eastAsia="en-GB"/>
        </w:rPr>
        <w:drawing>
          <wp:inline distT="0" distB="0" distL="0" distR="0" wp14:anchorId="28231A11" wp14:editId="293AEA4C">
            <wp:extent cx="5845175" cy="3727048"/>
            <wp:effectExtent l="0" t="0" r="317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1104" t="24060" r="14575" b="46143"/>
                    <a:stretch/>
                  </pic:blipFill>
                  <pic:spPr bwMode="auto">
                    <a:xfrm>
                      <a:off x="0" y="0"/>
                      <a:ext cx="5899235" cy="3761518"/>
                    </a:xfrm>
                    <a:prstGeom prst="rect">
                      <a:avLst/>
                    </a:prstGeom>
                    <a:ln>
                      <a:noFill/>
                    </a:ln>
                    <a:extLst>
                      <a:ext uri="{53640926-AAD7-44D8-BBD7-CCE9431645EC}">
                        <a14:shadowObscured xmlns:a14="http://schemas.microsoft.com/office/drawing/2010/main"/>
                      </a:ext>
                    </a:extLst>
                  </pic:spPr>
                </pic:pic>
              </a:graphicData>
            </a:graphic>
          </wp:inline>
        </w:drawing>
      </w:r>
    </w:p>
    <w:p w:rsidR="006D6F05" w:rsidRDefault="006D6F05" w:rsidP="006D6F05">
      <w:pPr>
        <w:pStyle w:val="Caption"/>
      </w:pPr>
      <w:bookmarkStart w:id="1" w:name="_Toc92997769"/>
      <w:r>
        <w:t xml:space="preserve">Figure </w:t>
      </w:r>
      <w:r>
        <w:fldChar w:fldCharType="begin"/>
      </w:r>
      <w:r>
        <w:instrText xml:space="preserve"> SEQ Figure \* ARABIC </w:instrText>
      </w:r>
      <w:r>
        <w:fldChar w:fldCharType="separate"/>
      </w:r>
      <w:r>
        <w:rPr>
          <w:noProof/>
        </w:rPr>
        <w:t>1</w:t>
      </w:r>
      <w:r>
        <w:fldChar w:fldCharType="end"/>
      </w:r>
      <w:r>
        <w:t xml:space="preserve"> Gantt chart timeline for project</w:t>
      </w:r>
      <w:bookmarkEnd w:id="1"/>
    </w:p>
    <w:p w:rsidR="006D6F05" w:rsidRDefault="006D6F05" w:rsidP="00560A04"/>
    <w:p w:rsidR="006D6F05" w:rsidRDefault="006D6F05" w:rsidP="00560A04">
      <w:r>
        <w:t>Data capture table</w:t>
      </w: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420"/>
        <w:gridCol w:w="1420"/>
        <w:gridCol w:w="1420"/>
        <w:gridCol w:w="1420"/>
        <w:gridCol w:w="1421"/>
        <w:gridCol w:w="1421"/>
      </w:tblGrid>
      <w:tr w:rsidR="00EE455C" w:rsidTr="00EE455C">
        <w:trPr>
          <w:trHeight w:val="1143"/>
        </w:trPr>
        <w:tc>
          <w:tcPr>
            <w:tcW w:w="1420" w:type="dxa"/>
            <w:tcBorders>
              <w:top w:val="double" w:sz="6" w:space="0" w:color="000000"/>
              <w:left w:val="double" w:sz="6" w:space="0" w:color="000000"/>
              <w:bottom w:val="single" w:sz="6" w:space="0" w:color="000000"/>
              <w:right w:val="single" w:sz="6" w:space="0" w:color="000000"/>
            </w:tcBorders>
            <w:hideMark/>
          </w:tcPr>
          <w:p w:rsidR="00EE455C" w:rsidRDefault="00EE455C">
            <w:pPr>
              <w:rPr>
                <w:caps/>
              </w:rPr>
            </w:pPr>
            <w:r>
              <w:rPr>
                <w:caps/>
              </w:rPr>
              <w:t xml:space="preserve">Date </w:t>
            </w:r>
          </w:p>
        </w:tc>
        <w:tc>
          <w:tcPr>
            <w:tcW w:w="1420" w:type="dxa"/>
            <w:tcBorders>
              <w:top w:val="double" w:sz="6" w:space="0" w:color="000000"/>
              <w:left w:val="single" w:sz="6" w:space="0" w:color="000000"/>
              <w:bottom w:val="single" w:sz="6" w:space="0" w:color="000000"/>
              <w:right w:val="single" w:sz="6" w:space="0" w:color="000000"/>
            </w:tcBorders>
            <w:hideMark/>
          </w:tcPr>
          <w:p w:rsidR="00EE455C" w:rsidRDefault="00EE455C">
            <w:pPr>
              <w:rPr>
                <w:caps/>
              </w:rPr>
            </w:pPr>
            <w:r>
              <w:rPr>
                <w:caps/>
              </w:rPr>
              <w:t>Trial Site</w:t>
            </w:r>
          </w:p>
          <w:p w:rsidR="00EE455C" w:rsidRDefault="00EE455C" w:rsidP="00EE455C">
            <w:pPr>
              <w:rPr>
                <w:caps/>
              </w:rPr>
            </w:pPr>
            <w:r>
              <w:rPr>
                <w:caps/>
              </w:rPr>
              <w:t>Locations</w:t>
            </w:r>
          </w:p>
        </w:tc>
        <w:tc>
          <w:tcPr>
            <w:tcW w:w="1420" w:type="dxa"/>
            <w:tcBorders>
              <w:top w:val="double" w:sz="6" w:space="0" w:color="000000"/>
              <w:left w:val="single" w:sz="6" w:space="0" w:color="000000"/>
              <w:bottom w:val="single" w:sz="6" w:space="0" w:color="000000"/>
              <w:right w:val="single" w:sz="6" w:space="0" w:color="000000"/>
            </w:tcBorders>
            <w:hideMark/>
          </w:tcPr>
          <w:p w:rsidR="00EE455C" w:rsidRDefault="00EE455C">
            <w:pPr>
              <w:rPr>
                <w:caps/>
              </w:rPr>
            </w:pPr>
            <w:r>
              <w:rPr>
                <w:caps/>
              </w:rPr>
              <w:t>Time</w:t>
            </w:r>
          </w:p>
        </w:tc>
        <w:tc>
          <w:tcPr>
            <w:tcW w:w="1420" w:type="dxa"/>
            <w:tcBorders>
              <w:top w:val="double" w:sz="6" w:space="0" w:color="000000"/>
              <w:left w:val="single" w:sz="6" w:space="0" w:color="000000"/>
              <w:bottom w:val="single" w:sz="6" w:space="0" w:color="000000"/>
              <w:right w:val="single" w:sz="6" w:space="0" w:color="000000"/>
            </w:tcBorders>
            <w:hideMark/>
          </w:tcPr>
          <w:p w:rsidR="00EE455C" w:rsidRDefault="00EE455C">
            <w:pPr>
              <w:rPr>
                <w:caps/>
              </w:rPr>
            </w:pPr>
            <w:r>
              <w:rPr>
                <w:caps/>
              </w:rPr>
              <w:t>Explosive Weight (kg)</w:t>
            </w:r>
          </w:p>
        </w:tc>
        <w:tc>
          <w:tcPr>
            <w:tcW w:w="1421" w:type="dxa"/>
            <w:tcBorders>
              <w:top w:val="double" w:sz="6" w:space="0" w:color="000000"/>
              <w:left w:val="single" w:sz="6" w:space="0" w:color="000000"/>
              <w:bottom w:val="single" w:sz="6" w:space="0" w:color="000000"/>
              <w:right w:val="single" w:sz="6" w:space="0" w:color="000000"/>
            </w:tcBorders>
            <w:hideMark/>
          </w:tcPr>
          <w:p w:rsidR="00EE455C" w:rsidRDefault="00EE455C">
            <w:pPr>
              <w:rPr>
                <w:caps/>
              </w:rPr>
            </w:pPr>
            <w:r>
              <w:rPr>
                <w:caps/>
              </w:rPr>
              <w:t>Peak Lin (dB)</w:t>
            </w:r>
          </w:p>
        </w:tc>
        <w:tc>
          <w:tcPr>
            <w:tcW w:w="1421" w:type="dxa"/>
            <w:tcBorders>
              <w:top w:val="double" w:sz="6" w:space="0" w:color="000000"/>
              <w:left w:val="single" w:sz="6" w:space="0" w:color="000000"/>
              <w:bottom w:val="single" w:sz="6" w:space="0" w:color="000000"/>
              <w:right w:val="double" w:sz="6" w:space="0" w:color="000000"/>
            </w:tcBorders>
            <w:hideMark/>
          </w:tcPr>
          <w:p w:rsidR="00EE455C" w:rsidRDefault="00EE455C">
            <w:pPr>
              <w:rPr>
                <w:caps/>
              </w:rPr>
            </w:pPr>
            <w:r>
              <w:rPr>
                <w:caps/>
              </w:rPr>
              <w:t>Larkhill Prediction</w:t>
            </w:r>
          </w:p>
        </w:tc>
      </w:tr>
      <w:tr w:rsidR="00EE455C" w:rsidTr="00282B2B">
        <w:trPr>
          <w:trHeight w:val="907"/>
        </w:trPr>
        <w:tc>
          <w:tcPr>
            <w:tcW w:w="1420" w:type="dxa"/>
            <w:tcBorders>
              <w:top w:val="single" w:sz="6" w:space="0" w:color="000000"/>
              <w:left w:val="double" w:sz="6" w:space="0" w:color="000000"/>
              <w:bottom w:val="single" w:sz="6" w:space="0" w:color="000000"/>
              <w:right w:val="single" w:sz="6" w:space="0" w:color="000000"/>
            </w:tcBorders>
            <w:shd w:val="clear" w:color="auto" w:fill="D9D9D9" w:themeFill="background1" w:themeFillShade="D9"/>
            <w:hideMark/>
          </w:tcPr>
          <w:p w:rsidR="00EE455C" w:rsidRPr="00282B2B" w:rsidRDefault="00282B2B">
            <w:r w:rsidRPr="00282B2B">
              <w:t>Example</w:t>
            </w:r>
          </w:p>
          <w:p w:rsidR="00282B2B" w:rsidRPr="00282B2B" w:rsidRDefault="00282B2B">
            <w:r w:rsidRPr="00282B2B">
              <w:t>15/03/2022</w:t>
            </w:r>
          </w:p>
        </w:tc>
        <w:tc>
          <w:tcPr>
            <w:tcW w:w="142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282B2B" w:rsidRPr="00282B2B" w:rsidRDefault="00282B2B"/>
          <w:p w:rsidR="00EE455C" w:rsidRPr="00282B2B" w:rsidRDefault="00282B2B">
            <w:r w:rsidRPr="00282B2B">
              <w:t>OP15</w:t>
            </w:r>
          </w:p>
        </w:tc>
        <w:tc>
          <w:tcPr>
            <w:tcW w:w="142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EE455C" w:rsidRPr="00282B2B" w:rsidRDefault="00EE455C"/>
          <w:p w:rsidR="00282B2B" w:rsidRPr="00282B2B" w:rsidRDefault="00282B2B">
            <w:r w:rsidRPr="00282B2B">
              <w:t>0900</w:t>
            </w:r>
          </w:p>
        </w:tc>
        <w:tc>
          <w:tcPr>
            <w:tcW w:w="142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EE455C" w:rsidRPr="00282B2B" w:rsidRDefault="00EE455C"/>
          <w:p w:rsidR="00282B2B" w:rsidRPr="00282B2B" w:rsidRDefault="00282B2B">
            <w:r w:rsidRPr="00282B2B">
              <w:t>1</w:t>
            </w:r>
          </w:p>
        </w:tc>
        <w:tc>
          <w:tcPr>
            <w:tcW w:w="142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rsidR="00EE455C" w:rsidRPr="00282B2B" w:rsidRDefault="00EE455C"/>
          <w:p w:rsidR="00282B2B" w:rsidRPr="00282B2B" w:rsidRDefault="00282B2B">
            <w:r w:rsidRPr="00282B2B">
              <w:t>115</w:t>
            </w:r>
          </w:p>
        </w:tc>
        <w:tc>
          <w:tcPr>
            <w:tcW w:w="1421" w:type="dxa"/>
            <w:tcBorders>
              <w:top w:val="single" w:sz="6" w:space="0" w:color="000000"/>
              <w:left w:val="single" w:sz="6" w:space="0" w:color="000000"/>
              <w:bottom w:val="single" w:sz="6" w:space="0" w:color="000000"/>
              <w:right w:val="double" w:sz="6" w:space="0" w:color="000000"/>
            </w:tcBorders>
            <w:shd w:val="clear" w:color="auto" w:fill="D9D9D9" w:themeFill="background1" w:themeFillShade="D9"/>
            <w:hideMark/>
          </w:tcPr>
          <w:p w:rsidR="00EE455C" w:rsidRPr="00282B2B" w:rsidRDefault="00EE455C"/>
          <w:p w:rsidR="00282B2B" w:rsidRPr="00282B2B" w:rsidRDefault="00282B2B">
            <w:r w:rsidRPr="00282B2B">
              <w:t>120</w:t>
            </w:r>
          </w:p>
        </w:tc>
      </w:tr>
      <w:tr w:rsidR="00EE455C" w:rsidTr="00282B2B">
        <w:trPr>
          <w:trHeight w:val="876"/>
        </w:trPr>
        <w:tc>
          <w:tcPr>
            <w:tcW w:w="1420" w:type="dxa"/>
            <w:tcBorders>
              <w:top w:val="single" w:sz="6" w:space="0" w:color="000000"/>
              <w:left w:val="double" w:sz="6" w:space="0" w:color="000000"/>
              <w:bottom w:val="single" w:sz="6" w:space="0" w:color="000000"/>
              <w:right w:val="single" w:sz="6" w:space="0" w:color="000000"/>
            </w:tcBorders>
          </w:tcPr>
          <w:p w:rsidR="00EE455C" w:rsidRDefault="00EE455C"/>
        </w:tc>
        <w:tc>
          <w:tcPr>
            <w:tcW w:w="1420" w:type="dxa"/>
            <w:tcBorders>
              <w:top w:val="single" w:sz="6" w:space="0" w:color="000000"/>
              <w:left w:val="single" w:sz="6" w:space="0" w:color="000000"/>
              <w:bottom w:val="single" w:sz="6" w:space="0" w:color="000000"/>
              <w:right w:val="single" w:sz="6" w:space="0" w:color="000000"/>
            </w:tcBorders>
          </w:tcPr>
          <w:p w:rsidR="00EE455C" w:rsidRDefault="00EE455C"/>
        </w:tc>
        <w:tc>
          <w:tcPr>
            <w:tcW w:w="1420" w:type="dxa"/>
            <w:tcBorders>
              <w:top w:val="single" w:sz="6" w:space="0" w:color="000000"/>
              <w:left w:val="single" w:sz="6" w:space="0" w:color="000000"/>
              <w:bottom w:val="single" w:sz="6" w:space="0" w:color="000000"/>
              <w:right w:val="single" w:sz="6" w:space="0" w:color="000000"/>
            </w:tcBorders>
          </w:tcPr>
          <w:p w:rsidR="00EE455C" w:rsidRDefault="00EE455C"/>
        </w:tc>
        <w:tc>
          <w:tcPr>
            <w:tcW w:w="1420" w:type="dxa"/>
            <w:tcBorders>
              <w:top w:val="single" w:sz="6" w:space="0" w:color="000000"/>
              <w:left w:val="single" w:sz="6" w:space="0" w:color="000000"/>
              <w:bottom w:val="single" w:sz="6" w:space="0" w:color="000000"/>
              <w:right w:val="single" w:sz="6" w:space="0" w:color="000000"/>
            </w:tcBorders>
          </w:tcPr>
          <w:p w:rsidR="00EE455C" w:rsidRDefault="00EE455C" w:rsidP="00EE455C"/>
        </w:tc>
        <w:tc>
          <w:tcPr>
            <w:tcW w:w="1421" w:type="dxa"/>
            <w:tcBorders>
              <w:top w:val="single" w:sz="6" w:space="0" w:color="000000"/>
              <w:left w:val="single" w:sz="6" w:space="0" w:color="000000"/>
              <w:bottom w:val="single" w:sz="6" w:space="0" w:color="000000"/>
              <w:right w:val="single" w:sz="6" w:space="0" w:color="000000"/>
            </w:tcBorders>
          </w:tcPr>
          <w:p w:rsidR="00EE455C" w:rsidRDefault="00EE455C" w:rsidP="00EE455C"/>
          <w:p w:rsidR="00EE455C" w:rsidRDefault="00EE455C"/>
        </w:tc>
        <w:tc>
          <w:tcPr>
            <w:tcW w:w="1421" w:type="dxa"/>
            <w:tcBorders>
              <w:top w:val="single" w:sz="6" w:space="0" w:color="000000"/>
              <w:left w:val="single" w:sz="6" w:space="0" w:color="000000"/>
              <w:bottom w:val="single" w:sz="6" w:space="0" w:color="000000"/>
              <w:right w:val="double" w:sz="6" w:space="0" w:color="000000"/>
            </w:tcBorders>
          </w:tcPr>
          <w:p w:rsidR="00EE455C" w:rsidRDefault="00EE455C"/>
          <w:p w:rsidR="00EE455C" w:rsidRDefault="00EE455C"/>
          <w:p w:rsidR="00EE455C" w:rsidRDefault="00EE455C"/>
        </w:tc>
      </w:tr>
      <w:tr w:rsidR="00EE455C" w:rsidTr="00EE455C">
        <w:trPr>
          <w:trHeight w:val="1402"/>
        </w:trPr>
        <w:tc>
          <w:tcPr>
            <w:tcW w:w="1420" w:type="dxa"/>
            <w:tcBorders>
              <w:top w:val="single" w:sz="6" w:space="0" w:color="000000"/>
              <w:left w:val="double" w:sz="6" w:space="0" w:color="000000"/>
              <w:bottom w:val="single" w:sz="6" w:space="0" w:color="000000"/>
              <w:right w:val="single" w:sz="6" w:space="0" w:color="000000"/>
            </w:tcBorders>
            <w:hideMark/>
          </w:tcPr>
          <w:p w:rsidR="00EE455C" w:rsidRDefault="00EE455C"/>
        </w:tc>
        <w:tc>
          <w:tcPr>
            <w:tcW w:w="1420" w:type="dxa"/>
            <w:tcBorders>
              <w:top w:val="single" w:sz="6" w:space="0" w:color="000000"/>
              <w:left w:val="single" w:sz="6" w:space="0" w:color="000000"/>
              <w:bottom w:val="single" w:sz="6" w:space="0" w:color="000000"/>
              <w:right w:val="single" w:sz="6" w:space="0" w:color="000000"/>
            </w:tcBorders>
          </w:tcPr>
          <w:p w:rsidR="00EE455C" w:rsidRDefault="00EE455C"/>
        </w:tc>
        <w:tc>
          <w:tcPr>
            <w:tcW w:w="1420" w:type="dxa"/>
            <w:tcBorders>
              <w:top w:val="single" w:sz="6" w:space="0" w:color="000000"/>
              <w:left w:val="single" w:sz="6" w:space="0" w:color="000000"/>
              <w:bottom w:val="single" w:sz="6" w:space="0" w:color="000000"/>
              <w:right w:val="single" w:sz="6" w:space="0" w:color="000000"/>
            </w:tcBorders>
          </w:tcPr>
          <w:p w:rsidR="00EE455C" w:rsidRDefault="00EE455C"/>
        </w:tc>
        <w:tc>
          <w:tcPr>
            <w:tcW w:w="1420" w:type="dxa"/>
            <w:tcBorders>
              <w:top w:val="single" w:sz="6" w:space="0" w:color="000000"/>
              <w:left w:val="single" w:sz="6" w:space="0" w:color="000000"/>
              <w:bottom w:val="single" w:sz="6" w:space="0" w:color="000000"/>
              <w:right w:val="single" w:sz="6" w:space="0" w:color="000000"/>
            </w:tcBorders>
          </w:tcPr>
          <w:p w:rsidR="00EE455C" w:rsidRDefault="00EE455C"/>
        </w:tc>
        <w:tc>
          <w:tcPr>
            <w:tcW w:w="1421" w:type="dxa"/>
            <w:tcBorders>
              <w:top w:val="single" w:sz="6" w:space="0" w:color="000000"/>
              <w:left w:val="single" w:sz="6" w:space="0" w:color="000000"/>
              <w:bottom w:val="single" w:sz="6" w:space="0" w:color="000000"/>
              <w:right w:val="single" w:sz="6" w:space="0" w:color="000000"/>
            </w:tcBorders>
          </w:tcPr>
          <w:p w:rsidR="00EE455C" w:rsidRDefault="00EE455C"/>
        </w:tc>
        <w:tc>
          <w:tcPr>
            <w:tcW w:w="1421" w:type="dxa"/>
            <w:tcBorders>
              <w:top w:val="single" w:sz="6" w:space="0" w:color="000000"/>
              <w:left w:val="single" w:sz="6" w:space="0" w:color="000000"/>
              <w:bottom w:val="single" w:sz="6" w:space="0" w:color="000000"/>
              <w:right w:val="double" w:sz="6" w:space="0" w:color="000000"/>
            </w:tcBorders>
          </w:tcPr>
          <w:p w:rsidR="00EE455C" w:rsidRDefault="00EE455C"/>
        </w:tc>
      </w:tr>
      <w:tr w:rsidR="00EE455C" w:rsidTr="00EE455C">
        <w:trPr>
          <w:trHeight w:val="1788"/>
        </w:trPr>
        <w:tc>
          <w:tcPr>
            <w:tcW w:w="1420" w:type="dxa"/>
            <w:tcBorders>
              <w:top w:val="single" w:sz="6" w:space="0" w:color="000000"/>
              <w:left w:val="double" w:sz="6" w:space="0" w:color="000000"/>
              <w:bottom w:val="double" w:sz="6" w:space="0" w:color="000000"/>
              <w:right w:val="single" w:sz="6" w:space="0" w:color="000000"/>
            </w:tcBorders>
            <w:hideMark/>
          </w:tcPr>
          <w:p w:rsidR="00EE455C" w:rsidRDefault="00EE455C"/>
        </w:tc>
        <w:tc>
          <w:tcPr>
            <w:tcW w:w="1420" w:type="dxa"/>
            <w:tcBorders>
              <w:top w:val="single" w:sz="6" w:space="0" w:color="000000"/>
              <w:left w:val="single" w:sz="6" w:space="0" w:color="000000"/>
              <w:bottom w:val="double" w:sz="6" w:space="0" w:color="000000"/>
              <w:right w:val="single" w:sz="6" w:space="0" w:color="000000"/>
            </w:tcBorders>
          </w:tcPr>
          <w:p w:rsidR="00EE455C" w:rsidRDefault="00EE455C"/>
        </w:tc>
        <w:tc>
          <w:tcPr>
            <w:tcW w:w="1420" w:type="dxa"/>
            <w:tcBorders>
              <w:top w:val="single" w:sz="6" w:space="0" w:color="000000"/>
              <w:left w:val="single" w:sz="6" w:space="0" w:color="000000"/>
              <w:bottom w:val="double" w:sz="6" w:space="0" w:color="000000"/>
              <w:right w:val="single" w:sz="6" w:space="0" w:color="000000"/>
            </w:tcBorders>
          </w:tcPr>
          <w:p w:rsidR="00EE455C" w:rsidRDefault="00EE455C"/>
        </w:tc>
        <w:tc>
          <w:tcPr>
            <w:tcW w:w="1420" w:type="dxa"/>
            <w:tcBorders>
              <w:top w:val="single" w:sz="6" w:space="0" w:color="000000"/>
              <w:left w:val="single" w:sz="6" w:space="0" w:color="000000"/>
              <w:bottom w:val="double" w:sz="6" w:space="0" w:color="000000"/>
              <w:right w:val="single" w:sz="6" w:space="0" w:color="000000"/>
            </w:tcBorders>
          </w:tcPr>
          <w:p w:rsidR="00EE455C" w:rsidRDefault="00EE455C"/>
        </w:tc>
        <w:tc>
          <w:tcPr>
            <w:tcW w:w="1421" w:type="dxa"/>
            <w:tcBorders>
              <w:top w:val="single" w:sz="6" w:space="0" w:color="000000"/>
              <w:left w:val="single" w:sz="6" w:space="0" w:color="000000"/>
              <w:bottom w:val="double" w:sz="6" w:space="0" w:color="000000"/>
              <w:right w:val="single" w:sz="6" w:space="0" w:color="000000"/>
            </w:tcBorders>
          </w:tcPr>
          <w:p w:rsidR="00EE455C" w:rsidRDefault="00EE455C"/>
        </w:tc>
        <w:tc>
          <w:tcPr>
            <w:tcW w:w="1421" w:type="dxa"/>
            <w:tcBorders>
              <w:top w:val="single" w:sz="6" w:space="0" w:color="000000"/>
              <w:left w:val="single" w:sz="6" w:space="0" w:color="000000"/>
              <w:bottom w:val="double" w:sz="6" w:space="0" w:color="000000"/>
              <w:right w:val="double" w:sz="6" w:space="0" w:color="000000"/>
            </w:tcBorders>
          </w:tcPr>
          <w:p w:rsidR="00EE455C" w:rsidRDefault="00EE455C"/>
        </w:tc>
      </w:tr>
    </w:tbl>
    <w:p w:rsidR="004315D0" w:rsidRDefault="004315D0" w:rsidP="006D6F05">
      <w:pPr>
        <w:pStyle w:val="Caption"/>
      </w:pPr>
      <w:bookmarkStart w:id="2" w:name="_Toc92997770"/>
      <w:r>
        <w:t xml:space="preserve">Figure </w:t>
      </w:r>
      <w:r>
        <w:fldChar w:fldCharType="begin"/>
      </w:r>
      <w:r>
        <w:instrText xml:space="preserve"> SEQ Figure \* ARABIC </w:instrText>
      </w:r>
      <w:r>
        <w:fldChar w:fldCharType="separate"/>
      </w:r>
      <w:r w:rsidR="006D6F05">
        <w:rPr>
          <w:noProof/>
        </w:rPr>
        <w:t>2</w:t>
      </w:r>
      <w:r>
        <w:fldChar w:fldCharType="end"/>
      </w:r>
      <w:r>
        <w:t xml:space="preserve"> Example of Table for data collection</w:t>
      </w:r>
      <w:bookmarkEnd w:id="2"/>
    </w:p>
    <w:p w:rsidR="00CB5431" w:rsidRPr="006D6F05" w:rsidRDefault="00CB5431" w:rsidP="006D6F05">
      <w:pPr>
        <w:rPr>
          <w:u w:val="single"/>
        </w:rPr>
      </w:pPr>
      <w:r w:rsidRPr="006D6F05">
        <w:rPr>
          <w:u w:val="single"/>
        </w:rPr>
        <w:t>Acoustic plot Model example</w:t>
      </w:r>
    </w:p>
    <w:p w:rsidR="00CB5431" w:rsidRDefault="00CB5431" w:rsidP="00560A04">
      <w:r>
        <w:t xml:space="preserve">The acoustic model will show (Red outline) the noise level </w:t>
      </w:r>
      <w:r w:rsidR="00206BE1">
        <w:t xml:space="preserve">of </w:t>
      </w:r>
      <w:r>
        <w:t>the charge that is being modelled for inside the Porton</w:t>
      </w:r>
      <w:r w:rsidR="00206BE1">
        <w:t xml:space="preserve"> down Range boundary, </w:t>
      </w:r>
      <w:r>
        <w:t xml:space="preserve">the location of the </w:t>
      </w:r>
      <w:r w:rsidR="002D6A8B">
        <w:t>Acoustic</w:t>
      </w:r>
      <w:r>
        <w:t xml:space="preserve"> sensors</w:t>
      </w:r>
      <w:r w:rsidR="00206BE1">
        <w:t xml:space="preserve"> will be placed in locations on this boundary line</w:t>
      </w:r>
      <w:r>
        <w:t>.</w:t>
      </w:r>
    </w:p>
    <w:p w:rsidR="00282B2B" w:rsidRDefault="00CB5431" w:rsidP="00560A04">
      <w:r>
        <w:rPr>
          <w:noProof/>
          <w:lang w:eastAsia="en-GB"/>
        </w:rPr>
        <w:lastRenderedPageBreak/>
        <w:drawing>
          <wp:inline distT="0" distB="0" distL="0" distR="0" wp14:anchorId="3B76B112" wp14:editId="68E8CDD9">
            <wp:extent cx="6146157" cy="779843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5505" t="11258" r="65358" b="4433"/>
                    <a:stretch/>
                  </pic:blipFill>
                  <pic:spPr bwMode="auto">
                    <a:xfrm>
                      <a:off x="0" y="0"/>
                      <a:ext cx="6181278" cy="7842997"/>
                    </a:xfrm>
                    <a:prstGeom prst="rect">
                      <a:avLst/>
                    </a:prstGeom>
                    <a:ln>
                      <a:noFill/>
                    </a:ln>
                    <a:extLst>
                      <a:ext uri="{53640926-AAD7-44D8-BBD7-CCE9431645EC}">
                        <a14:shadowObscured xmlns:a14="http://schemas.microsoft.com/office/drawing/2010/main"/>
                      </a:ext>
                    </a:extLst>
                  </pic:spPr>
                </pic:pic>
              </a:graphicData>
            </a:graphic>
          </wp:inline>
        </w:drawing>
      </w:r>
    </w:p>
    <w:p w:rsidR="004315D0" w:rsidRDefault="004315D0" w:rsidP="004315D0">
      <w:pPr>
        <w:pStyle w:val="Caption"/>
      </w:pPr>
      <w:bookmarkStart w:id="3" w:name="_Toc92997771"/>
      <w:r>
        <w:t xml:space="preserve">Figure </w:t>
      </w:r>
      <w:r>
        <w:fldChar w:fldCharType="begin"/>
      </w:r>
      <w:r>
        <w:instrText xml:space="preserve"> SEQ Figure \* ARABIC </w:instrText>
      </w:r>
      <w:r>
        <w:fldChar w:fldCharType="separate"/>
      </w:r>
      <w:r w:rsidR="006D6F05">
        <w:rPr>
          <w:noProof/>
        </w:rPr>
        <w:t>3</w:t>
      </w:r>
      <w:r>
        <w:fldChar w:fldCharType="end"/>
      </w:r>
      <w:r>
        <w:t xml:space="preserve"> Example of Acoustic Model</w:t>
      </w:r>
      <w:bookmarkEnd w:id="3"/>
    </w:p>
    <w:p w:rsidR="004315D0" w:rsidRDefault="004315D0" w:rsidP="00206BE1">
      <w:pPr>
        <w:pStyle w:val="Heading2"/>
        <w:rPr>
          <w:u w:val="single"/>
        </w:rPr>
      </w:pPr>
    </w:p>
    <w:p w:rsidR="00282B2B" w:rsidRPr="006D6F05" w:rsidRDefault="00206BE1" w:rsidP="006D6F05">
      <w:pPr>
        <w:rPr>
          <w:u w:val="single"/>
        </w:rPr>
      </w:pPr>
      <w:r w:rsidRPr="006D6F05">
        <w:rPr>
          <w:u w:val="single"/>
        </w:rPr>
        <w:t>Met Office weather forecasts</w:t>
      </w:r>
    </w:p>
    <w:p w:rsidR="00206BE1" w:rsidRDefault="00206BE1" w:rsidP="00206BE1">
      <w:r>
        <w:lastRenderedPageBreak/>
        <w:t>A Forecast similar to the one below will be collected on the days of the data retrieval this will offer</w:t>
      </w:r>
      <w:r w:rsidR="00D97839">
        <w:t xml:space="preserve"> more data analysis to be carried out. Having this information helps to see if there is a trend in the weather but a deviation on the noise readings.</w:t>
      </w:r>
    </w:p>
    <w:p w:rsidR="00206BE1" w:rsidRDefault="00206BE1" w:rsidP="00206BE1">
      <w:r>
        <w:rPr>
          <w:noProof/>
          <w:lang w:eastAsia="en-GB"/>
        </w:rPr>
        <w:drawing>
          <wp:inline distT="0" distB="0" distL="0" distR="0" wp14:anchorId="2F2F2A30" wp14:editId="5D7425C4">
            <wp:extent cx="5997575" cy="4606120"/>
            <wp:effectExtent l="0" t="0" r="317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503" t="8046" r="17608" b="3462"/>
                    <a:stretch/>
                  </pic:blipFill>
                  <pic:spPr bwMode="auto">
                    <a:xfrm>
                      <a:off x="0" y="0"/>
                      <a:ext cx="6036531" cy="4636038"/>
                    </a:xfrm>
                    <a:prstGeom prst="rect">
                      <a:avLst/>
                    </a:prstGeom>
                    <a:ln>
                      <a:noFill/>
                    </a:ln>
                    <a:extLst>
                      <a:ext uri="{53640926-AAD7-44D8-BBD7-CCE9431645EC}">
                        <a14:shadowObscured xmlns:a14="http://schemas.microsoft.com/office/drawing/2010/main"/>
                      </a:ext>
                    </a:extLst>
                  </pic:spPr>
                </pic:pic>
              </a:graphicData>
            </a:graphic>
          </wp:inline>
        </w:drawing>
      </w:r>
    </w:p>
    <w:p w:rsidR="004315D0" w:rsidRDefault="004315D0" w:rsidP="004315D0">
      <w:pPr>
        <w:pStyle w:val="Caption"/>
      </w:pPr>
      <w:bookmarkStart w:id="4" w:name="_Toc92997772"/>
      <w:r>
        <w:t xml:space="preserve">Figure </w:t>
      </w:r>
      <w:r>
        <w:fldChar w:fldCharType="begin"/>
      </w:r>
      <w:r>
        <w:instrText xml:space="preserve"> SEQ Figure \* ARABIC </w:instrText>
      </w:r>
      <w:r>
        <w:fldChar w:fldCharType="separate"/>
      </w:r>
      <w:r w:rsidR="006D6F05">
        <w:rPr>
          <w:noProof/>
        </w:rPr>
        <w:t>4</w:t>
      </w:r>
      <w:r>
        <w:fldChar w:fldCharType="end"/>
      </w:r>
      <w:r>
        <w:t xml:space="preserve"> Example of a Met office forecast</w:t>
      </w:r>
      <w:bookmarkEnd w:id="4"/>
    </w:p>
    <w:p w:rsidR="006D6F05" w:rsidRDefault="006D6F05" w:rsidP="006D6F05"/>
    <w:p w:rsidR="006D6F05" w:rsidRPr="006D6F05" w:rsidRDefault="006D6F05" w:rsidP="006D6F05">
      <w:pPr>
        <w:rPr>
          <w:u w:val="single"/>
        </w:rPr>
      </w:pPr>
      <w:r w:rsidRPr="006D6F05">
        <w:rPr>
          <w:u w:val="single"/>
        </w:rPr>
        <w:t>Ethics form</w:t>
      </w:r>
    </w:p>
    <w:p w:rsidR="006D6F05" w:rsidRDefault="003A7DC0" w:rsidP="006D6F05">
      <w:r>
        <w:rPr>
          <w:noProof/>
          <w:lang w:eastAsia="en-GB"/>
        </w:rPr>
        <w:lastRenderedPageBreak/>
        <w:drawing>
          <wp:inline distT="0" distB="0" distL="0" distR="0" wp14:anchorId="2D973128" wp14:editId="40780ABB">
            <wp:extent cx="5636260" cy="7083706"/>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3322" t="14727" r="34367" b="5916"/>
                    <a:stretch/>
                  </pic:blipFill>
                  <pic:spPr bwMode="auto">
                    <a:xfrm>
                      <a:off x="0" y="0"/>
                      <a:ext cx="5664717" cy="7119471"/>
                    </a:xfrm>
                    <a:prstGeom prst="rect">
                      <a:avLst/>
                    </a:prstGeom>
                    <a:ln>
                      <a:noFill/>
                    </a:ln>
                    <a:extLst>
                      <a:ext uri="{53640926-AAD7-44D8-BBD7-CCE9431645EC}">
                        <a14:shadowObscured xmlns:a14="http://schemas.microsoft.com/office/drawing/2010/main"/>
                      </a:ext>
                    </a:extLst>
                  </pic:spPr>
                </pic:pic>
              </a:graphicData>
            </a:graphic>
          </wp:inline>
        </w:drawing>
      </w:r>
    </w:p>
    <w:p w:rsidR="006D6F05" w:rsidRDefault="003A7DC0" w:rsidP="006D6F05">
      <w:r>
        <w:rPr>
          <w:noProof/>
          <w:lang w:eastAsia="en-GB"/>
        </w:rPr>
        <w:lastRenderedPageBreak/>
        <w:drawing>
          <wp:inline distT="0" distB="0" distL="0" distR="0" wp14:anchorId="7271F85B" wp14:editId="21C12780">
            <wp:extent cx="5589277" cy="785921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930" t="13291" r="34771" b="8774"/>
                    <a:stretch/>
                  </pic:blipFill>
                  <pic:spPr bwMode="auto">
                    <a:xfrm>
                      <a:off x="0" y="0"/>
                      <a:ext cx="5646383" cy="7939509"/>
                    </a:xfrm>
                    <a:prstGeom prst="rect">
                      <a:avLst/>
                    </a:prstGeom>
                    <a:ln>
                      <a:noFill/>
                    </a:ln>
                    <a:extLst>
                      <a:ext uri="{53640926-AAD7-44D8-BBD7-CCE9431645EC}">
                        <a14:shadowObscured xmlns:a14="http://schemas.microsoft.com/office/drawing/2010/main"/>
                      </a:ext>
                    </a:extLst>
                  </pic:spPr>
                </pic:pic>
              </a:graphicData>
            </a:graphic>
          </wp:inline>
        </w:drawing>
      </w:r>
    </w:p>
    <w:p w:rsidR="003A7DC0" w:rsidRDefault="003A7DC0" w:rsidP="006D6F05">
      <w:r>
        <w:rPr>
          <w:noProof/>
          <w:lang w:eastAsia="en-GB"/>
        </w:rPr>
        <w:lastRenderedPageBreak/>
        <w:drawing>
          <wp:inline distT="0" distB="0" distL="0" distR="0" wp14:anchorId="7D98CEAD" wp14:editId="7A427C5F">
            <wp:extent cx="5693837" cy="9120850"/>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3726" t="15803" r="34367" b="6980"/>
                    <a:stretch/>
                  </pic:blipFill>
                  <pic:spPr bwMode="auto">
                    <a:xfrm>
                      <a:off x="0" y="0"/>
                      <a:ext cx="5762945" cy="9231553"/>
                    </a:xfrm>
                    <a:prstGeom prst="rect">
                      <a:avLst/>
                    </a:prstGeom>
                    <a:ln>
                      <a:noFill/>
                    </a:ln>
                    <a:extLst>
                      <a:ext uri="{53640926-AAD7-44D8-BBD7-CCE9431645EC}">
                        <a14:shadowObscured xmlns:a14="http://schemas.microsoft.com/office/drawing/2010/main"/>
                      </a:ext>
                    </a:extLst>
                  </pic:spPr>
                </pic:pic>
              </a:graphicData>
            </a:graphic>
          </wp:inline>
        </w:drawing>
      </w:r>
    </w:p>
    <w:p w:rsidR="003A7DC0" w:rsidRDefault="003A7DC0" w:rsidP="006D6F05">
      <w:r>
        <w:rPr>
          <w:noProof/>
          <w:lang w:eastAsia="en-GB"/>
        </w:rPr>
        <w:lastRenderedPageBreak/>
        <w:drawing>
          <wp:inline distT="0" distB="0" distL="0" distR="0" wp14:anchorId="1CA6A3E7" wp14:editId="09C2CDA7">
            <wp:extent cx="5555615" cy="7419372"/>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3325" t="12571" r="34963" b="6293"/>
                    <a:stretch/>
                  </pic:blipFill>
                  <pic:spPr bwMode="auto">
                    <a:xfrm>
                      <a:off x="0" y="0"/>
                      <a:ext cx="5573751" cy="7443592"/>
                    </a:xfrm>
                    <a:prstGeom prst="rect">
                      <a:avLst/>
                    </a:prstGeom>
                    <a:ln>
                      <a:noFill/>
                    </a:ln>
                    <a:extLst>
                      <a:ext uri="{53640926-AAD7-44D8-BBD7-CCE9431645EC}">
                        <a14:shadowObscured xmlns:a14="http://schemas.microsoft.com/office/drawing/2010/main"/>
                      </a:ext>
                    </a:extLst>
                  </pic:spPr>
                </pic:pic>
              </a:graphicData>
            </a:graphic>
          </wp:inline>
        </w:drawing>
      </w:r>
    </w:p>
    <w:p w:rsidR="003A7DC0" w:rsidRDefault="003A7DC0" w:rsidP="006D6F05">
      <w:r>
        <w:rPr>
          <w:noProof/>
          <w:lang w:eastAsia="en-GB"/>
        </w:rPr>
        <w:lastRenderedPageBreak/>
        <w:drawing>
          <wp:inline distT="0" distB="0" distL="0" distR="0" wp14:anchorId="39A4772D" wp14:editId="0555A575">
            <wp:extent cx="5613400" cy="8079129"/>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3528" t="13290" r="34771" b="6643"/>
                    <a:stretch/>
                  </pic:blipFill>
                  <pic:spPr bwMode="auto">
                    <a:xfrm>
                      <a:off x="0" y="0"/>
                      <a:ext cx="5643345" cy="8122227"/>
                    </a:xfrm>
                    <a:prstGeom prst="rect">
                      <a:avLst/>
                    </a:prstGeom>
                    <a:ln>
                      <a:noFill/>
                    </a:ln>
                    <a:extLst>
                      <a:ext uri="{53640926-AAD7-44D8-BBD7-CCE9431645EC}">
                        <a14:shadowObscured xmlns:a14="http://schemas.microsoft.com/office/drawing/2010/main"/>
                      </a:ext>
                    </a:extLst>
                  </pic:spPr>
                </pic:pic>
              </a:graphicData>
            </a:graphic>
          </wp:inline>
        </w:drawing>
      </w:r>
    </w:p>
    <w:p w:rsidR="003A7DC0" w:rsidRDefault="003A7DC0" w:rsidP="006D6F05">
      <w:r>
        <w:rPr>
          <w:noProof/>
          <w:lang w:eastAsia="en-GB"/>
        </w:rPr>
        <w:lastRenderedPageBreak/>
        <w:drawing>
          <wp:inline distT="0" distB="0" distL="0" distR="0" wp14:anchorId="5816F1D6" wp14:editId="2D3F3121">
            <wp:extent cx="5590540" cy="7801336"/>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3125" t="14005" r="34973" b="6288"/>
                    <a:stretch/>
                  </pic:blipFill>
                  <pic:spPr bwMode="auto">
                    <a:xfrm>
                      <a:off x="0" y="0"/>
                      <a:ext cx="5615502" cy="7836170"/>
                    </a:xfrm>
                    <a:prstGeom prst="rect">
                      <a:avLst/>
                    </a:prstGeom>
                    <a:ln>
                      <a:noFill/>
                    </a:ln>
                    <a:extLst>
                      <a:ext uri="{53640926-AAD7-44D8-BBD7-CCE9431645EC}">
                        <a14:shadowObscured xmlns:a14="http://schemas.microsoft.com/office/drawing/2010/main"/>
                      </a:ext>
                    </a:extLst>
                  </pic:spPr>
                </pic:pic>
              </a:graphicData>
            </a:graphic>
          </wp:inline>
        </w:drawing>
      </w:r>
    </w:p>
    <w:p w:rsidR="003A7DC0" w:rsidRDefault="003A7DC0" w:rsidP="006D6F05">
      <w:r>
        <w:rPr>
          <w:noProof/>
          <w:lang w:eastAsia="en-GB"/>
        </w:rPr>
        <w:lastRenderedPageBreak/>
        <w:drawing>
          <wp:inline distT="0" distB="0" distL="0" distR="0" wp14:anchorId="6D68F7EB" wp14:editId="1AE9D5EA">
            <wp:extent cx="5624830" cy="91324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3733" t="16521" r="34771" b="4489"/>
                    <a:stretch/>
                  </pic:blipFill>
                  <pic:spPr bwMode="auto">
                    <a:xfrm>
                      <a:off x="0" y="0"/>
                      <a:ext cx="5670686" cy="9206876"/>
                    </a:xfrm>
                    <a:prstGeom prst="rect">
                      <a:avLst/>
                    </a:prstGeom>
                    <a:ln>
                      <a:noFill/>
                    </a:ln>
                    <a:extLst>
                      <a:ext uri="{53640926-AAD7-44D8-BBD7-CCE9431645EC}">
                        <a14:shadowObscured xmlns:a14="http://schemas.microsoft.com/office/drawing/2010/main"/>
                      </a:ext>
                    </a:extLst>
                  </pic:spPr>
                </pic:pic>
              </a:graphicData>
            </a:graphic>
          </wp:inline>
        </w:drawing>
      </w:r>
    </w:p>
    <w:p w:rsidR="003A7DC0" w:rsidRDefault="003A7DC0" w:rsidP="006D6F05">
      <w:r>
        <w:rPr>
          <w:noProof/>
          <w:lang w:eastAsia="en-GB"/>
        </w:rPr>
        <w:lastRenderedPageBreak/>
        <w:drawing>
          <wp:inline distT="0" distB="0" distL="0" distR="0" wp14:anchorId="34151082" wp14:editId="32545053">
            <wp:extent cx="5717540" cy="7292050"/>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935" t="13291" r="34771" b="5925"/>
                    <a:stretch/>
                  </pic:blipFill>
                  <pic:spPr bwMode="auto">
                    <a:xfrm>
                      <a:off x="0" y="0"/>
                      <a:ext cx="5736500" cy="7316231"/>
                    </a:xfrm>
                    <a:prstGeom prst="rect">
                      <a:avLst/>
                    </a:prstGeom>
                    <a:ln>
                      <a:noFill/>
                    </a:ln>
                    <a:extLst>
                      <a:ext uri="{53640926-AAD7-44D8-BBD7-CCE9431645EC}">
                        <a14:shadowObscured xmlns:a14="http://schemas.microsoft.com/office/drawing/2010/main"/>
                      </a:ext>
                    </a:extLst>
                  </pic:spPr>
                </pic:pic>
              </a:graphicData>
            </a:graphic>
          </wp:inline>
        </w:drawing>
      </w:r>
    </w:p>
    <w:p w:rsidR="003A7DC0" w:rsidRDefault="003A7DC0" w:rsidP="006D6F05"/>
    <w:p w:rsidR="003A7DC0" w:rsidRDefault="003A7DC0" w:rsidP="006D6F05"/>
    <w:p w:rsidR="003A7DC0" w:rsidRDefault="003A7DC0" w:rsidP="006D6F05"/>
    <w:p w:rsidR="003A7DC0" w:rsidRDefault="003A7DC0" w:rsidP="006D6F05"/>
    <w:p w:rsidR="003A7DC0" w:rsidRDefault="003A7DC0" w:rsidP="006D6F05"/>
    <w:p w:rsidR="003A7DC0" w:rsidRPr="006D6F05" w:rsidRDefault="003A7DC0" w:rsidP="006D6F05"/>
    <w:p w:rsidR="004315D0" w:rsidRPr="004315D0" w:rsidRDefault="004315D0" w:rsidP="00834070">
      <w:pPr>
        <w:pStyle w:val="Heading2"/>
      </w:pPr>
      <w:r w:rsidRPr="004315D0">
        <w:t>Table of Figures</w:t>
      </w:r>
    </w:p>
    <w:p w:rsidR="006D6F05" w:rsidRDefault="004315D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92997769" w:history="1">
        <w:r w:rsidR="006D6F05" w:rsidRPr="002773DD">
          <w:rPr>
            <w:rStyle w:val="Hyperlink"/>
            <w:noProof/>
          </w:rPr>
          <w:t>Figure 1 Gantt chart timeline for project</w:t>
        </w:r>
        <w:r w:rsidR="006D6F05">
          <w:rPr>
            <w:noProof/>
            <w:webHidden/>
          </w:rPr>
          <w:tab/>
        </w:r>
        <w:r w:rsidR="006D6F05">
          <w:rPr>
            <w:noProof/>
            <w:webHidden/>
          </w:rPr>
          <w:fldChar w:fldCharType="begin"/>
        </w:r>
        <w:r w:rsidR="006D6F05">
          <w:rPr>
            <w:noProof/>
            <w:webHidden/>
          </w:rPr>
          <w:instrText xml:space="preserve"> PAGEREF _Toc92997769 \h </w:instrText>
        </w:r>
        <w:r w:rsidR="006D6F05">
          <w:rPr>
            <w:noProof/>
            <w:webHidden/>
          </w:rPr>
        </w:r>
        <w:r w:rsidR="006D6F05">
          <w:rPr>
            <w:noProof/>
            <w:webHidden/>
          </w:rPr>
          <w:fldChar w:fldCharType="separate"/>
        </w:r>
        <w:r w:rsidR="006D6F05">
          <w:rPr>
            <w:noProof/>
            <w:webHidden/>
          </w:rPr>
          <w:t>3</w:t>
        </w:r>
        <w:r w:rsidR="006D6F05">
          <w:rPr>
            <w:noProof/>
            <w:webHidden/>
          </w:rPr>
          <w:fldChar w:fldCharType="end"/>
        </w:r>
      </w:hyperlink>
    </w:p>
    <w:p w:rsidR="006D6F05" w:rsidRDefault="006D6F05">
      <w:pPr>
        <w:pStyle w:val="TableofFigures"/>
        <w:tabs>
          <w:tab w:val="right" w:leader="dot" w:pos="9016"/>
        </w:tabs>
        <w:rPr>
          <w:rFonts w:eastAsiaTheme="minorEastAsia"/>
          <w:noProof/>
          <w:lang w:eastAsia="en-GB"/>
        </w:rPr>
      </w:pPr>
      <w:hyperlink w:anchor="_Toc92997770" w:history="1">
        <w:r w:rsidRPr="002773DD">
          <w:rPr>
            <w:rStyle w:val="Hyperlink"/>
            <w:noProof/>
          </w:rPr>
          <w:t>Figure 2 Example of Table for data collection</w:t>
        </w:r>
        <w:r>
          <w:rPr>
            <w:noProof/>
            <w:webHidden/>
          </w:rPr>
          <w:tab/>
        </w:r>
        <w:r>
          <w:rPr>
            <w:noProof/>
            <w:webHidden/>
          </w:rPr>
          <w:fldChar w:fldCharType="begin"/>
        </w:r>
        <w:r>
          <w:rPr>
            <w:noProof/>
            <w:webHidden/>
          </w:rPr>
          <w:instrText xml:space="preserve"> PAGEREF _Toc92997770 \h </w:instrText>
        </w:r>
        <w:r>
          <w:rPr>
            <w:noProof/>
            <w:webHidden/>
          </w:rPr>
        </w:r>
        <w:r>
          <w:rPr>
            <w:noProof/>
            <w:webHidden/>
          </w:rPr>
          <w:fldChar w:fldCharType="separate"/>
        </w:r>
        <w:r>
          <w:rPr>
            <w:noProof/>
            <w:webHidden/>
          </w:rPr>
          <w:t>4</w:t>
        </w:r>
        <w:r>
          <w:rPr>
            <w:noProof/>
            <w:webHidden/>
          </w:rPr>
          <w:fldChar w:fldCharType="end"/>
        </w:r>
      </w:hyperlink>
    </w:p>
    <w:p w:rsidR="006D6F05" w:rsidRDefault="006D6F05">
      <w:pPr>
        <w:pStyle w:val="TableofFigures"/>
        <w:tabs>
          <w:tab w:val="right" w:leader="dot" w:pos="9016"/>
        </w:tabs>
        <w:rPr>
          <w:rFonts w:eastAsiaTheme="minorEastAsia"/>
          <w:noProof/>
          <w:lang w:eastAsia="en-GB"/>
        </w:rPr>
      </w:pPr>
      <w:hyperlink w:anchor="_Toc92997771" w:history="1">
        <w:r w:rsidRPr="002773DD">
          <w:rPr>
            <w:rStyle w:val="Hyperlink"/>
            <w:noProof/>
          </w:rPr>
          <w:t>Figure 3 Example of Acoustic Model</w:t>
        </w:r>
        <w:r>
          <w:rPr>
            <w:noProof/>
            <w:webHidden/>
          </w:rPr>
          <w:tab/>
        </w:r>
        <w:r>
          <w:rPr>
            <w:noProof/>
            <w:webHidden/>
          </w:rPr>
          <w:fldChar w:fldCharType="begin"/>
        </w:r>
        <w:r>
          <w:rPr>
            <w:noProof/>
            <w:webHidden/>
          </w:rPr>
          <w:instrText xml:space="preserve"> PAGEREF _Toc92997771 \h </w:instrText>
        </w:r>
        <w:r>
          <w:rPr>
            <w:noProof/>
            <w:webHidden/>
          </w:rPr>
        </w:r>
        <w:r>
          <w:rPr>
            <w:noProof/>
            <w:webHidden/>
          </w:rPr>
          <w:fldChar w:fldCharType="separate"/>
        </w:r>
        <w:r>
          <w:rPr>
            <w:noProof/>
            <w:webHidden/>
          </w:rPr>
          <w:t>5</w:t>
        </w:r>
        <w:r>
          <w:rPr>
            <w:noProof/>
            <w:webHidden/>
          </w:rPr>
          <w:fldChar w:fldCharType="end"/>
        </w:r>
      </w:hyperlink>
    </w:p>
    <w:p w:rsidR="006D6F05" w:rsidRDefault="006D6F05">
      <w:pPr>
        <w:pStyle w:val="TableofFigures"/>
        <w:tabs>
          <w:tab w:val="right" w:leader="dot" w:pos="9016"/>
        </w:tabs>
        <w:rPr>
          <w:rFonts w:eastAsiaTheme="minorEastAsia"/>
          <w:noProof/>
          <w:lang w:eastAsia="en-GB"/>
        </w:rPr>
      </w:pPr>
      <w:hyperlink w:anchor="_Toc92997772" w:history="1">
        <w:r w:rsidRPr="002773DD">
          <w:rPr>
            <w:rStyle w:val="Hyperlink"/>
            <w:noProof/>
          </w:rPr>
          <w:t>Figure 4 Example of a Met office forecast</w:t>
        </w:r>
        <w:r>
          <w:rPr>
            <w:noProof/>
            <w:webHidden/>
          </w:rPr>
          <w:tab/>
        </w:r>
        <w:r>
          <w:rPr>
            <w:noProof/>
            <w:webHidden/>
          </w:rPr>
          <w:fldChar w:fldCharType="begin"/>
        </w:r>
        <w:r>
          <w:rPr>
            <w:noProof/>
            <w:webHidden/>
          </w:rPr>
          <w:instrText xml:space="preserve"> PAGEREF _Toc92997772 \h </w:instrText>
        </w:r>
        <w:r>
          <w:rPr>
            <w:noProof/>
            <w:webHidden/>
          </w:rPr>
        </w:r>
        <w:r>
          <w:rPr>
            <w:noProof/>
            <w:webHidden/>
          </w:rPr>
          <w:fldChar w:fldCharType="separate"/>
        </w:r>
        <w:r>
          <w:rPr>
            <w:noProof/>
            <w:webHidden/>
          </w:rPr>
          <w:t>6</w:t>
        </w:r>
        <w:r>
          <w:rPr>
            <w:noProof/>
            <w:webHidden/>
          </w:rPr>
          <w:fldChar w:fldCharType="end"/>
        </w:r>
      </w:hyperlink>
    </w:p>
    <w:p w:rsidR="004315D0" w:rsidRDefault="004315D0" w:rsidP="004315D0">
      <w:r>
        <w:fldChar w:fldCharType="end"/>
      </w:r>
    </w:p>
    <w:p w:rsidR="00523AE4" w:rsidRDefault="00523AE4" w:rsidP="004315D0"/>
    <w:p w:rsidR="00523AE4" w:rsidRDefault="00523AE4" w:rsidP="004315D0"/>
    <w:p w:rsidR="00523AE4" w:rsidRDefault="00523AE4" w:rsidP="004315D0"/>
    <w:p w:rsidR="00523AE4" w:rsidRDefault="00523AE4" w:rsidP="004315D0"/>
    <w:sdt>
      <w:sdtPr>
        <w:rPr>
          <w:rFonts w:asciiTheme="minorHAnsi" w:eastAsiaTheme="minorHAnsi" w:hAnsiTheme="minorHAnsi" w:cstheme="minorBidi"/>
          <w:color w:val="auto"/>
          <w:sz w:val="22"/>
          <w:szCs w:val="22"/>
        </w:rPr>
        <w:id w:val="-836308477"/>
        <w:docPartObj>
          <w:docPartGallery w:val="Bibliographies"/>
          <w:docPartUnique/>
        </w:docPartObj>
      </w:sdtPr>
      <w:sdtEndPr/>
      <w:sdtContent>
        <w:p w:rsidR="00523AE4" w:rsidRPr="00834070" w:rsidRDefault="00523AE4">
          <w:pPr>
            <w:pStyle w:val="Heading1"/>
            <w:rPr>
              <w:rStyle w:val="Heading2Char"/>
            </w:rPr>
          </w:pPr>
          <w:r w:rsidRPr="00834070">
            <w:rPr>
              <w:rStyle w:val="Heading2Char"/>
            </w:rPr>
            <w:t>Bibliography</w:t>
          </w:r>
        </w:p>
        <w:sdt>
          <w:sdtPr>
            <w:id w:val="111145805"/>
            <w:bibliography/>
          </w:sdtPr>
          <w:sdtEndPr/>
          <w:sdtContent>
            <w:p w:rsidR="000B296C" w:rsidRDefault="00523AE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5"/>
                <w:gridCol w:w="8731"/>
              </w:tblGrid>
              <w:tr w:rsidR="000B296C">
                <w:trPr>
                  <w:divId w:val="818811449"/>
                  <w:tblCellSpacing w:w="15" w:type="dxa"/>
                </w:trPr>
                <w:tc>
                  <w:tcPr>
                    <w:tcW w:w="50" w:type="pct"/>
                    <w:hideMark/>
                  </w:tcPr>
                  <w:p w:rsidR="000B296C" w:rsidRDefault="000B296C">
                    <w:pPr>
                      <w:pStyle w:val="Bibliography"/>
                      <w:rPr>
                        <w:noProof/>
                        <w:sz w:val="24"/>
                        <w:szCs w:val="24"/>
                      </w:rPr>
                    </w:pPr>
                    <w:r>
                      <w:rPr>
                        <w:noProof/>
                      </w:rPr>
                      <w:t xml:space="preserve">[1] </w:t>
                    </w:r>
                  </w:p>
                </w:tc>
                <w:tc>
                  <w:tcPr>
                    <w:tcW w:w="0" w:type="auto"/>
                    <w:hideMark/>
                  </w:tcPr>
                  <w:p w:rsidR="000B296C" w:rsidRDefault="000B296C">
                    <w:pPr>
                      <w:pStyle w:val="Bibliography"/>
                      <w:rPr>
                        <w:noProof/>
                      </w:rPr>
                    </w:pPr>
                    <w:r>
                      <w:rPr>
                        <w:noProof/>
                      </w:rPr>
                      <w:t>P Gilbert, “CBR Range Operating Plan,” NA, NA, 2020.</w:t>
                    </w:r>
                  </w:p>
                </w:tc>
              </w:tr>
              <w:tr w:rsidR="000B296C">
                <w:trPr>
                  <w:divId w:val="818811449"/>
                  <w:tblCellSpacing w:w="15" w:type="dxa"/>
                </w:trPr>
                <w:tc>
                  <w:tcPr>
                    <w:tcW w:w="50" w:type="pct"/>
                    <w:hideMark/>
                  </w:tcPr>
                  <w:p w:rsidR="000B296C" w:rsidRDefault="000B296C">
                    <w:pPr>
                      <w:pStyle w:val="Bibliography"/>
                      <w:rPr>
                        <w:noProof/>
                      </w:rPr>
                    </w:pPr>
                    <w:r>
                      <w:rPr>
                        <w:noProof/>
                      </w:rPr>
                      <w:t xml:space="preserve">[2] </w:t>
                    </w:r>
                  </w:p>
                </w:tc>
                <w:tc>
                  <w:tcPr>
                    <w:tcW w:w="0" w:type="auto"/>
                    <w:hideMark/>
                  </w:tcPr>
                  <w:p w:rsidR="000B296C" w:rsidRDefault="000B296C">
                    <w:pPr>
                      <w:pStyle w:val="Bibliography"/>
                      <w:rPr>
                        <w:noProof/>
                      </w:rPr>
                    </w:pPr>
                    <w:r>
                      <w:rPr>
                        <w:noProof/>
                      </w:rPr>
                      <w:t>R. O. N. J. M. Olsen, “A noise assessment and prediction system,” Semantic Scholar, NA NA NA. [Online]. Available: https://www.semanticscholar.org/paper/A-noise-assessment-and-prediction-system-Olsen-Noble/cfb2d63761427314527a97eb62b9212c9f28ea78#citing-papers. [Accessed 02 01 2022].</w:t>
                    </w:r>
                  </w:p>
                </w:tc>
              </w:tr>
              <w:tr w:rsidR="000B296C">
                <w:trPr>
                  <w:divId w:val="818811449"/>
                  <w:tblCellSpacing w:w="15" w:type="dxa"/>
                </w:trPr>
                <w:tc>
                  <w:tcPr>
                    <w:tcW w:w="50" w:type="pct"/>
                    <w:hideMark/>
                  </w:tcPr>
                  <w:p w:rsidR="000B296C" w:rsidRDefault="000B296C">
                    <w:pPr>
                      <w:pStyle w:val="Bibliography"/>
                      <w:rPr>
                        <w:noProof/>
                      </w:rPr>
                    </w:pPr>
                    <w:r>
                      <w:rPr>
                        <w:noProof/>
                      </w:rPr>
                      <w:t xml:space="preserve">[3] </w:t>
                    </w:r>
                  </w:p>
                </w:tc>
                <w:tc>
                  <w:tcPr>
                    <w:tcW w:w="0" w:type="auto"/>
                    <w:hideMark/>
                  </w:tcPr>
                  <w:p w:rsidR="000B296C" w:rsidRDefault="000B296C">
                    <w:pPr>
                      <w:pStyle w:val="Bibliography"/>
                      <w:rPr>
                        <w:noProof/>
                      </w:rPr>
                    </w:pPr>
                    <w:r>
                      <w:rPr>
                        <w:noProof/>
                      </w:rPr>
                      <w:t>U. nations, “Noise prediction calculator,” United nations, NA NA NA. [Online]. Available: https://unsaferguard.org/un-saferguard/noise-prediction. [Accessed 01 01 2022].</w:t>
                    </w:r>
                  </w:p>
                </w:tc>
              </w:tr>
              <w:tr w:rsidR="000B296C">
                <w:trPr>
                  <w:divId w:val="818811449"/>
                  <w:tblCellSpacing w:w="15" w:type="dxa"/>
                </w:trPr>
                <w:tc>
                  <w:tcPr>
                    <w:tcW w:w="50" w:type="pct"/>
                    <w:hideMark/>
                  </w:tcPr>
                  <w:p w:rsidR="000B296C" w:rsidRDefault="000B296C">
                    <w:pPr>
                      <w:pStyle w:val="Bibliography"/>
                      <w:rPr>
                        <w:noProof/>
                      </w:rPr>
                    </w:pPr>
                    <w:r>
                      <w:rPr>
                        <w:noProof/>
                      </w:rPr>
                      <w:t xml:space="preserve">[4] </w:t>
                    </w:r>
                  </w:p>
                </w:tc>
                <w:tc>
                  <w:tcPr>
                    <w:tcW w:w="0" w:type="auto"/>
                    <w:hideMark/>
                  </w:tcPr>
                  <w:p w:rsidR="000B296C" w:rsidRDefault="000B296C">
                    <w:pPr>
                      <w:pStyle w:val="Bibliography"/>
                      <w:rPr>
                        <w:noProof/>
                      </w:rPr>
                    </w:pPr>
                    <w:r>
                      <w:rPr>
                        <w:noProof/>
                      </w:rPr>
                      <w:t>B. &amp;Kjaer, “How weather effects on noise measurements,” HBK company, NA NA NA. [Online]. Available: https://www.bksv.com/en/knowledge/blog/sound/noise-measurement-weather. [Accessed 04 01 2022].</w:t>
                    </w:r>
                  </w:p>
                </w:tc>
              </w:tr>
              <w:tr w:rsidR="000B296C">
                <w:trPr>
                  <w:divId w:val="818811449"/>
                  <w:tblCellSpacing w:w="15" w:type="dxa"/>
                </w:trPr>
                <w:tc>
                  <w:tcPr>
                    <w:tcW w:w="50" w:type="pct"/>
                    <w:hideMark/>
                  </w:tcPr>
                  <w:p w:rsidR="000B296C" w:rsidRDefault="000B296C">
                    <w:pPr>
                      <w:pStyle w:val="Bibliography"/>
                      <w:rPr>
                        <w:noProof/>
                      </w:rPr>
                    </w:pPr>
                    <w:r>
                      <w:rPr>
                        <w:noProof/>
                      </w:rPr>
                      <w:t xml:space="preserve">[5] </w:t>
                    </w:r>
                  </w:p>
                </w:tc>
                <w:tc>
                  <w:tcPr>
                    <w:tcW w:w="0" w:type="auto"/>
                    <w:hideMark/>
                  </w:tcPr>
                  <w:p w:rsidR="000B296C" w:rsidRDefault="000B296C">
                    <w:pPr>
                      <w:pStyle w:val="Bibliography"/>
                      <w:rPr>
                        <w:noProof/>
                      </w:rPr>
                    </w:pPr>
                    <w:r>
                      <w:rPr>
                        <w:noProof/>
                      </w:rPr>
                      <w:t>Comnoise, “Noise sources and their measurement,” NA NA NA. [Online]. Available: https://www.who.int/docstore/peh/noise/Comnoise-2.pdf. [Accessed 05 01 2022].</w:t>
                    </w:r>
                  </w:p>
                </w:tc>
              </w:tr>
              <w:tr w:rsidR="000B296C">
                <w:trPr>
                  <w:divId w:val="818811449"/>
                  <w:tblCellSpacing w:w="15" w:type="dxa"/>
                </w:trPr>
                <w:tc>
                  <w:tcPr>
                    <w:tcW w:w="50" w:type="pct"/>
                    <w:hideMark/>
                  </w:tcPr>
                  <w:p w:rsidR="000B296C" w:rsidRDefault="000B296C">
                    <w:pPr>
                      <w:pStyle w:val="Bibliography"/>
                      <w:rPr>
                        <w:noProof/>
                      </w:rPr>
                    </w:pPr>
                    <w:r>
                      <w:rPr>
                        <w:noProof/>
                      </w:rPr>
                      <w:t xml:space="preserve">[6] </w:t>
                    </w:r>
                  </w:p>
                </w:tc>
                <w:tc>
                  <w:tcPr>
                    <w:tcW w:w="0" w:type="auto"/>
                    <w:hideMark/>
                  </w:tcPr>
                  <w:p w:rsidR="000B296C" w:rsidRDefault="000B296C">
                    <w:pPr>
                      <w:pStyle w:val="Bibliography"/>
                      <w:rPr>
                        <w:noProof/>
                      </w:rPr>
                    </w:pPr>
                    <w:r>
                      <w:rPr>
                        <w:noProof/>
                      </w:rPr>
                      <w:t>MOD Shoeburyness, “Acoustic Forecasting &amp; Noise Monitoring,” Qinetiq, NA NA NA. [Online]. Available: https://www.qinetiq.com/en/shoeburyness/noise-management/acoustic-forecasting-and-noise-monitoring. [Accessed 29 12 2022].</w:t>
                    </w:r>
                  </w:p>
                </w:tc>
              </w:tr>
              <w:tr w:rsidR="000B296C">
                <w:trPr>
                  <w:divId w:val="818811449"/>
                  <w:tblCellSpacing w:w="15" w:type="dxa"/>
                </w:trPr>
                <w:tc>
                  <w:tcPr>
                    <w:tcW w:w="50" w:type="pct"/>
                    <w:hideMark/>
                  </w:tcPr>
                  <w:p w:rsidR="000B296C" w:rsidRDefault="000B296C">
                    <w:pPr>
                      <w:pStyle w:val="Bibliography"/>
                      <w:rPr>
                        <w:noProof/>
                      </w:rPr>
                    </w:pPr>
                    <w:r>
                      <w:rPr>
                        <w:noProof/>
                      </w:rPr>
                      <w:t xml:space="preserve">[7] </w:t>
                    </w:r>
                  </w:p>
                </w:tc>
                <w:tc>
                  <w:tcPr>
                    <w:tcW w:w="0" w:type="auto"/>
                    <w:hideMark/>
                  </w:tcPr>
                  <w:p w:rsidR="000B296C" w:rsidRDefault="000B296C">
                    <w:pPr>
                      <w:pStyle w:val="Bibliography"/>
                      <w:rPr>
                        <w:noProof/>
                      </w:rPr>
                    </w:pPr>
                    <w:r>
                      <w:rPr>
                        <w:noProof/>
                      </w:rPr>
                      <w:t>Met Office, “Met Office weather forecast,” Met Office, na na na. [Online]. Available: https://www.metoffice.gov.uk/weather/forecast/gcnfb360d#?nearestTo=Porton%20(Wiltshire)&amp;date=2022-01-12. [Accessed 11 01 2022].</w:t>
                    </w:r>
                  </w:p>
                </w:tc>
              </w:tr>
              <w:tr w:rsidR="000B296C">
                <w:trPr>
                  <w:divId w:val="818811449"/>
                  <w:tblCellSpacing w:w="15" w:type="dxa"/>
                </w:trPr>
                <w:tc>
                  <w:tcPr>
                    <w:tcW w:w="50" w:type="pct"/>
                    <w:hideMark/>
                  </w:tcPr>
                  <w:p w:rsidR="000B296C" w:rsidRDefault="000B296C">
                    <w:pPr>
                      <w:pStyle w:val="Bibliography"/>
                      <w:rPr>
                        <w:noProof/>
                      </w:rPr>
                    </w:pPr>
                    <w:r>
                      <w:rPr>
                        <w:noProof/>
                      </w:rPr>
                      <w:t xml:space="preserve">[8] </w:t>
                    </w:r>
                  </w:p>
                </w:tc>
                <w:tc>
                  <w:tcPr>
                    <w:tcW w:w="0" w:type="auto"/>
                    <w:hideMark/>
                  </w:tcPr>
                  <w:p w:rsidR="000B296C" w:rsidRDefault="000B296C">
                    <w:pPr>
                      <w:pStyle w:val="Bibliography"/>
                      <w:rPr>
                        <w:noProof/>
                      </w:rPr>
                    </w:pPr>
                    <w:r>
                      <w:rPr>
                        <w:noProof/>
                      </w:rPr>
                      <w:t>Met Office, “New radar noise level estimator,” NA NA NA. [Online]. Available: https://www.metoffice.gov.uk/research/news/2019/new-radar-noise-level-estimator. [Accessed 13 01 2022].</w:t>
                    </w:r>
                  </w:p>
                </w:tc>
              </w:tr>
            </w:tbl>
            <w:p w:rsidR="000B296C" w:rsidRDefault="000B296C">
              <w:pPr>
                <w:divId w:val="818811449"/>
                <w:rPr>
                  <w:rFonts w:eastAsia="Times New Roman"/>
                  <w:noProof/>
                </w:rPr>
              </w:pPr>
            </w:p>
            <w:p w:rsidR="00523AE4" w:rsidRDefault="00523AE4">
              <w:r>
                <w:rPr>
                  <w:b/>
                  <w:bCs/>
                  <w:noProof/>
                </w:rPr>
                <w:fldChar w:fldCharType="end"/>
              </w:r>
            </w:p>
          </w:sdtContent>
        </w:sdt>
      </w:sdtContent>
    </w:sdt>
    <w:p w:rsidR="00523AE4" w:rsidRPr="004315D0" w:rsidRDefault="00523AE4" w:rsidP="004315D0"/>
    <w:sectPr w:rsidR="00523AE4" w:rsidRPr="00431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00A01"/>
    <w:multiLevelType w:val="hybridMultilevel"/>
    <w:tmpl w:val="E1AC2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73260"/>
    <w:multiLevelType w:val="hybridMultilevel"/>
    <w:tmpl w:val="7FB0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B35BC9"/>
    <w:multiLevelType w:val="hybridMultilevel"/>
    <w:tmpl w:val="10B40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395DB0"/>
    <w:multiLevelType w:val="hybridMultilevel"/>
    <w:tmpl w:val="E31AE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B750E9"/>
    <w:multiLevelType w:val="hybridMultilevel"/>
    <w:tmpl w:val="5C745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D1D"/>
    <w:rsid w:val="00045265"/>
    <w:rsid w:val="000B296C"/>
    <w:rsid w:val="001E0E29"/>
    <w:rsid w:val="00206BE1"/>
    <w:rsid w:val="00282B2B"/>
    <w:rsid w:val="002D61C2"/>
    <w:rsid w:val="002D6A8B"/>
    <w:rsid w:val="003201DD"/>
    <w:rsid w:val="003610FB"/>
    <w:rsid w:val="00385232"/>
    <w:rsid w:val="003A7DC0"/>
    <w:rsid w:val="003D6E6B"/>
    <w:rsid w:val="004315D0"/>
    <w:rsid w:val="004676EF"/>
    <w:rsid w:val="00523AE4"/>
    <w:rsid w:val="00551030"/>
    <w:rsid w:val="00560A04"/>
    <w:rsid w:val="0058740F"/>
    <w:rsid w:val="006379E7"/>
    <w:rsid w:val="006D6F05"/>
    <w:rsid w:val="006F0EA2"/>
    <w:rsid w:val="007610A1"/>
    <w:rsid w:val="007617D3"/>
    <w:rsid w:val="007C6B75"/>
    <w:rsid w:val="00834070"/>
    <w:rsid w:val="00867D1D"/>
    <w:rsid w:val="00963205"/>
    <w:rsid w:val="009A4360"/>
    <w:rsid w:val="00A53970"/>
    <w:rsid w:val="00A54D7A"/>
    <w:rsid w:val="00B01125"/>
    <w:rsid w:val="00B522FD"/>
    <w:rsid w:val="00BB5D06"/>
    <w:rsid w:val="00BD26F9"/>
    <w:rsid w:val="00BE6D5B"/>
    <w:rsid w:val="00C0120B"/>
    <w:rsid w:val="00CB5431"/>
    <w:rsid w:val="00D34700"/>
    <w:rsid w:val="00D97839"/>
    <w:rsid w:val="00DE4F0C"/>
    <w:rsid w:val="00E241E2"/>
    <w:rsid w:val="00EA29E4"/>
    <w:rsid w:val="00EE455C"/>
    <w:rsid w:val="00FA0CB3"/>
    <w:rsid w:val="00FD043A"/>
    <w:rsid w:val="00FE462B"/>
    <w:rsid w:val="00FF4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EA158"/>
  <w15:chartTrackingRefBased/>
  <w15:docId w15:val="{0427E384-4F77-455E-82C5-86407F1F0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67D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67D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D6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D1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67D1D"/>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9632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455C"/>
    <w:pPr>
      <w:ind w:left="720"/>
      <w:contextualSpacing/>
    </w:pPr>
  </w:style>
  <w:style w:type="character" w:customStyle="1" w:styleId="Heading3Char">
    <w:name w:val="Heading 3 Char"/>
    <w:basedOn w:val="DefaultParagraphFont"/>
    <w:link w:val="Heading3"/>
    <w:uiPriority w:val="9"/>
    <w:rsid w:val="002D6A8B"/>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B522FD"/>
    <w:rPr>
      <w:color w:val="0563C1" w:themeColor="hyperlink"/>
      <w:u w:val="single"/>
    </w:rPr>
  </w:style>
  <w:style w:type="paragraph" w:customStyle="1" w:styleId="Text1">
    <w:name w:val="Text1"/>
    <w:uiPriority w:val="99"/>
    <w:rsid w:val="00C0120B"/>
    <w:pPr>
      <w:tabs>
        <w:tab w:val="num" w:pos="851"/>
      </w:tabs>
      <w:spacing w:after="120" w:line="240" w:lineRule="auto"/>
      <w:ind w:left="851"/>
      <w:jc w:val="both"/>
    </w:pPr>
    <w:rPr>
      <w:rFonts w:ascii="Arial" w:eastAsia="Times New Roman" w:hAnsi="Arial" w:cs="Times New Roman"/>
      <w:noProof/>
      <w:sz w:val="24"/>
      <w:szCs w:val="20"/>
      <w:lang w:eastAsia="en-GB"/>
    </w:rPr>
  </w:style>
  <w:style w:type="paragraph" w:styleId="Caption">
    <w:name w:val="caption"/>
    <w:basedOn w:val="Normal"/>
    <w:next w:val="Normal"/>
    <w:uiPriority w:val="35"/>
    <w:unhideWhenUsed/>
    <w:qFormat/>
    <w:rsid w:val="004315D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315D0"/>
    <w:pPr>
      <w:spacing w:after="0"/>
    </w:pPr>
  </w:style>
  <w:style w:type="character" w:styleId="FollowedHyperlink">
    <w:name w:val="FollowedHyperlink"/>
    <w:basedOn w:val="DefaultParagraphFont"/>
    <w:uiPriority w:val="99"/>
    <w:semiHidden/>
    <w:unhideWhenUsed/>
    <w:rsid w:val="00385232"/>
    <w:rPr>
      <w:color w:val="954F72" w:themeColor="followedHyperlink"/>
      <w:u w:val="single"/>
    </w:rPr>
  </w:style>
  <w:style w:type="paragraph" w:styleId="Bibliography">
    <w:name w:val="Bibliography"/>
    <w:basedOn w:val="Normal"/>
    <w:next w:val="Normal"/>
    <w:uiPriority w:val="37"/>
    <w:unhideWhenUsed/>
    <w:rsid w:val="00523A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9478">
      <w:bodyDiv w:val="1"/>
      <w:marLeft w:val="0"/>
      <w:marRight w:val="0"/>
      <w:marTop w:val="0"/>
      <w:marBottom w:val="0"/>
      <w:divBdr>
        <w:top w:val="none" w:sz="0" w:space="0" w:color="auto"/>
        <w:left w:val="none" w:sz="0" w:space="0" w:color="auto"/>
        <w:bottom w:val="none" w:sz="0" w:space="0" w:color="auto"/>
        <w:right w:val="none" w:sz="0" w:space="0" w:color="auto"/>
      </w:divBdr>
    </w:div>
    <w:div w:id="132062476">
      <w:bodyDiv w:val="1"/>
      <w:marLeft w:val="0"/>
      <w:marRight w:val="0"/>
      <w:marTop w:val="0"/>
      <w:marBottom w:val="0"/>
      <w:divBdr>
        <w:top w:val="none" w:sz="0" w:space="0" w:color="auto"/>
        <w:left w:val="none" w:sz="0" w:space="0" w:color="auto"/>
        <w:bottom w:val="none" w:sz="0" w:space="0" w:color="auto"/>
        <w:right w:val="none" w:sz="0" w:space="0" w:color="auto"/>
      </w:divBdr>
    </w:div>
    <w:div w:id="739644274">
      <w:bodyDiv w:val="1"/>
      <w:marLeft w:val="0"/>
      <w:marRight w:val="0"/>
      <w:marTop w:val="0"/>
      <w:marBottom w:val="0"/>
      <w:divBdr>
        <w:top w:val="none" w:sz="0" w:space="0" w:color="auto"/>
        <w:left w:val="none" w:sz="0" w:space="0" w:color="auto"/>
        <w:bottom w:val="none" w:sz="0" w:space="0" w:color="auto"/>
        <w:right w:val="none" w:sz="0" w:space="0" w:color="auto"/>
      </w:divBdr>
    </w:div>
    <w:div w:id="818811449">
      <w:bodyDiv w:val="1"/>
      <w:marLeft w:val="0"/>
      <w:marRight w:val="0"/>
      <w:marTop w:val="0"/>
      <w:marBottom w:val="0"/>
      <w:divBdr>
        <w:top w:val="none" w:sz="0" w:space="0" w:color="auto"/>
        <w:left w:val="none" w:sz="0" w:space="0" w:color="auto"/>
        <w:bottom w:val="none" w:sz="0" w:space="0" w:color="auto"/>
        <w:right w:val="none" w:sz="0" w:space="0" w:color="auto"/>
      </w:divBdr>
    </w:div>
    <w:div w:id="851408350">
      <w:bodyDiv w:val="1"/>
      <w:marLeft w:val="0"/>
      <w:marRight w:val="0"/>
      <w:marTop w:val="0"/>
      <w:marBottom w:val="0"/>
      <w:divBdr>
        <w:top w:val="none" w:sz="0" w:space="0" w:color="auto"/>
        <w:left w:val="none" w:sz="0" w:space="0" w:color="auto"/>
        <w:bottom w:val="none" w:sz="0" w:space="0" w:color="auto"/>
        <w:right w:val="none" w:sz="0" w:space="0" w:color="auto"/>
      </w:divBdr>
    </w:div>
    <w:div w:id="1247808137">
      <w:bodyDiv w:val="1"/>
      <w:marLeft w:val="0"/>
      <w:marRight w:val="0"/>
      <w:marTop w:val="0"/>
      <w:marBottom w:val="0"/>
      <w:divBdr>
        <w:top w:val="none" w:sz="0" w:space="0" w:color="auto"/>
        <w:left w:val="none" w:sz="0" w:space="0" w:color="auto"/>
        <w:bottom w:val="none" w:sz="0" w:space="0" w:color="auto"/>
        <w:right w:val="none" w:sz="0" w:space="0" w:color="auto"/>
      </w:divBdr>
    </w:div>
    <w:div w:id="1703821053">
      <w:bodyDiv w:val="1"/>
      <w:marLeft w:val="0"/>
      <w:marRight w:val="0"/>
      <w:marTop w:val="0"/>
      <w:marBottom w:val="0"/>
      <w:divBdr>
        <w:top w:val="none" w:sz="0" w:space="0" w:color="auto"/>
        <w:left w:val="none" w:sz="0" w:space="0" w:color="auto"/>
        <w:bottom w:val="none" w:sz="0" w:space="0" w:color="auto"/>
        <w:right w:val="none" w:sz="0" w:space="0" w:color="auto"/>
      </w:divBdr>
    </w:div>
    <w:div w:id="1769546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PGi20</b:Tag>
    <b:SourceType>Report</b:SourceType>
    <b:Guid>{1CFD29CC-F427-44AD-B853-DA780A97C756}</b:Guid>
    <b:Author>
      <b:Author>
        <b:Corporate>P Gilbert</b:Corporate>
      </b:Author>
    </b:Author>
    <b:Title>CBR Range Operating Plan</b:Title>
    <b:Year>2020</b:Year>
    <b:Publisher>NA</b:Publisher>
    <b:City>NA</b:City>
    <b:RefOrder>1</b:RefOrder>
  </b:Source>
  <b:Source>
    <b:Tag>UniNA</b:Tag>
    <b:SourceType>InternetSite</b:SourceType>
    <b:Guid>{9760CA6D-EC5A-4C77-8A34-F05AFC9D0147}</b:Guid>
    <b:Title>Noise prediction calculator</b:Title>
    <b:Year>NA</b:Year>
    <b:Author>
      <b:Author>
        <b:NameList>
          <b:Person>
            <b:Last>nations</b:Last>
            <b:First>United</b:First>
          </b:Person>
        </b:NameList>
      </b:Author>
    </b:Author>
    <b:ProductionCompany>United nations</b:ProductionCompany>
    <b:Month>NA</b:Month>
    <b:Day>NA</b:Day>
    <b:YearAccessed>2022</b:YearAccessed>
    <b:MonthAccessed>01</b:MonthAccessed>
    <b:DayAccessed>01</b:DayAccessed>
    <b:URL>https://unsaferguard.org/un-saferguard/noise-prediction</b:URL>
    <b:RefOrder>3</b:RefOrder>
  </b:Source>
  <b:Source>
    <b:Tag>OlsNA</b:Tag>
    <b:SourceType>InternetSite</b:SourceType>
    <b:Guid>{E67F238D-244A-4499-9328-E203CE37673C}</b:Guid>
    <b:Author>
      <b:Author>
        <b:NameList>
          <b:Person>
            <b:Last>Olsen</b:Last>
            <b:First>Robert</b:First>
            <b:Middle>O. Noble, John M.</b:Middle>
          </b:Person>
        </b:NameList>
      </b:Author>
    </b:Author>
    <b:Title>A noise assessment and prediction system</b:Title>
    <b:ProductionCompany>Semantic Scholar</b:ProductionCompany>
    <b:Year>NA</b:Year>
    <b:Month>NA</b:Month>
    <b:Day>NA</b:Day>
    <b:YearAccessed>2022</b:YearAccessed>
    <b:MonthAccessed>01</b:MonthAccessed>
    <b:DayAccessed>02</b:DayAccessed>
    <b:URL>https://www.semanticscholar.org/paper/A-noise-assessment-and-prediction-system-Olsen-Noble/cfb2d63761427314527a97eb62b9212c9f28ea78#citing-papers</b:URL>
    <b:RefOrder>2</b:RefOrder>
  </b:Source>
  <b:Source>
    <b:Tag>BruNA</b:Tag>
    <b:SourceType>InternetSite</b:SourceType>
    <b:Guid>{6EAF35D6-03BE-4191-ABC5-A6B6D3925FC6}</b:Guid>
    <b:Title>How weather effects on noise measurements</b:Title>
    <b:Year>NA</b:Year>
    <b:Author>
      <b:Author>
        <b:NameList>
          <b:Person>
            <b:Last>&amp;Kjaer</b:Last>
            <b:First>Bruel</b:First>
          </b:Person>
        </b:NameList>
      </b:Author>
    </b:Author>
    <b:ProductionCompany>HBK company</b:ProductionCompany>
    <b:Month>NA</b:Month>
    <b:Day>NA</b:Day>
    <b:YearAccessed>2022</b:YearAccessed>
    <b:MonthAccessed>01</b:MonthAccessed>
    <b:DayAccessed>04</b:DayAccessed>
    <b:URL>https://www.bksv.com/en/knowledge/blog/sound/noise-measurement-weather</b:URL>
    <b:RefOrder>4</b:RefOrder>
  </b:Source>
  <b:Source>
    <b:Tag>ComNA</b:Tag>
    <b:SourceType>DocumentFromInternetSite</b:SourceType>
    <b:Guid>{DD46DC73-C8C7-4EA3-A67D-839D188F5789}</b:Guid>
    <b:Title>Noise sources and their measurement</b:Title>
    <b:Year>NA</b:Year>
    <b:Month>NA</b:Month>
    <b:Day>NA</b:Day>
    <b:YearAccessed>2022</b:YearAccessed>
    <b:MonthAccessed>01</b:MonthAccessed>
    <b:DayAccessed>05</b:DayAccessed>
    <b:URL>https://www.who.int/docstore/peh/noise/Comnoise-2.pdf</b:URL>
    <b:Author>
      <b:Author>
        <b:Corporate>Comnoise</b:Corporate>
      </b:Author>
    </b:Author>
    <b:RefOrder>5</b:RefOrder>
  </b:Source>
  <b:Source>
    <b:Tag>MODNA</b:Tag>
    <b:SourceType>InternetSite</b:SourceType>
    <b:Guid>{0A54B009-CDC9-4EA1-B42D-9277F557C48E}</b:Guid>
    <b:Title>Acoustic Forecasting &amp; Noise Monitoring</b:Title>
    <b:Year>NA</b:Year>
    <b:Month>NA</b:Month>
    <b:Day>NA</b:Day>
    <b:YearAccessed>2022</b:YearAccessed>
    <b:MonthAccessed>12</b:MonthAccessed>
    <b:DayAccessed>29</b:DayAccessed>
    <b:URL>https://www.qinetiq.com/en/shoeburyness/noise-management/acoustic-forecasting-and-noise-monitoring</b:URL>
    <b:Author>
      <b:Author>
        <b:Corporate>MOD Shoeburyness</b:Corporate>
      </b:Author>
    </b:Author>
    <b:ProductionCompany>Qinetiq</b:ProductionCompany>
    <b:RefOrder>6</b:RefOrder>
  </b:Source>
  <b:Source>
    <b:Tag>Metna</b:Tag>
    <b:SourceType>DocumentFromInternetSite</b:SourceType>
    <b:Guid>{F198B3E1-7634-4C23-8797-4BE5F3A80C41}</b:Guid>
    <b:Author>
      <b:Author>
        <b:Corporate>Met Office</b:Corporate>
      </b:Author>
    </b:Author>
    <b:Title>Met Office weather forecast</b:Title>
    <b:ProductionCompany>Met Office</b:ProductionCompany>
    <b:Year>na</b:Year>
    <b:Month>na</b:Month>
    <b:Day>na</b:Day>
    <b:YearAccessed>2022</b:YearAccessed>
    <b:MonthAccessed>01</b:MonthAccessed>
    <b:DayAccessed>11</b:DayAccessed>
    <b:URL>https://www.metoffice.gov.uk/weather/forecast/gcnfb360d#?nearestTo=Porton%20(Wiltshire)&amp;date=2022-01-12</b:URL>
    <b:RefOrder>7</b:RefOrder>
  </b:Source>
  <b:Source>
    <b:Tag>MetNA</b:Tag>
    <b:SourceType>DocumentFromInternetSite</b:SourceType>
    <b:Guid>{6181D4AF-FB7B-4F74-A1A9-577BA14907EC}</b:Guid>
    <b:Author>
      <b:Author>
        <b:Corporate>Met Office</b:Corporate>
      </b:Author>
    </b:Author>
    <b:Title>New radar noise level estimator</b:Title>
    <b:Year>NA</b:Year>
    <b:Month>NA</b:Month>
    <b:Day>NA</b:Day>
    <b:YearAccessed>2022</b:YearAccessed>
    <b:MonthAccessed>01</b:MonthAccessed>
    <b:DayAccessed>13</b:DayAccessed>
    <b:URL>https://www.metoffice.gov.uk/research/news/2019/new-radar-noise-level-estimator</b:URL>
    <b:RefOrder>8</b:RefOrder>
  </b:Source>
</b:Sources>
</file>

<file path=customXml/itemProps1.xml><?xml version="1.0" encoding="utf-8"?>
<ds:datastoreItem xmlns:ds="http://schemas.openxmlformats.org/officeDocument/2006/customXml" ds:itemID="{C85DA291-C911-4A7F-B878-BCB30EA9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1164</Words>
  <Characters>6639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Ling Scott M</dc:creator>
  <cp:keywords/>
  <dc:description/>
  <cp:lastModifiedBy>Ling Scott M</cp:lastModifiedBy>
  <cp:revision>4</cp:revision>
  <dcterms:created xsi:type="dcterms:W3CDTF">2022-01-13T21:06:00Z</dcterms:created>
  <dcterms:modified xsi:type="dcterms:W3CDTF">2022-01-13T21:19:00Z</dcterms:modified>
</cp:coreProperties>
</file>