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Heading1"/>
        <w:keepNext w:val="0"/>
        <w:keepLines w:val="0"/>
        <w:spacing w:before="480" w:line="480" w:lineRule="auto"/>
        <w:jc w:val="center"/>
        <w:rPr>
          <w:rFonts w:ascii="Times New Roman" w:cs="Times New Roman" w:eastAsia="Times New Roman" w:hAnsi="Times New Roman"/>
          <w:i w:val="1"/>
          <w:iCs w:val="1"/>
          <w:sz w:val="24"/>
          <w:szCs w:val="24"/>
        </w:rPr>
      </w:pPr>
      <w:bookmarkStart w:colFirst="0" w:colLast="0" w:name="_m09vngsl9dny" w:id="0"/>
      <w:bookmarkEnd w:id="0"/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sz w:val="24"/>
          <w:szCs w:val="24"/>
          <w:rtl w:val="0"/>
        </w:rPr>
        <w:t xml:space="preserve">References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after="240" w:before="240" w:line="480" w:lineRule="auto"/>
        <w:ind w:left="850.3937007874016" w:hanging="850.3937007874016"/>
        <w:rPr>
          <w:rFonts w:ascii="Times New Roman" w:cs="Times New Roman" w:eastAsia="Times New Roman" w:hAnsi="Times New Roman"/>
          <w:color w:val="1155cc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sz w:val="24"/>
          <w:szCs w:val="24"/>
          <w:highlight w:val="white"/>
          <w:rtl w:val="0"/>
        </w:rPr>
        <w:t xml:space="preserve">Summers, K. M. (2025).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222222"/>
          <w:sz w:val="24"/>
          <w:szCs w:val="24"/>
          <w:highlight w:val="white"/>
          <w:rtl w:val="0"/>
        </w:rPr>
        <w:t xml:space="preserve">Who Gets to Be a Child and When? The Pervasive Yet Contextually Shaped Nature of Racialized Adultification Across Perceivers and Contexts</w:t>
      </w:r>
      <w:r w:rsidDel="00000000" w:rsidR="00000000" w:rsidRPr="00000000">
        <w:rPr>
          <w:rFonts w:ascii="Times New Roman" w:cs="Times New Roman" w:eastAsia="Times New Roman" w:hAnsi="Times New Roman"/>
          <w:color w:val="222222"/>
          <w:sz w:val="24"/>
          <w:szCs w:val="24"/>
          <w:highlight w:val="white"/>
          <w:rtl w:val="0"/>
        </w:rPr>
        <w:t xml:space="preserve"> (Doctoral dissertation, University of Denver).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after="240" w:before="240" w:line="480" w:lineRule="auto"/>
        <w:ind w:left="850.3937007874016" w:hanging="850.3937007874016"/>
        <w:rPr>
          <w:rFonts w:ascii="Times New Roman" w:cs="Times New Roman" w:eastAsia="Times New Roman" w:hAnsi="Times New Roman"/>
          <w:color w:val="1155cc"/>
          <w:sz w:val="24"/>
          <w:szCs w:val="24"/>
          <w:u w:val="singl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Department for Education (2023)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rtl w:val="0"/>
        </w:rPr>
        <w:t xml:space="preserve">Working Together to Safeguard Children: statutory guidance.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GOV.UK. Available at:</w:t>
      </w:r>
      <w:hyperlink r:id="rId6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7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https://assets.publishing.service.gov.uk/media/6849a7b67cba25f610c7db3f/Working_together_to_safeguard_children_2023_-_statutory_guidance.pdf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after="240" w:before="240" w:line="480" w:lineRule="auto"/>
        <w:ind w:left="850.3937007874016" w:hanging="850.3937007874016"/>
        <w:rPr>
          <w:rFonts w:ascii="Times New Roman" w:cs="Times New Roman" w:eastAsia="Times New Roman" w:hAnsi="Times New Roman"/>
          <w:color w:val="1155cc"/>
          <w:sz w:val="24"/>
          <w:szCs w:val="24"/>
          <w:u w:val="singl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Emsley, E., Smith, J., Martin, D. and Lewis, N.V. (2022) Trauma-informed care in the UK: where are we? A qualitative study of health policies and professional perspectives.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rtl w:val="0"/>
        </w:rPr>
        <w:t xml:space="preserve">BMC Health Services Research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22(1), p.1164.</w:t>
      </w:r>
      <w:hyperlink r:id="rId8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9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https://doi.org/10.1186/s12913-022-08461-w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after="240" w:before="240" w:line="480" w:lineRule="auto"/>
        <w:ind w:left="850.3937007874016" w:hanging="850.3937007874016"/>
        <w:rPr>
          <w:rFonts w:ascii="Times New Roman" w:cs="Times New Roman" w:eastAsia="Times New Roman" w:hAnsi="Times New Roman"/>
          <w:color w:val="1155cc"/>
          <w:sz w:val="24"/>
          <w:szCs w:val="24"/>
          <w:u w:val="singl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Family Safeguarding Pilot Evaluation (Cambridgeshire / Foundations) (2024)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rtl w:val="0"/>
        </w:rPr>
        <w:t xml:space="preserve">Strengthening families, protecting children: Family Safeguarding pilot evaluation report.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Foundations / DfE. Available at:</w:t>
      </w:r>
      <w:hyperlink r:id="rId10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11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https://foundations.org.uk/wp-content/uploads/2024/08/WWCSC_SFPC_Family_Safeguarding_Pilot_Evaluation_Report_June21-v2-Feb-2024.pdf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after="240" w:before="240" w:line="480" w:lineRule="auto"/>
        <w:ind w:left="850.3937007874016" w:hanging="850.3937007874016"/>
        <w:rPr>
          <w:rFonts w:ascii="Times New Roman" w:cs="Times New Roman" w:eastAsia="Times New Roman" w:hAnsi="Times New Roman"/>
          <w:color w:val="1155cc"/>
          <w:sz w:val="24"/>
          <w:szCs w:val="24"/>
          <w:u w:val="singl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Marshall, H. (2024) Child criminal exploitation and the interactional emergence of victim status.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rtl w:val="0"/>
        </w:rPr>
        <w:t xml:space="preserve">The British Journal of Criminology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64(5), pp.1011–1027.</w:t>
      </w:r>
      <w:hyperlink r:id="rId12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13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https://doi.org/10.1093/bjc/azae008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spacing w:after="240" w:before="240" w:line="480" w:lineRule="auto"/>
        <w:ind w:left="850.3937007874016" w:hanging="850.3937007874016"/>
        <w:rPr>
          <w:rFonts w:ascii="Times New Roman" w:cs="Times New Roman" w:eastAsia="Times New Roman" w:hAnsi="Times New Roman"/>
          <w:color w:val="1155cc"/>
          <w:sz w:val="24"/>
          <w:szCs w:val="24"/>
          <w:u w:val="singl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Rights Lab / University of Nottingham (2022)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rtl w:val="0"/>
        </w:rPr>
        <w:t xml:space="preserve">Child criminal exploitation and county lines: Briefing/report (Rights Lab briefing).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Available at:</w:t>
      </w:r>
      <w:hyperlink r:id="rId14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15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https://www.nottingham.ac.uk/research/beacons-of-excellence/rights-lab/resources/reports-and-briefings/2022/april/child-criminal-exploitation-and-county-lines-drug-distribution.pdf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after="240" w:before="240" w:line="480" w:lineRule="auto"/>
        <w:ind w:left="850.3937007874016" w:hanging="850.393700787401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Ryan, M. (2019)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rtl w:val="0"/>
        </w:rPr>
        <w:t xml:space="preserve">The Children Act 1989: putting it into practice.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Routledge.</w:t>
      </w:r>
    </w:p>
    <w:p w:rsidR="00000000" w:rsidDel="00000000" w:rsidP="00000000" w:rsidRDefault="00000000" w:rsidRPr="00000000" w14:paraId="00000009">
      <w:pPr>
        <w:spacing w:after="240" w:before="240" w:line="480" w:lineRule="auto"/>
        <w:ind w:left="850.3937007874016" w:hanging="850.393700787401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Staddon, L. (2021)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rtl w:val="0"/>
        </w:rPr>
        <w:t xml:space="preserve">Policing the Police: An Analysis of Practitioner Views of the IOPC’s Learning the Lessons Magazine.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Master’s thesis, Canterbury Christ Church University.</w:t>
      </w:r>
    </w:p>
    <w:p w:rsidR="00000000" w:rsidDel="00000000" w:rsidP="00000000" w:rsidRDefault="00000000" w:rsidRPr="00000000" w14:paraId="0000000A">
      <w:pPr>
        <w:spacing w:after="240" w:before="240" w:line="480" w:lineRule="auto"/>
        <w:ind w:left="850.3937007874016" w:hanging="850.3937007874016"/>
        <w:rPr>
          <w:rFonts w:ascii="Times New Roman" w:cs="Times New Roman" w:eastAsia="Times New Roman" w:hAnsi="Times New Roman"/>
          <w:color w:val="1155cc"/>
          <w:sz w:val="24"/>
          <w:szCs w:val="24"/>
          <w:u w:val="singl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UK Home Office / GOV.UK (2023)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rtl w:val="0"/>
        </w:rPr>
        <w:t xml:space="preserve">Criminal exploitation of children and vulnerable adults: county lines.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Available at:</w:t>
      </w:r>
      <w:hyperlink r:id="rId16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17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https://www.gov.uk/government/publications/criminal-exploitation-of-children-and-vulnerable-adults-county-lines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spacing w:after="240" w:before="240" w:line="480" w:lineRule="auto"/>
        <w:ind w:left="850.3937007874016" w:hanging="850.3937007874016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Zaidi, J.W., Kulasabanathan, K. and Aked, H. (2022) Even with amendments, the Police, Crime, Sentencing and Courts Act threatens health.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sz w:val="24"/>
          <w:szCs w:val="24"/>
          <w:rtl w:val="0"/>
        </w:rPr>
        <w:t xml:space="preserve">BMJ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, 378.</w:t>
      </w:r>
    </w:p>
    <w:p w:rsidR="00000000" w:rsidDel="00000000" w:rsidP="00000000" w:rsidRDefault="00000000" w:rsidRPr="00000000" w14:paraId="0000000C">
      <w:pPr>
        <w:spacing w:after="240" w:before="240" w:line="480" w:lineRule="auto"/>
        <w:ind w:left="850.3937007874016"/>
        <w:rPr>
          <w:rFonts w:ascii="Times New Roman" w:cs="Times New Roman" w:eastAsia="Times New Roman" w:hAnsi="Times New Roman"/>
          <w:color w:val="222222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hyperlink" Target="https://foundations.org.uk/wp-content/uploads/2024/08/WWCSC_SFPC_Family_Safeguarding_Pilot_Evaluation_Report_June21-v2-Feb-2024.pdf?utm_source=chatgpt.com" TargetMode="External"/><Relationship Id="rId10" Type="http://schemas.openxmlformats.org/officeDocument/2006/relationships/hyperlink" Target="https://foundations.org.uk/wp-content/uploads/2024/08/WWCSC_SFPC_Family_Safeguarding_Pilot_Evaluation_Report_June21-v2-Feb-2024.pdf?utm_source=chatgpt.com" TargetMode="External"/><Relationship Id="rId13" Type="http://schemas.openxmlformats.org/officeDocument/2006/relationships/hyperlink" Target="https://doi.org/10.1093/bjc/azae008" TargetMode="External"/><Relationship Id="rId12" Type="http://schemas.openxmlformats.org/officeDocument/2006/relationships/hyperlink" Target="https://doi.org/10.1093/bjc/azae008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doi.org/10.1186/s12913-022-08461-w" TargetMode="External"/><Relationship Id="rId15" Type="http://schemas.openxmlformats.org/officeDocument/2006/relationships/hyperlink" Target="https://www.nottingham.ac.uk/research/beacons-of-excellence/rights-lab/resources/reports-and-briefings/2022/april/child-criminal-exploitation-and-county-lines-drug-distribution.pdf?utm_source=chatgpt.com" TargetMode="External"/><Relationship Id="rId14" Type="http://schemas.openxmlformats.org/officeDocument/2006/relationships/hyperlink" Target="https://www.nottingham.ac.uk/research/beacons-of-excellence/rights-lab/resources/reports-and-briefings/2022/april/child-criminal-exploitation-and-county-lines-drug-distribution.pdf?utm_source=chatgpt.com" TargetMode="External"/><Relationship Id="rId17" Type="http://schemas.openxmlformats.org/officeDocument/2006/relationships/hyperlink" Target="https://www.gov.uk/government/publications/criminal-exploitation-of-children-and-vulnerable-adults-county-lines" TargetMode="External"/><Relationship Id="rId16" Type="http://schemas.openxmlformats.org/officeDocument/2006/relationships/hyperlink" Target="https://www.gov.uk/government/publications/criminal-exploitation-of-children-and-vulnerable-adults-county-lines" TargetMode="External"/><Relationship Id="rId5" Type="http://schemas.openxmlformats.org/officeDocument/2006/relationships/styles" Target="styles.xml"/><Relationship Id="rId6" Type="http://schemas.openxmlformats.org/officeDocument/2006/relationships/hyperlink" Target="https://assets.publishing.service.gov.uk/media/6849a7b67cba25f610c7db3f/Working_together_to_safeguard_children_2023_-_statutory_guidance.pdf?utm_source=chatgpt.com" TargetMode="External"/><Relationship Id="rId7" Type="http://schemas.openxmlformats.org/officeDocument/2006/relationships/hyperlink" Target="https://assets.publishing.service.gov.uk/media/6849a7b67cba25f610c7db3f/Working_together_to_safeguard_children_2023_-_statutory_guidance.pdf?utm_source=chatgpt.com" TargetMode="External"/><Relationship Id="rId8" Type="http://schemas.openxmlformats.org/officeDocument/2006/relationships/hyperlink" Target="https://doi.org/10.1186/s12913-022-08461-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