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E93B8E" w:rsidRPr="00D4473A" w:rsidRDefault="00A46599">
      <w:pPr>
        <w:pBdr>
          <w:top w:val="nil"/>
          <w:left w:val="nil"/>
          <w:bottom w:val="nil"/>
          <w:right w:val="nil"/>
          <w:between w:val="nil"/>
        </w:pBdr>
        <w:spacing w:line="480" w:lineRule="auto"/>
        <w:jc w:val="center"/>
        <w:rPr>
          <w:rFonts w:ascii="Times New Roman" w:eastAsia="Times New Roman" w:hAnsi="Times New Roman" w:cs="Times New Roman"/>
          <w:b/>
          <w:sz w:val="72"/>
          <w:szCs w:val="72"/>
        </w:rPr>
      </w:pPr>
      <w:r w:rsidRPr="00D4473A">
        <w:rPr>
          <w:rFonts w:ascii="Times New Roman" w:eastAsia="Times New Roman" w:hAnsi="Times New Roman" w:cs="Times New Roman"/>
          <w:b/>
          <w:sz w:val="72"/>
          <w:szCs w:val="72"/>
        </w:rPr>
        <w:t>Scenario Questions</w:t>
      </w:r>
    </w:p>
    <w:p w14:paraId="00000002" w14:textId="77777777" w:rsidR="00E93B8E" w:rsidRDefault="00E93B8E">
      <w:pPr>
        <w:pBdr>
          <w:top w:val="nil"/>
          <w:left w:val="nil"/>
          <w:bottom w:val="nil"/>
          <w:right w:val="nil"/>
          <w:between w:val="nil"/>
        </w:pBdr>
        <w:spacing w:line="480" w:lineRule="auto"/>
        <w:jc w:val="center"/>
        <w:rPr>
          <w:rFonts w:ascii="Times New Roman" w:eastAsia="Times New Roman" w:hAnsi="Times New Roman" w:cs="Times New Roman"/>
          <w:b/>
          <w:sz w:val="34"/>
          <w:szCs w:val="34"/>
        </w:rPr>
      </w:pPr>
    </w:p>
    <w:p w14:paraId="00000003" w14:textId="77777777" w:rsidR="00E93B8E" w:rsidRDefault="00E93B8E">
      <w:pPr>
        <w:pBdr>
          <w:top w:val="nil"/>
          <w:left w:val="nil"/>
          <w:bottom w:val="nil"/>
          <w:right w:val="nil"/>
          <w:between w:val="nil"/>
        </w:pBdr>
        <w:spacing w:line="480" w:lineRule="auto"/>
        <w:jc w:val="center"/>
        <w:rPr>
          <w:rFonts w:ascii="Times New Roman" w:eastAsia="Times New Roman" w:hAnsi="Times New Roman" w:cs="Times New Roman"/>
          <w:b/>
          <w:sz w:val="34"/>
          <w:szCs w:val="34"/>
        </w:rPr>
      </w:pPr>
    </w:p>
    <w:p w14:paraId="00000004" w14:textId="77777777" w:rsidR="00E93B8E" w:rsidRDefault="00E93B8E">
      <w:pPr>
        <w:pBdr>
          <w:top w:val="nil"/>
          <w:left w:val="nil"/>
          <w:bottom w:val="nil"/>
          <w:right w:val="nil"/>
          <w:between w:val="nil"/>
        </w:pBdr>
        <w:spacing w:line="480" w:lineRule="auto"/>
        <w:jc w:val="center"/>
        <w:rPr>
          <w:rFonts w:ascii="Times New Roman" w:eastAsia="Times New Roman" w:hAnsi="Times New Roman" w:cs="Times New Roman"/>
          <w:b/>
          <w:sz w:val="34"/>
          <w:szCs w:val="34"/>
        </w:rPr>
      </w:pPr>
    </w:p>
    <w:p w14:paraId="00000005" w14:textId="77777777" w:rsidR="00E93B8E" w:rsidRPr="00D4473A" w:rsidRDefault="00A46599" w:rsidP="00D4473A">
      <w:pPr>
        <w:pBdr>
          <w:top w:val="nil"/>
          <w:left w:val="nil"/>
          <w:bottom w:val="nil"/>
          <w:right w:val="nil"/>
          <w:between w:val="nil"/>
        </w:pBdr>
        <w:spacing w:line="600" w:lineRule="auto"/>
        <w:jc w:val="center"/>
        <w:rPr>
          <w:rFonts w:ascii="Times New Roman" w:eastAsia="Times New Roman" w:hAnsi="Times New Roman" w:cs="Times New Roman"/>
          <w:b/>
          <w:sz w:val="40"/>
          <w:szCs w:val="40"/>
        </w:rPr>
      </w:pPr>
      <w:r w:rsidRPr="00D4473A">
        <w:rPr>
          <w:rFonts w:ascii="Times New Roman" w:eastAsia="Times New Roman" w:hAnsi="Times New Roman" w:cs="Times New Roman"/>
          <w:b/>
          <w:sz w:val="40"/>
          <w:szCs w:val="40"/>
        </w:rPr>
        <w:t>Muhammad Nasir Khalil</w:t>
      </w:r>
    </w:p>
    <w:p w14:paraId="00000006" w14:textId="77777777" w:rsidR="00E93B8E" w:rsidRPr="00D4473A" w:rsidRDefault="00A46599" w:rsidP="00D4473A">
      <w:pPr>
        <w:pBdr>
          <w:top w:val="nil"/>
          <w:left w:val="nil"/>
          <w:bottom w:val="nil"/>
          <w:right w:val="nil"/>
          <w:between w:val="nil"/>
        </w:pBdr>
        <w:spacing w:line="600" w:lineRule="auto"/>
        <w:jc w:val="center"/>
        <w:rPr>
          <w:rFonts w:ascii="Times New Roman" w:eastAsia="Times New Roman" w:hAnsi="Times New Roman" w:cs="Times New Roman"/>
          <w:b/>
          <w:sz w:val="40"/>
          <w:szCs w:val="40"/>
        </w:rPr>
      </w:pPr>
      <w:r w:rsidRPr="00D4473A">
        <w:rPr>
          <w:rFonts w:ascii="Times New Roman" w:eastAsia="Times New Roman" w:hAnsi="Times New Roman" w:cs="Times New Roman"/>
          <w:b/>
          <w:sz w:val="40"/>
          <w:szCs w:val="40"/>
        </w:rPr>
        <w:t>2132473</w:t>
      </w:r>
    </w:p>
    <w:p w14:paraId="00000007" w14:textId="77777777" w:rsidR="00E93B8E" w:rsidRPr="00D4473A" w:rsidRDefault="00A46599" w:rsidP="00D4473A">
      <w:pPr>
        <w:pBdr>
          <w:top w:val="nil"/>
          <w:left w:val="nil"/>
          <w:bottom w:val="nil"/>
          <w:right w:val="nil"/>
          <w:between w:val="nil"/>
        </w:pBdr>
        <w:spacing w:line="600" w:lineRule="auto"/>
        <w:jc w:val="center"/>
        <w:rPr>
          <w:rFonts w:ascii="Times New Roman" w:eastAsia="Times New Roman" w:hAnsi="Times New Roman" w:cs="Times New Roman"/>
          <w:b/>
          <w:sz w:val="40"/>
          <w:szCs w:val="40"/>
        </w:rPr>
      </w:pPr>
      <w:r w:rsidRPr="00D4473A">
        <w:rPr>
          <w:rFonts w:ascii="Times New Roman" w:eastAsia="Times New Roman" w:hAnsi="Times New Roman" w:cs="Times New Roman"/>
          <w:b/>
          <w:sz w:val="40"/>
          <w:szCs w:val="40"/>
        </w:rPr>
        <w:t>Laura Knight</w:t>
      </w:r>
    </w:p>
    <w:p w14:paraId="0D2AE761" w14:textId="41FB2671" w:rsidR="00D4473A" w:rsidRPr="00D4473A" w:rsidRDefault="00A46599">
      <w:pPr>
        <w:pBdr>
          <w:top w:val="nil"/>
          <w:left w:val="nil"/>
          <w:bottom w:val="nil"/>
          <w:right w:val="nil"/>
          <w:between w:val="nil"/>
        </w:pBdr>
        <w:spacing w:line="480" w:lineRule="auto"/>
      </w:pPr>
      <w:r>
        <w:br w:type="page"/>
      </w:r>
    </w:p>
    <w:p w14:paraId="0000000B" w14:textId="77777777" w:rsidR="00E93B8E" w:rsidRDefault="00A46599">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w:t>
      </w:r>
      <w:r>
        <w:rPr>
          <w:rFonts w:ascii="Times New Roman" w:eastAsia="Times New Roman" w:hAnsi="Times New Roman" w:cs="Times New Roman"/>
          <w:color w:val="000000"/>
          <w:sz w:val="24"/>
          <w:szCs w:val="24"/>
        </w:rPr>
        <w:tab/>
      </w:r>
    </w:p>
    <w:p w14:paraId="0000000C" w14:textId="77777777" w:rsidR="00E93B8E" w:rsidRDefault="00A46599">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First, I will inform Hadley of the offences that pertain to him, including the possibility that he is </w:t>
      </w:r>
    </w:p>
    <w:p w14:paraId="0000000D" w14:textId="77777777" w:rsidR="00E93B8E" w:rsidRDefault="00A46599">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criminally liable for burglary and criminal damage (property damage). The Theft Act of 1968 defines burglary entirely, including all of its constituent p</w:t>
      </w:r>
      <w:r>
        <w:rPr>
          <w:rFonts w:ascii="Times New Roman" w:eastAsia="Times New Roman" w:hAnsi="Times New Roman" w:cs="Times New Roman"/>
          <w:color w:val="000000"/>
          <w:sz w:val="24"/>
          <w:szCs w:val="24"/>
        </w:rPr>
        <w:t>arts. In order to be convicted of burglary under section 9(1)(a) and section 9(1)(b) of the Theft Act, an individual must meet one of the three following criteria: intent to enter the building or a part of it as a trespasser, steal or attempt to steal, and</w:t>
      </w:r>
      <w:r>
        <w:rPr>
          <w:rFonts w:ascii="Times New Roman" w:eastAsia="Times New Roman" w:hAnsi="Times New Roman" w:cs="Times New Roman"/>
          <w:color w:val="000000"/>
          <w:sz w:val="24"/>
          <w:szCs w:val="24"/>
        </w:rPr>
        <w:t xml:space="preserve"> damage the property and things contained therein. It is important to note that section 9(1)(a) deals with the intent to enter; whether a person actually steals or not is not relevant here, but once a person commits means to pick up a thing to steal and in</w:t>
      </w:r>
      <w:r>
        <w:rPr>
          <w:rFonts w:ascii="Times New Roman" w:eastAsia="Times New Roman" w:hAnsi="Times New Roman" w:cs="Times New Roman"/>
          <w:color w:val="000000"/>
          <w:sz w:val="24"/>
          <w:szCs w:val="24"/>
        </w:rPr>
        <w:t>flicting grievous bodily harm to others in it, it comes under section 9(1)(b). Hadley is guilty of burglary, as mentioned in Section 9 of the Theft act 1968 as well as grievous bodily harm under section 9(1)(b). Hadley entered the house of Ronan as a tresp</w:t>
      </w:r>
      <w:r>
        <w:rPr>
          <w:rFonts w:ascii="Times New Roman" w:eastAsia="Times New Roman" w:hAnsi="Times New Roman" w:cs="Times New Roman"/>
          <w:color w:val="000000"/>
          <w:sz w:val="24"/>
          <w:szCs w:val="24"/>
        </w:rPr>
        <w:t xml:space="preserve">asser with the intention to commit offences such as stealing the 'Bucci' trainers but he would have </w:t>
      </w:r>
      <w:proofErr w:type="gramStart"/>
      <w:r>
        <w:rPr>
          <w:rFonts w:ascii="Times New Roman" w:eastAsia="Times New Roman" w:hAnsi="Times New Roman" w:cs="Times New Roman"/>
          <w:color w:val="000000"/>
          <w:sz w:val="24"/>
          <w:szCs w:val="24"/>
        </w:rPr>
        <w:t>harm</w:t>
      </w:r>
      <w:proofErr w:type="gramEnd"/>
      <w:r>
        <w:rPr>
          <w:rFonts w:ascii="Times New Roman" w:eastAsia="Times New Roman" w:hAnsi="Times New Roman" w:cs="Times New Roman"/>
          <w:color w:val="000000"/>
          <w:sz w:val="24"/>
          <w:szCs w:val="24"/>
        </w:rPr>
        <w:t xml:space="preserve"> another person in the house if someone was present or Ronan was there. First of all, he entered the house by jumping the fence and then entered the mai</w:t>
      </w:r>
      <w:r>
        <w:rPr>
          <w:rFonts w:ascii="Times New Roman" w:eastAsia="Times New Roman" w:hAnsi="Times New Roman" w:cs="Times New Roman"/>
          <w:color w:val="000000"/>
          <w:sz w:val="24"/>
          <w:szCs w:val="24"/>
        </w:rPr>
        <w:t xml:space="preserve">n house by force. According to the Current Law, entry is sufficiently relevant to actual stealing (R v </w:t>
      </w:r>
      <w:proofErr w:type="spellStart"/>
      <w:r>
        <w:rPr>
          <w:rFonts w:ascii="Times New Roman" w:eastAsia="Times New Roman" w:hAnsi="Times New Roman" w:cs="Times New Roman"/>
          <w:color w:val="000000"/>
          <w:sz w:val="24"/>
          <w:szCs w:val="24"/>
        </w:rPr>
        <w:t>Walkington</w:t>
      </w:r>
      <w:proofErr w:type="spellEnd"/>
      <w:r>
        <w:rPr>
          <w:rFonts w:ascii="Times New Roman" w:eastAsia="Times New Roman" w:hAnsi="Times New Roman" w:cs="Times New Roman"/>
          <w:color w:val="000000"/>
          <w:sz w:val="24"/>
          <w:szCs w:val="24"/>
        </w:rPr>
        <w:t xml:space="preserve"> [1979]). In this case, </w:t>
      </w:r>
      <w:proofErr w:type="spellStart"/>
      <w:r>
        <w:rPr>
          <w:rFonts w:ascii="Times New Roman" w:eastAsia="Times New Roman" w:hAnsi="Times New Roman" w:cs="Times New Roman"/>
          <w:color w:val="000000"/>
          <w:sz w:val="24"/>
          <w:szCs w:val="24"/>
        </w:rPr>
        <w:t>Walkson</w:t>
      </w:r>
      <w:proofErr w:type="spellEnd"/>
      <w:r>
        <w:rPr>
          <w:rFonts w:ascii="Times New Roman" w:eastAsia="Times New Roman" w:hAnsi="Times New Roman" w:cs="Times New Roman"/>
          <w:color w:val="000000"/>
          <w:sz w:val="24"/>
          <w:szCs w:val="24"/>
        </w:rPr>
        <w:t xml:space="preserve"> entered the store with the intent to steal and was convicted of burglary on the basis of his intent. The jury d</w:t>
      </w:r>
      <w:r>
        <w:rPr>
          <w:rFonts w:ascii="Times New Roman" w:eastAsia="Times New Roman" w:hAnsi="Times New Roman" w:cs="Times New Roman"/>
          <w:color w:val="000000"/>
          <w:sz w:val="24"/>
          <w:szCs w:val="24"/>
        </w:rPr>
        <w:t>ecided the structure qualified as a building in the case of Moir v Williams [1892]. Hadley also becomes the trespasser as permission to enter the house was never given to him (Jones and Smith [1976]).</w:t>
      </w:r>
    </w:p>
    <w:p w14:paraId="0000000E" w14:textId="77777777" w:rsidR="00E93B8E" w:rsidRDefault="00A46599">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While entering the house, Hadley also did property dam</w:t>
      </w:r>
      <w:r>
        <w:rPr>
          <w:rFonts w:ascii="Times New Roman" w:eastAsia="Times New Roman" w:hAnsi="Times New Roman" w:cs="Times New Roman"/>
          <w:color w:val="000000"/>
          <w:sz w:val="24"/>
          <w:szCs w:val="24"/>
        </w:rPr>
        <w:t>age as he landed on a wooden bench and broke it in half. He also did unlawful damage to the building (Ronan house) and things therein. Section 10(1) of CDA 1971 contains the meaning of property for criminal damage purposes; however, the definition of prope</w:t>
      </w:r>
      <w:r>
        <w:rPr>
          <w:rFonts w:ascii="Times New Roman" w:eastAsia="Times New Roman" w:hAnsi="Times New Roman" w:cs="Times New Roman"/>
          <w:color w:val="000000"/>
          <w:sz w:val="24"/>
          <w:szCs w:val="24"/>
        </w:rPr>
        <w:t xml:space="preserve">rty for theft mentioned in the s4 TA 1968 is different from this </w:t>
      </w:r>
      <w:r>
        <w:rPr>
          <w:rFonts w:ascii="Times New Roman" w:eastAsia="Times New Roman" w:hAnsi="Times New Roman" w:cs="Times New Roman"/>
          <w:color w:val="000000"/>
          <w:sz w:val="24"/>
          <w:szCs w:val="24"/>
        </w:rPr>
        <w:lastRenderedPageBreak/>
        <w:t>one. As evidence of a criminal offence, the damage could be considered to have been done to tangible property, regardless of whether the property in question is real or personal. Although lan</w:t>
      </w:r>
      <w:r>
        <w:rPr>
          <w:rFonts w:ascii="Times New Roman" w:eastAsia="Times New Roman" w:hAnsi="Times New Roman" w:cs="Times New Roman"/>
          <w:color w:val="000000"/>
          <w:sz w:val="24"/>
          <w:szCs w:val="24"/>
        </w:rPr>
        <w:t>d cannot be seized without permission, it is nevertheless possible to destroy it in a way that is against the law. The fact that the property is owned by someone else who has control or custody over it, a charge of it, or proprietary rights to it is a well</w:t>
      </w:r>
      <w:r>
        <w:rPr>
          <w:rFonts w:ascii="Times New Roman" w:eastAsia="Times New Roman" w:hAnsi="Times New Roman" w:cs="Times New Roman"/>
          <w:color w:val="000000"/>
          <w:sz w:val="24"/>
          <w:szCs w:val="24"/>
        </w:rPr>
        <w:t>-defined characteristic of the property, as mentioned in section 10(2) of the Criminal Damage Act 1971. Under section 10(1) of the CDA 1971, the property is defined as physical and section 10(1)(a) animals or wild creatures in captivity as part of property</w:t>
      </w:r>
      <w:r>
        <w:rPr>
          <w:rFonts w:ascii="Times New Roman" w:eastAsia="Times New Roman" w:hAnsi="Times New Roman" w:cs="Times New Roman"/>
          <w:color w:val="000000"/>
          <w:sz w:val="24"/>
          <w:szCs w:val="24"/>
        </w:rPr>
        <w:t xml:space="preserve"> and section 10(2)(a)(b)(c) has custody or propriety right or charge of another. It is important to distinguish between destroying the property and merely injuring it. The first type of damage involves the complete destruction of the building, while the se</w:t>
      </w:r>
      <w:r>
        <w:rPr>
          <w:rFonts w:ascii="Times New Roman" w:eastAsia="Times New Roman" w:hAnsi="Times New Roman" w:cs="Times New Roman"/>
          <w:color w:val="000000"/>
          <w:sz w:val="24"/>
          <w:szCs w:val="24"/>
        </w:rPr>
        <w:t xml:space="preserve">cond type involves harm to the property in its actual form or as it is experienced by the senses. Hadley caused property damage by smashing the bench, much as it was established in </w:t>
      </w:r>
      <w:proofErr w:type="spellStart"/>
      <w:r>
        <w:rPr>
          <w:rFonts w:ascii="Times New Roman" w:eastAsia="Times New Roman" w:hAnsi="Times New Roman" w:cs="Times New Roman"/>
          <w:color w:val="000000"/>
          <w:sz w:val="24"/>
          <w:szCs w:val="24"/>
        </w:rPr>
        <w:t>Grayford</w:t>
      </w:r>
      <w:proofErr w:type="spellEnd"/>
      <w:r>
        <w:rPr>
          <w:rFonts w:ascii="Times New Roman" w:eastAsia="Times New Roman" w:hAnsi="Times New Roman" w:cs="Times New Roman"/>
          <w:color w:val="000000"/>
          <w:sz w:val="24"/>
          <w:szCs w:val="24"/>
        </w:rPr>
        <w:t xml:space="preserve"> v. </w:t>
      </w:r>
      <w:proofErr w:type="spellStart"/>
      <w:r>
        <w:rPr>
          <w:rFonts w:ascii="Times New Roman" w:eastAsia="Times New Roman" w:hAnsi="Times New Roman" w:cs="Times New Roman"/>
          <w:color w:val="000000"/>
          <w:sz w:val="24"/>
          <w:szCs w:val="24"/>
        </w:rPr>
        <w:t>Chouler</w:t>
      </w:r>
      <w:proofErr w:type="spellEnd"/>
      <w:r>
        <w:rPr>
          <w:rFonts w:ascii="Times New Roman" w:eastAsia="Times New Roman" w:hAnsi="Times New Roman" w:cs="Times New Roman"/>
          <w:color w:val="000000"/>
          <w:sz w:val="24"/>
          <w:szCs w:val="24"/>
        </w:rPr>
        <w:t xml:space="preserve"> [1898] that trampled down grass was regarded as damage </w:t>
      </w:r>
      <w:r>
        <w:rPr>
          <w:rFonts w:ascii="Times New Roman" w:eastAsia="Times New Roman" w:hAnsi="Times New Roman" w:cs="Times New Roman"/>
          <w:color w:val="000000"/>
          <w:sz w:val="24"/>
          <w:szCs w:val="24"/>
        </w:rPr>
        <w:t xml:space="preserve">to the property, and in Roe v. </w:t>
      </w:r>
      <w:proofErr w:type="spellStart"/>
      <w:r>
        <w:rPr>
          <w:rFonts w:ascii="Times New Roman" w:eastAsia="Times New Roman" w:hAnsi="Times New Roman" w:cs="Times New Roman"/>
          <w:color w:val="000000"/>
          <w:sz w:val="24"/>
          <w:szCs w:val="24"/>
        </w:rPr>
        <w:t>Kingerlee</w:t>
      </w:r>
      <w:proofErr w:type="spellEnd"/>
      <w:r>
        <w:rPr>
          <w:rFonts w:ascii="Times New Roman" w:eastAsia="Times New Roman" w:hAnsi="Times New Roman" w:cs="Times New Roman"/>
          <w:color w:val="000000"/>
          <w:sz w:val="24"/>
          <w:szCs w:val="24"/>
        </w:rPr>
        <w:t xml:space="preserve"> [1989] case that smeared muck on the floor was considered physical harm to the property. Hadley damaged the property knowing that he had no lawful excuse for that and intent was to deprive Ronan of his property; thi</w:t>
      </w:r>
      <w:r>
        <w:rPr>
          <w:rFonts w:ascii="Times New Roman" w:eastAsia="Times New Roman" w:hAnsi="Times New Roman" w:cs="Times New Roman"/>
          <w:color w:val="000000"/>
          <w:sz w:val="24"/>
          <w:szCs w:val="24"/>
        </w:rPr>
        <w:t>s offence will be dealt with under Criminal Damage Act 1971. It is essential to have a solid understanding of the fact that physical damage to the property refers to the situation regardless of whether the damage is permanent or temporary. Hadley, on the o</w:t>
      </w:r>
      <w:r>
        <w:rPr>
          <w:rFonts w:ascii="Times New Roman" w:eastAsia="Times New Roman" w:hAnsi="Times New Roman" w:cs="Times New Roman"/>
          <w:color w:val="000000"/>
          <w:sz w:val="24"/>
          <w:szCs w:val="24"/>
        </w:rPr>
        <w:t>ther hand, was searching for the Bucci sneakers when he really stole the "</w:t>
      </w:r>
      <w:proofErr w:type="spellStart"/>
      <w:r>
        <w:rPr>
          <w:rFonts w:ascii="Times New Roman" w:eastAsia="Times New Roman" w:hAnsi="Times New Roman" w:cs="Times New Roman"/>
          <w:color w:val="000000"/>
          <w:sz w:val="24"/>
          <w:szCs w:val="24"/>
        </w:rPr>
        <w:t>Kolex</w:t>
      </w:r>
      <w:proofErr w:type="spellEnd"/>
      <w:r>
        <w:rPr>
          <w:rFonts w:ascii="Times New Roman" w:eastAsia="Times New Roman" w:hAnsi="Times New Roman" w:cs="Times New Roman"/>
          <w:color w:val="000000"/>
          <w:sz w:val="24"/>
          <w:szCs w:val="24"/>
        </w:rPr>
        <w:t>" watch that was in Ronan's dressing room. This offence comes under section 9(1)(b) of the theft act 1968 because it converts the intent to steal into actual stealing. One of hi</w:t>
      </w:r>
      <w:r>
        <w:rPr>
          <w:rFonts w:ascii="Times New Roman" w:eastAsia="Times New Roman" w:hAnsi="Times New Roman" w:cs="Times New Roman"/>
          <w:color w:val="000000"/>
          <w:sz w:val="24"/>
          <w:szCs w:val="24"/>
        </w:rPr>
        <w:t xml:space="preserve">s aggravated offences of Hadley was to start a fire in the trash bin after pouring the aftershave into it. Section 1 (2) of CDA 1971 means endangering the life of someone else by destroying or damage their property </w:t>
      </w:r>
      <w:r>
        <w:rPr>
          <w:rFonts w:ascii="Times New Roman" w:eastAsia="Times New Roman" w:hAnsi="Times New Roman" w:cs="Times New Roman"/>
          <w:color w:val="000000"/>
          <w:sz w:val="24"/>
          <w:szCs w:val="24"/>
        </w:rPr>
        <w:lastRenderedPageBreak/>
        <w:t>by being reckless. Offences by means of f</w:t>
      </w:r>
      <w:r>
        <w:rPr>
          <w:rFonts w:ascii="Times New Roman" w:eastAsia="Times New Roman" w:hAnsi="Times New Roman" w:cs="Times New Roman"/>
          <w:color w:val="000000"/>
          <w:sz w:val="24"/>
          <w:szCs w:val="24"/>
        </w:rPr>
        <w:t>ire become aggravated offences if the offence is committed under section 1(1) and section 2(2) of CDA 1971. It applies to Hadley as he knew he was being reckless by starting the fire, it comes under Arson section 1(3) of Criminal Damage act 1971 that deals</w:t>
      </w:r>
      <w:r>
        <w:rPr>
          <w:rFonts w:ascii="Times New Roman" w:eastAsia="Times New Roman" w:hAnsi="Times New Roman" w:cs="Times New Roman"/>
          <w:color w:val="000000"/>
          <w:sz w:val="24"/>
          <w:szCs w:val="24"/>
        </w:rPr>
        <w:t xml:space="preserve"> with crime of damaging or destroying the property by fire is considered arson. </w:t>
      </w:r>
    </w:p>
    <w:p w14:paraId="0000000F"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p>
    <w:p w14:paraId="00000010"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sz w:val="24"/>
          <w:szCs w:val="24"/>
        </w:rPr>
        <w:t xml:space="preserve">I would advise Freya that she would not be able to rely on the </w:t>
      </w:r>
      <w:proofErr w:type="spellStart"/>
      <w:r>
        <w:rPr>
          <w:rFonts w:ascii="Times New Roman" w:eastAsia="Times New Roman" w:hAnsi="Times New Roman" w:cs="Times New Roman"/>
          <w:color w:val="000000"/>
          <w:sz w:val="24"/>
          <w:szCs w:val="24"/>
        </w:rPr>
        <w:t>defences</w:t>
      </w:r>
      <w:proofErr w:type="spellEnd"/>
      <w:r>
        <w:rPr>
          <w:rFonts w:ascii="Times New Roman" w:eastAsia="Times New Roman" w:hAnsi="Times New Roman" w:cs="Times New Roman"/>
          <w:color w:val="000000"/>
          <w:sz w:val="24"/>
          <w:szCs w:val="24"/>
        </w:rPr>
        <w:t xml:space="preserve"> of intoxication on the following grounds. First of all, the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of intoxication and automatism has a rule that intoxication is always voluntary, and defendants require MR is lackin</w:t>
      </w:r>
      <w:r>
        <w:rPr>
          <w:rFonts w:ascii="Times New Roman" w:eastAsia="Times New Roman" w:hAnsi="Times New Roman" w:cs="Times New Roman"/>
          <w:color w:val="000000"/>
          <w:sz w:val="24"/>
          <w:szCs w:val="24"/>
        </w:rPr>
        <w:t>g due to intoxication. It makes no difference how the defendant became intoxicated, whether through the use of alcohol, drugs, or medication. If the defendant abuses any of these substances knowing that they are dangerous in the sense that they can cause i</w:t>
      </w:r>
      <w:r>
        <w:rPr>
          <w:rFonts w:ascii="Times New Roman" w:eastAsia="Times New Roman" w:hAnsi="Times New Roman" w:cs="Times New Roman"/>
          <w:color w:val="000000"/>
          <w:sz w:val="24"/>
          <w:szCs w:val="24"/>
        </w:rPr>
        <w:t>ntoxication, the intoxication will be considered voluntary. This is assuming that it is widely known that these substances can cause dangerous levels of intoxication. Alcoholic beverages and illegal drugs are obviously included in this category. Abuse of a</w:t>
      </w:r>
      <w:r>
        <w:rPr>
          <w:rFonts w:ascii="Times New Roman" w:eastAsia="Times New Roman" w:hAnsi="Times New Roman" w:cs="Times New Roman"/>
          <w:color w:val="000000"/>
          <w:sz w:val="24"/>
          <w:szCs w:val="24"/>
        </w:rPr>
        <w:t xml:space="preserve"> specific medication may have this effect, but it may not. In the case of R v Allen [1989] for example, the defendant knowingly consumed wine and allowed himself to become intoxicated despite being unaware of the strength of the beverage's alcohol content.</w:t>
      </w:r>
      <w:r>
        <w:rPr>
          <w:rFonts w:ascii="Times New Roman" w:eastAsia="Times New Roman" w:hAnsi="Times New Roman" w:cs="Times New Roman"/>
          <w:color w:val="000000"/>
          <w:sz w:val="24"/>
          <w:szCs w:val="24"/>
        </w:rPr>
        <w:t xml:space="preserve"> He made homemade wine, was unaware of its potency, and sexually assaulted someone as a result. In court, it was determined that his ignorance of the gravity of the situation did not constitute a valid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and he was charged as a result. It is importa</w:t>
      </w:r>
      <w:r>
        <w:rPr>
          <w:rFonts w:ascii="Times New Roman" w:eastAsia="Times New Roman" w:hAnsi="Times New Roman" w:cs="Times New Roman"/>
          <w:color w:val="000000"/>
          <w:sz w:val="24"/>
          <w:szCs w:val="24"/>
        </w:rPr>
        <w:t xml:space="preserve">nt to note that the defendant cannot easily avoid liability by claiming that, despite having the MR of the offence, they would not have formed it if they had not been under the influence of the intoxicant. This is an ineffective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because it presumes</w:t>
      </w:r>
      <w:r>
        <w:rPr>
          <w:rFonts w:ascii="Times New Roman" w:eastAsia="Times New Roman" w:hAnsi="Times New Roman" w:cs="Times New Roman"/>
          <w:color w:val="000000"/>
          <w:sz w:val="24"/>
          <w:szCs w:val="24"/>
        </w:rPr>
        <w:t xml:space="preserve"> that the defendant would have formed the MR even if they were not under the influence </w:t>
      </w:r>
      <w:r>
        <w:rPr>
          <w:rFonts w:ascii="Times New Roman" w:eastAsia="Times New Roman" w:hAnsi="Times New Roman" w:cs="Times New Roman"/>
          <w:color w:val="000000"/>
          <w:sz w:val="24"/>
          <w:szCs w:val="24"/>
        </w:rPr>
        <w:lastRenderedPageBreak/>
        <w:t>of the intoxicant. Freya can use this as a defensive stance in the court; however, it would not be sufficient. In DDP v Beard [1920] case Arthur Beard assaulted and sexu</w:t>
      </w:r>
      <w:r>
        <w:rPr>
          <w:rFonts w:ascii="Times New Roman" w:eastAsia="Times New Roman" w:hAnsi="Times New Roman" w:cs="Times New Roman"/>
          <w:color w:val="000000"/>
          <w:sz w:val="24"/>
          <w:szCs w:val="24"/>
        </w:rPr>
        <w:t>ally assaulted Ivy Wood, who was only 12 years old at the time, in Hyde, Cheshire. He was tried for murder at the Chester Assizes in October, and he was found guilty and sentenced to death. Beard filed an appeal, claiming that the judge misled the jury abo</w:t>
      </w:r>
      <w:r>
        <w:rPr>
          <w:rFonts w:ascii="Times New Roman" w:eastAsia="Times New Roman" w:hAnsi="Times New Roman" w:cs="Times New Roman"/>
          <w:color w:val="000000"/>
          <w:sz w:val="24"/>
          <w:szCs w:val="24"/>
        </w:rPr>
        <w:t xml:space="preserve">ut how the felony murder rule was applied and the impact of his intoxication on the case. After his Criminal Appeal Court appeal was denied, the Director of Public Prosecutions (DPP) took the unprecedented step of filing an appeal with the House of Lords. </w:t>
      </w:r>
      <w:r>
        <w:rPr>
          <w:rFonts w:ascii="Times New Roman" w:eastAsia="Times New Roman" w:hAnsi="Times New Roman" w:cs="Times New Roman"/>
          <w:color w:val="000000"/>
          <w:sz w:val="24"/>
          <w:szCs w:val="24"/>
        </w:rPr>
        <w:t xml:space="preserve">The murder conviction was reinstated after the House of Lords was asked for its opinion on substantive law questions for the first time since the court's establishment as the final criminal appellate court in 1907. However, it would advise </w:t>
      </w:r>
      <w:proofErr w:type="spellStart"/>
      <w:r>
        <w:rPr>
          <w:rFonts w:ascii="Times New Roman" w:eastAsia="Times New Roman" w:hAnsi="Times New Roman" w:cs="Times New Roman"/>
          <w:color w:val="000000"/>
          <w:sz w:val="24"/>
          <w:szCs w:val="24"/>
        </w:rPr>
        <w:t>Ferya</w:t>
      </w:r>
      <w:proofErr w:type="spellEnd"/>
      <w:r>
        <w:rPr>
          <w:rFonts w:ascii="Times New Roman" w:eastAsia="Times New Roman" w:hAnsi="Times New Roman" w:cs="Times New Roman"/>
          <w:color w:val="000000"/>
          <w:sz w:val="24"/>
          <w:szCs w:val="24"/>
        </w:rPr>
        <w:t xml:space="preserve"> that she w</w:t>
      </w:r>
      <w:r>
        <w:rPr>
          <w:rFonts w:ascii="Times New Roman" w:eastAsia="Times New Roman" w:hAnsi="Times New Roman" w:cs="Times New Roman"/>
          <w:color w:val="000000"/>
          <w:sz w:val="24"/>
          <w:szCs w:val="24"/>
        </w:rPr>
        <w:t xml:space="preserve">ould not be able to rely on the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of automatism on the following grounds because automatism deals with instances in which a person acts while suffering from impaired consciousness or is unconscious, and the person's body or limbs will move on their o</w:t>
      </w:r>
      <w:r>
        <w:rPr>
          <w:rFonts w:ascii="Times New Roman" w:eastAsia="Times New Roman" w:hAnsi="Times New Roman" w:cs="Times New Roman"/>
          <w:color w:val="000000"/>
          <w:sz w:val="24"/>
          <w:szCs w:val="24"/>
        </w:rPr>
        <w:t xml:space="preserve">wn without conscious control in this condition. In the case of Watmore v Jenkins [1962], the defendant, who suffered from diabetes, was involved in a collision with a parked vehicle and was charged with reckless driving. He attempted to rely on the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of automatism by arguing that an excessive amount of insulin caused him confusion, which ultimately led to the result. He stated that this confusion was the cause of the result. It was found out by the court that the automatism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was not applicable </w:t>
      </w:r>
      <w:r>
        <w:rPr>
          <w:rFonts w:ascii="Times New Roman" w:eastAsia="Times New Roman" w:hAnsi="Times New Roman" w:cs="Times New Roman"/>
          <w:color w:val="000000"/>
          <w:sz w:val="24"/>
          <w:szCs w:val="24"/>
        </w:rPr>
        <w:t xml:space="preserve">in the situation because it referred to complete loss of control over bodily moment limbs. However, the defendant did not lose complete loss of control of his bodily movements and was convicted of dangerous driving. Freya was experiencing a seizure at the </w:t>
      </w:r>
      <w:r>
        <w:rPr>
          <w:rFonts w:ascii="Times New Roman" w:eastAsia="Times New Roman" w:hAnsi="Times New Roman" w:cs="Times New Roman"/>
          <w:color w:val="000000"/>
          <w:sz w:val="24"/>
          <w:szCs w:val="24"/>
        </w:rPr>
        <w:t xml:space="preserve">time she struck Mike in the face; it was obvious that she was in a state of impaired consciousness, and she had no control over her movements. There is a requirement that a medical professional's assessment is obtained in order to demonstrate that </w:t>
      </w:r>
      <w:r>
        <w:rPr>
          <w:rFonts w:ascii="Times New Roman" w:eastAsia="Times New Roman" w:hAnsi="Times New Roman" w:cs="Times New Roman"/>
          <w:color w:val="000000"/>
          <w:sz w:val="24"/>
          <w:szCs w:val="24"/>
        </w:rPr>
        <w:lastRenderedPageBreak/>
        <w:t xml:space="preserve">Freya's </w:t>
      </w:r>
      <w:r>
        <w:rPr>
          <w:rFonts w:ascii="Times New Roman" w:eastAsia="Times New Roman" w:hAnsi="Times New Roman" w:cs="Times New Roman"/>
          <w:color w:val="000000"/>
          <w:sz w:val="24"/>
          <w:szCs w:val="24"/>
        </w:rPr>
        <w:t xml:space="preserve">movements during her seizure were not voluntary when she struck Mike. However, it is not a strong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because, in the case of Broome v Perkins [1987], the defendant suffered from diabetes. As he was driving home from work, he experienced an episode of </w:t>
      </w:r>
      <w:r>
        <w:rPr>
          <w:rFonts w:ascii="Times New Roman" w:eastAsia="Times New Roman" w:hAnsi="Times New Roman" w:cs="Times New Roman"/>
          <w:color w:val="000000"/>
          <w:sz w:val="24"/>
          <w:szCs w:val="24"/>
        </w:rPr>
        <w:t>hypoglycemia. While in this trance-like state, he was driving erratically and collided with another vehicle. The Court of Appeal affirmed the conviction. The defendant's ability to coordinate his movements in order to drive 5-6 miles despite being severely</w:t>
      </w:r>
      <w:r>
        <w:rPr>
          <w:rFonts w:ascii="Times New Roman" w:eastAsia="Times New Roman" w:hAnsi="Times New Roman" w:cs="Times New Roman"/>
          <w:color w:val="000000"/>
          <w:sz w:val="24"/>
          <w:szCs w:val="24"/>
        </w:rPr>
        <w:t xml:space="preserve"> hampered led the court to conclude that he could not have been in a fully automatic state. The court arrived at this conclusion because the term automatism refers to completely uncontrolled movements of the body and limbs. For the purposes of this discuss</w:t>
      </w:r>
      <w:r>
        <w:rPr>
          <w:rFonts w:ascii="Times New Roman" w:eastAsia="Times New Roman" w:hAnsi="Times New Roman" w:cs="Times New Roman"/>
          <w:color w:val="000000"/>
          <w:sz w:val="24"/>
          <w:szCs w:val="24"/>
        </w:rPr>
        <w:t xml:space="preserve">ion, it is sufficient to state that where Freya state of impaired consciousness is due to self-induced intoxication by drink or drugs, this will not avail her if the crime with which she is charged is one of basic intent, although it may negate </w:t>
      </w:r>
      <w:proofErr w:type="spellStart"/>
      <w:r>
        <w:rPr>
          <w:rFonts w:ascii="Times New Roman" w:eastAsia="Times New Roman" w:hAnsi="Times New Roman" w:cs="Times New Roman"/>
          <w:color w:val="000000"/>
          <w:sz w:val="24"/>
          <w:szCs w:val="24"/>
        </w:rPr>
        <w:t>mens</w:t>
      </w:r>
      <w:proofErr w:type="spellEnd"/>
      <w:r>
        <w:rPr>
          <w:rFonts w:ascii="Times New Roman" w:eastAsia="Times New Roman" w:hAnsi="Times New Roman" w:cs="Times New Roman"/>
          <w:color w:val="000000"/>
          <w:sz w:val="24"/>
          <w:szCs w:val="24"/>
        </w:rPr>
        <w:t xml:space="preserve"> rea fo</w:t>
      </w:r>
      <w:r>
        <w:rPr>
          <w:rFonts w:ascii="Times New Roman" w:eastAsia="Times New Roman" w:hAnsi="Times New Roman" w:cs="Times New Roman"/>
          <w:color w:val="000000"/>
          <w:sz w:val="24"/>
          <w:szCs w:val="24"/>
        </w:rPr>
        <w:t>r a crime of specific intent means evidence of intoxication may help to create a doubt as to whether she had formed the intent that is necessary for her to be convicted of the offence.</w:t>
      </w:r>
    </w:p>
    <w:p w14:paraId="00000011"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Freya could not be found guilty of an offence involving specific intent</w:t>
      </w:r>
      <w:r>
        <w:rPr>
          <w:rFonts w:ascii="Times New Roman" w:eastAsia="Times New Roman" w:hAnsi="Times New Roman" w:cs="Times New Roman"/>
          <w:color w:val="000000"/>
          <w:sz w:val="24"/>
          <w:szCs w:val="24"/>
        </w:rPr>
        <w:t xml:space="preserve"> if the automatism was brought on by something other than intoxication brought on by alcohol or substances that are prohibited, and it may be used as a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against offences involving fundamental intent (Bailey [1983]). However, in the case of Freya, he</w:t>
      </w:r>
      <w:r>
        <w:rPr>
          <w:rFonts w:ascii="Times New Roman" w:eastAsia="Times New Roman" w:hAnsi="Times New Roman" w:cs="Times New Roman"/>
          <w:color w:val="000000"/>
          <w:sz w:val="24"/>
          <w:szCs w:val="24"/>
        </w:rPr>
        <w:t xml:space="preserve">r intoxication was voluntary that’s why basic intent </w:t>
      </w:r>
      <w:proofErr w:type="spellStart"/>
      <w:r>
        <w:rPr>
          <w:rFonts w:ascii="Times New Roman" w:eastAsia="Times New Roman" w:hAnsi="Times New Roman" w:cs="Times New Roman"/>
          <w:color w:val="000000"/>
          <w:sz w:val="24"/>
          <w:szCs w:val="24"/>
        </w:rPr>
        <w:t>defence</w:t>
      </w:r>
      <w:proofErr w:type="spellEnd"/>
      <w:r>
        <w:rPr>
          <w:rFonts w:ascii="Times New Roman" w:eastAsia="Times New Roman" w:hAnsi="Times New Roman" w:cs="Times New Roman"/>
          <w:color w:val="000000"/>
          <w:sz w:val="24"/>
          <w:szCs w:val="24"/>
        </w:rPr>
        <w:t xml:space="preserve"> is not applicable here. </w:t>
      </w:r>
    </w:p>
    <w:p w14:paraId="00000012"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References</w:t>
      </w:r>
    </w:p>
    <w:p w14:paraId="00000013"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i/>
          <w:color w:val="000000"/>
          <w:sz w:val="24"/>
          <w:szCs w:val="24"/>
        </w:rPr>
        <w:t>Bailey</w:t>
      </w:r>
      <w:r>
        <w:rPr>
          <w:rFonts w:ascii="Times New Roman" w:eastAsia="Times New Roman" w:hAnsi="Times New Roman" w:cs="Times New Roman"/>
          <w:color w:val="000000"/>
          <w:sz w:val="24"/>
          <w:szCs w:val="24"/>
        </w:rPr>
        <w:t xml:space="preserve"> [1983] 1 WLR 760.</w:t>
      </w:r>
    </w:p>
    <w:p w14:paraId="00000014"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R v </w:t>
      </w:r>
      <w:proofErr w:type="spellStart"/>
      <w:r>
        <w:rPr>
          <w:rFonts w:ascii="Times New Roman" w:eastAsia="Times New Roman" w:hAnsi="Times New Roman" w:cs="Times New Roman"/>
          <w:i/>
          <w:color w:val="000000"/>
          <w:sz w:val="24"/>
          <w:szCs w:val="24"/>
        </w:rPr>
        <w:t>Walkington</w:t>
      </w:r>
      <w:proofErr w:type="spellEnd"/>
      <w:r>
        <w:rPr>
          <w:rFonts w:ascii="Times New Roman" w:eastAsia="Times New Roman" w:hAnsi="Times New Roman" w:cs="Times New Roman"/>
          <w:color w:val="000000"/>
          <w:sz w:val="24"/>
          <w:szCs w:val="24"/>
        </w:rPr>
        <w:t xml:space="preserve"> [1979] 1 WLR 1169.</w:t>
      </w:r>
    </w:p>
    <w:p w14:paraId="00000015"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lastRenderedPageBreak/>
        <w:t>Broome v Perkins</w:t>
      </w:r>
      <w:r>
        <w:rPr>
          <w:rFonts w:ascii="Times New Roman" w:eastAsia="Times New Roman" w:hAnsi="Times New Roman" w:cs="Times New Roman"/>
          <w:color w:val="000000"/>
          <w:sz w:val="24"/>
          <w:szCs w:val="24"/>
        </w:rPr>
        <w:t xml:space="preserve"> [1987] Crim LR 271.</w:t>
      </w:r>
    </w:p>
    <w:p w14:paraId="00000016"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Watmore v Jenkins</w:t>
      </w:r>
      <w:r>
        <w:rPr>
          <w:rFonts w:ascii="Times New Roman" w:eastAsia="Times New Roman" w:hAnsi="Times New Roman" w:cs="Times New Roman"/>
          <w:color w:val="000000"/>
          <w:sz w:val="24"/>
          <w:szCs w:val="24"/>
        </w:rPr>
        <w:t xml:space="preserve"> [1962] 2 Q.B. 572.    </w:t>
      </w:r>
    </w:p>
    <w:p w14:paraId="00000017"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‌DDP v Beard </w:t>
      </w:r>
      <w:r>
        <w:rPr>
          <w:rFonts w:ascii="Times New Roman" w:eastAsia="Times New Roman" w:hAnsi="Times New Roman" w:cs="Times New Roman"/>
          <w:color w:val="000000"/>
          <w:sz w:val="24"/>
          <w:szCs w:val="24"/>
        </w:rPr>
        <w:t>[1920].</w:t>
      </w:r>
    </w:p>
    <w:p w14:paraId="00000018"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R v Allen</w:t>
      </w:r>
      <w:r>
        <w:rPr>
          <w:rFonts w:ascii="Times New Roman" w:eastAsia="Times New Roman" w:hAnsi="Times New Roman" w:cs="Times New Roman"/>
          <w:color w:val="000000"/>
          <w:sz w:val="24"/>
          <w:szCs w:val="24"/>
        </w:rPr>
        <w:t xml:space="preserve"> [1989] Crim LR 698.</w:t>
      </w:r>
    </w:p>
    <w:p w14:paraId="00000019"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Criminal Damage Act</w:t>
      </w:r>
      <w:r>
        <w:rPr>
          <w:rFonts w:ascii="Times New Roman" w:eastAsia="Times New Roman" w:hAnsi="Times New Roman" w:cs="Times New Roman"/>
          <w:color w:val="000000"/>
          <w:sz w:val="24"/>
          <w:szCs w:val="24"/>
        </w:rPr>
        <w:t xml:space="preserve"> 1971.</w:t>
      </w:r>
    </w:p>
    <w:p w14:paraId="0000001A"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Moir v Williams</w:t>
      </w:r>
      <w:r>
        <w:rPr>
          <w:rFonts w:ascii="Times New Roman" w:eastAsia="Times New Roman" w:hAnsi="Times New Roman" w:cs="Times New Roman"/>
          <w:color w:val="000000"/>
          <w:sz w:val="24"/>
          <w:szCs w:val="24"/>
        </w:rPr>
        <w:t xml:space="preserve"> [1892] 1 QB </w:t>
      </w:r>
      <w:proofErr w:type="gramStart"/>
      <w:r>
        <w:rPr>
          <w:rFonts w:ascii="Times New Roman" w:eastAsia="Times New Roman" w:hAnsi="Times New Roman" w:cs="Times New Roman"/>
          <w:color w:val="000000"/>
          <w:sz w:val="24"/>
          <w:szCs w:val="24"/>
        </w:rPr>
        <w:t>264 .</w:t>
      </w:r>
      <w:proofErr w:type="gramEnd"/>
    </w:p>
    <w:p w14:paraId="0000001B"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Roe v. </w:t>
      </w:r>
      <w:proofErr w:type="spellStart"/>
      <w:r>
        <w:rPr>
          <w:rFonts w:ascii="Times New Roman" w:eastAsia="Times New Roman" w:hAnsi="Times New Roman" w:cs="Times New Roman"/>
          <w:i/>
          <w:color w:val="000000"/>
          <w:sz w:val="24"/>
          <w:szCs w:val="24"/>
        </w:rPr>
        <w:t>Kingerlee</w:t>
      </w:r>
      <w:proofErr w:type="spellEnd"/>
      <w:r>
        <w:rPr>
          <w:rFonts w:ascii="Times New Roman" w:eastAsia="Times New Roman" w:hAnsi="Times New Roman" w:cs="Times New Roman"/>
          <w:color w:val="000000"/>
          <w:sz w:val="24"/>
          <w:szCs w:val="24"/>
        </w:rPr>
        <w:t xml:space="preserve"> [1989] Crim LR 735.</w:t>
      </w:r>
    </w:p>
    <w:p w14:paraId="0000001C" w14:textId="77777777" w:rsidR="00E93B8E" w:rsidRDefault="00A46599">
      <w:pPr>
        <w:pBdr>
          <w:top w:val="nil"/>
          <w:left w:val="nil"/>
          <w:bottom w:val="nil"/>
          <w:right w:val="nil"/>
          <w:between w:val="nil"/>
        </w:pBdr>
        <w:spacing w:before="240" w:after="240" w:line="48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i/>
          <w:color w:val="000000"/>
          <w:sz w:val="24"/>
          <w:szCs w:val="24"/>
        </w:rPr>
        <w:t>Grayford</w:t>
      </w:r>
      <w:proofErr w:type="spellEnd"/>
      <w:r>
        <w:rPr>
          <w:rFonts w:ascii="Times New Roman" w:eastAsia="Times New Roman" w:hAnsi="Times New Roman" w:cs="Times New Roman"/>
          <w:i/>
          <w:color w:val="000000"/>
          <w:sz w:val="24"/>
          <w:szCs w:val="24"/>
        </w:rPr>
        <w:t xml:space="preserve"> v. </w:t>
      </w:r>
      <w:proofErr w:type="spellStart"/>
      <w:r>
        <w:rPr>
          <w:rFonts w:ascii="Times New Roman" w:eastAsia="Times New Roman" w:hAnsi="Times New Roman" w:cs="Times New Roman"/>
          <w:i/>
          <w:color w:val="000000"/>
          <w:sz w:val="24"/>
          <w:szCs w:val="24"/>
        </w:rPr>
        <w:t>Chouler</w:t>
      </w:r>
      <w:proofErr w:type="spellEnd"/>
      <w:r>
        <w:rPr>
          <w:rFonts w:ascii="Times New Roman" w:eastAsia="Times New Roman" w:hAnsi="Times New Roman" w:cs="Times New Roman"/>
          <w:color w:val="000000"/>
          <w:sz w:val="24"/>
          <w:szCs w:val="24"/>
        </w:rPr>
        <w:t xml:space="preserve"> [1898] 1 QB 316.</w:t>
      </w:r>
    </w:p>
    <w:p w14:paraId="0000001D" w14:textId="77777777" w:rsidR="00E93B8E" w:rsidRDefault="00A46599">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Jones and Smith</w:t>
      </w:r>
      <w:r>
        <w:rPr>
          <w:rFonts w:ascii="Times New Roman" w:eastAsia="Times New Roman" w:hAnsi="Times New Roman" w:cs="Times New Roman"/>
          <w:color w:val="000000"/>
          <w:sz w:val="24"/>
          <w:szCs w:val="24"/>
        </w:rPr>
        <w:t xml:space="preserve"> [1976] 1 W.L.R 672.</w:t>
      </w:r>
    </w:p>
    <w:p w14:paraId="0000001E"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1F"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0"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1"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2"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3"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4"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5"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6"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7"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8"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9"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A"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B"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C"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D"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E"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2F"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0"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1"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2"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3"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4"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5"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6"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7"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8"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p w14:paraId="00000039" w14:textId="77777777" w:rsidR="00E93B8E" w:rsidRDefault="00E93B8E">
      <w:pPr>
        <w:pBdr>
          <w:top w:val="nil"/>
          <w:left w:val="nil"/>
          <w:bottom w:val="nil"/>
          <w:right w:val="nil"/>
          <w:between w:val="nil"/>
        </w:pBdr>
        <w:spacing w:line="480" w:lineRule="auto"/>
        <w:rPr>
          <w:rFonts w:ascii="Times New Roman" w:eastAsia="Times New Roman" w:hAnsi="Times New Roman" w:cs="Times New Roman"/>
          <w:color w:val="000000"/>
          <w:sz w:val="24"/>
          <w:szCs w:val="24"/>
        </w:rPr>
      </w:pPr>
    </w:p>
    <w:sectPr w:rsidR="00E93B8E">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A7C7D" w14:textId="77777777" w:rsidR="00A46599" w:rsidRDefault="00A46599">
      <w:pPr>
        <w:spacing w:line="240" w:lineRule="auto"/>
      </w:pPr>
      <w:r>
        <w:separator/>
      </w:r>
    </w:p>
  </w:endnote>
  <w:endnote w:type="continuationSeparator" w:id="0">
    <w:p w14:paraId="74E01048" w14:textId="77777777" w:rsidR="00A46599" w:rsidRDefault="00A465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3A" w14:textId="77777777" w:rsidR="00E93B8E" w:rsidRDefault="00E93B8E">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D426D1" w14:textId="77777777" w:rsidR="00A46599" w:rsidRDefault="00A46599">
      <w:pPr>
        <w:spacing w:line="240" w:lineRule="auto"/>
      </w:pPr>
      <w:r>
        <w:separator/>
      </w:r>
    </w:p>
  </w:footnote>
  <w:footnote w:type="continuationSeparator" w:id="0">
    <w:p w14:paraId="2FE0E73A" w14:textId="77777777" w:rsidR="00A46599" w:rsidRDefault="00A4659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B8E"/>
    <w:rsid w:val="00A46599"/>
    <w:rsid w:val="00D4473A"/>
    <w:rsid w:val="00E93B8E"/>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3AC1EF33"/>
  <w15:docId w15:val="{73DAE9AA-C177-D343-89A1-CA57C605F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1585</Words>
  <Characters>9037</Characters>
  <Application>Microsoft Office Word</Application>
  <DocSecurity>0</DocSecurity>
  <Lines>75</Lines>
  <Paragraphs>21</Paragraphs>
  <ScaleCrop>false</ScaleCrop>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Hamza Tufail</cp:lastModifiedBy>
  <cp:revision>2</cp:revision>
  <dcterms:created xsi:type="dcterms:W3CDTF">2023-01-13T15:06:00Z</dcterms:created>
  <dcterms:modified xsi:type="dcterms:W3CDTF">2023-01-13T15:08:00Z</dcterms:modified>
</cp:coreProperties>
</file>