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BA in Business Management </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Assessment 2</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Project Management </w:t>
        <w:tab/>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Student: Olesea Pecica</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ID: 2027757</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jc w:val="center"/>
        <w:rPr>
          <w:rFonts w:ascii="Times New Roman" w:cs="Times New Roman" w:hAnsi="Times New Roman" w:eastAsia="Times New Roman"/>
          <w:sz w:val="34"/>
          <w:szCs w:val="34"/>
        </w:rPr>
      </w:pPr>
      <w:r>
        <w:rPr>
          <w:rFonts w:ascii="Times New Roman" w:hAnsi="Times New Roman"/>
          <w:sz w:val="34"/>
          <w:szCs w:val="34"/>
          <w:rtl w:val="0"/>
          <w:lang w:val="en-US"/>
        </w:rPr>
        <w:t>London 2023</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Introduction</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In the Report bellow it</w:t>
      </w:r>
      <w:r>
        <w:rPr>
          <w:rFonts w:ascii="Times New Roman" w:hAnsi="Times New Roman" w:hint="default"/>
          <w:sz w:val="34"/>
          <w:szCs w:val="34"/>
          <w:rtl w:val="0"/>
          <w:lang w:val="en-US"/>
        </w:rPr>
        <w:t>’</w:t>
      </w:r>
      <w:r>
        <w:rPr>
          <w:rFonts w:ascii="Times New Roman" w:hAnsi="Times New Roman"/>
          <w:sz w:val="34"/>
          <w:szCs w:val="34"/>
          <w:rtl w:val="0"/>
          <w:lang w:val="en-US"/>
        </w:rPr>
        <w:t>s relates to nuclear power plant Hinkley Point C which is the most expensive station and biggest contruction project in the world. Apart of delay and extra cost which were not planned from beginning it is expecting to be live by 2027. At the moment in UK is still running six old nuclear station which are operational for four decades, within this context two are due to closely 2024. Fighting with big enemy called power crisis, for UK is with is the only opportunity to cover a part of energy costumed within a country for the next years.</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Discussion</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After those at Olkiluoto in Finland, Flamanville in France, and Taishan 1 and 2 in China, the EPR power plant at Hinkley Point C will be the first in the UK and just the fourth overall. These reactors will produce 1,650 MW of power each and be more efficient, safe, and long-lasting (60 years). They will provide 7% of the domestic electricity required in the UK in 2025 and provide 5 million households with safe, controllable, and carbon-free power.</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Hinkley Point C is one of the most difficult nuclear power reactors to build from a civil engineering perspective.</w:t>
      </w:r>
      <w:r>
        <w:rPr>
          <w:rFonts w:ascii="Times New Roman" w:hAnsi="Times New Roman"/>
          <w:sz w:val="34"/>
          <w:szCs w:val="34"/>
          <w:rtl w:val="0"/>
          <w:lang w:val="en-US"/>
        </w:rPr>
        <w:t xml:space="preserve"> </w:t>
      </w:r>
      <w:r>
        <w:rPr>
          <w:rFonts w:ascii="Times New Roman" w:hAnsi="Times New Roman"/>
          <w:sz w:val="34"/>
          <w:szCs w:val="34"/>
          <w:rtl w:val="0"/>
          <w:lang w:val="en-US"/>
        </w:rPr>
        <w:t xml:space="preserve">Engineering has major technical planning and competence issues while managing and directing a multipolar (9 manufacturing locations in France and overseas) and multicultural (35 nationalities participating) engineering function. These issues include adhering to stringent nuclear safety regulations and foreseeing building problems at the design stage. </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Over the course of its 60-year operation, the environment will greatly benefit from Hinkley Point C's contribution to the fight against climate change.</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Sustainability and environmental preservation are additional crucial components of the actual building. Using innovative techniques, a team of environmental specialists is working to enhance the region's biodiversity and ecosystems so that nature may flourish where it was previously intensely cultivated.</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The UK's Office for Nuclear Regulation (ONR) and Environment Agency (EA) employed a four-year Generic Design Assessment (GDA) process to make sure the EPR fulfilled the strictest safety and environmental protection standards.</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Hinkley Point C will be powered by EPR technology because we want it to be a nuclear power station that sets the standard for the nuclear energy sector. The nuclear energy of uranium atoms is transformed into electrical energy that may be used in homes and businesses through the EPR. The splitting of an atom's nucleus is known as nuclear fission. As a result, steam is created under pressure from the heat, which drives turbines and generates electricity. (The picture presented below is indicative only).</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All of the nuclear power plants we've constructed in the past were large in size and produced a lot of electricity. In order to assist remove the excess heat that remains after huge volumes of steam have flowed through the turbines, they must be located close to a dependable source of cooling water. In the UK, coastal settings are perfect for it and often do away with the need for cooling towers. The early plants were intended to be placed far from heavily inhabited regions, both to calm widespread public worries and as a "just in case" safety measure in the event of any disasters or the need to evacuate adjacent towns. This technique was also appropriate for this aim. When we halted the advanced gas-cooled reactor (AGR) programme in the 1980s, about a dozen sites were still in operation, either for the more recent AGRs or the more venerable Magnox stations. Both are occasionally present together. With the exception of two, all of them were situated on coastlines: Trawsfynydd in North Wales, which has a single Magnox reactor near to a lake, and Chapelcross in Dumfriesshire, where cooling towers and a pipeline to the shore were used to provide cooling. It's significant that no new websites have been added to the list since then. Sizewell, in Suffolk, the location of our newest operational reactor, Sizewell B, is to get a duplicate of the Hinkley Point complex, to be named as Sizewell C.</w:t>
      </w:r>
      <w:r>
        <w:rPr>
          <w:rFonts w:ascii="Times New Roman" w:hAnsi="Times New Roman"/>
          <w:sz w:val="34"/>
          <w:szCs w:val="34"/>
          <w:rtl w:val="0"/>
          <w:lang w:val="en-US"/>
        </w:rPr>
        <w:t xml:space="preserve"> </w:t>
      </w:r>
      <w:r>
        <w:rPr>
          <w:rFonts w:ascii="Times New Roman" w:hAnsi="Times New Roman"/>
          <w:sz w:val="34"/>
          <w:szCs w:val="34"/>
          <w:rtl w:val="0"/>
          <w:lang w:val="en-US"/>
        </w:rPr>
        <w:t>The major focus of all new nuclear plans is on existing nuclear sites, such as Sizewell, which currently contains Sizewell B, and Hinkley Point in Somerset, where new reactors are being constructed. As the government looks to once more expand the UK's nuclear fleet, siting must be taken into account. Before a nuclear reactor can be built, the site must have a nuclear site licence, which will only be granted if the necessary requirements for environmental protection, safety, emergency planning, and other aspects can be satisfied.</w:t>
      </w:r>
      <w:r>
        <w:rPr>
          <w:rFonts w:ascii="Times New Roman" w:hAnsi="Times New Roman"/>
          <w:sz w:val="34"/>
          <w:szCs w:val="34"/>
          <w:rtl w:val="0"/>
          <w:lang w:val="en-US"/>
        </w:rPr>
        <w:t xml:space="preserve"> </w:t>
      </w:r>
      <w:r>
        <w:rPr>
          <w:rFonts w:ascii="Times New Roman" w:hAnsi="Times New Roman"/>
          <w:sz w:val="34"/>
          <w:szCs w:val="34"/>
          <w:rtl w:val="0"/>
          <w:lang w:val="en-US"/>
        </w:rPr>
        <w:t>A little amount of cooling water access will be necessary. A connection to the grid is needed in order to export the power. The backing (or at the very least acquiescence) of the community and that of its representatives is also essential. A significant portion of the current sites are either occupied by operating reactors or, increasingly, by reactors that have shut down and are in various stages of decommissioning, which will take at least several decades to complete. The UK is running out of land that is suitable close to the current reactor sites.</w:t>
      </w:r>
      <w:r>
        <w:rPr>
          <w:rFonts w:ascii="Times New Roman" w:hAnsi="Times New Roman"/>
          <w:sz w:val="34"/>
          <w:szCs w:val="34"/>
          <w:rtl w:val="0"/>
          <w:lang w:val="en-US"/>
        </w:rPr>
        <w:t xml:space="preserve"> </w:t>
      </w:r>
      <w:r>
        <w:rPr>
          <w:rFonts w:ascii="Times New Roman" w:hAnsi="Times New Roman"/>
          <w:sz w:val="34"/>
          <w:szCs w:val="34"/>
          <w:rtl w:val="0"/>
          <w:lang w:val="en-US"/>
        </w:rPr>
        <w:t>It's crucial to remember that the UK built its final nuclear power plant at a site that had none before at the Torness facility in Scotland, whose construction began in 1980. The development of and excitement for small modular reactors (SMRs) is another topic of discussion. One major benefit of these, which is expected to play a considerable part in the UK's new nuclear era, is that they don't require as much cooling as older, larger reactors. Because existing sites can't accommodate all the new nuclear we need, many new locations with little to no nuclear experience will be offered to host nuclear facilities. Some of these may be considerably nearer to major electricity users, such industrial areas and large cities. The government may be able to solve this issue, as it has so many others.</w:t>
      </w:r>
      <w:r>
        <w:rPr>
          <w:rFonts w:ascii="Times New Roman" w:hAnsi="Times New Roman"/>
          <w:sz w:val="34"/>
          <w:szCs w:val="34"/>
          <w:rtl w:val="0"/>
          <w:lang w:val="en-US"/>
        </w:rPr>
        <w:t xml:space="preserve"> </w:t>
      </w:r>
      <w:r>
        <w:rPr>
          <w:rFonts w:ascii="Times New Roman" w:hAnsi="Times New Roman"/>
          <w:sz w:val="34"/>
          <w:szCs w:val="34"/>
          <w:rtl w:val="0"/>
          <w:lang w:val="en-US"/>
        </w:rPr>
        <w:t>Through the Nuclear Decommissioning Authority (NDA), they are the majority of the decommissioning sites' owners in the UK. The need for Britain to create sizable new nuclear capabilities is not now taken into consideration by their cleaning objective. The management of sites holistically, similar to how we think of the "nuclear fuel cycle" for the recycling and optimisation of the elements in the nuclear cycle, is one suggestion for reform. Using a "nuclear site cycle" technique is necessary to balance conflicting drives.</w:t>
      </w:r>
      <w:r>
        <w:rPr>
          <w:rFonts w:ascii="Times New Roman" w:hAnsi="Times New Roman"/>
          <w:sz w:val="34"/>
          <w:szCs w:val="34"/>
          <w:rtl w:val="0"/>
          <w:lang w:val="en-US"/>
        </w:rPr>
        <w:t xml:space="preserve"> </w:t>
      </w:r>
      <w:r>
        <w:rPr>
          <w:rFonts w:ascii="Times New Roman" w:hAnsi="Times New Roman"/>
          <w:sz w:val="34"/>
          <w:szCs w:val="34"/>
          <w:rtl w:val="0"/>
          <w:lang w:val="en-US"/>
        </w:rPr>
        <w:t>One driving force is the continual work to ready a facility for potential delicensing, which frequently seems improbable to ever occur in actuality and therefore for a very high level of decommissioning to ensure extremely low exposures to the public. But in addition to that, the site's potential worth in a future nuclear build programme must be taken into account.</w:t>
      </w:r>
      <w:r>
        <w:rPr>
          <w:rFonts w:ascii="Times New Roman" w:hAnsi="Times New Roman"/>
          <w:sz w:val="34"/>
          <w:szCs w:val="34"/>
          <w:rtl w:val="0"/>
          <w:lang w:val="en-US"/>
        </w:rPr>
        <w:t xml:space="preserve"> </w:t>
      </w:r>
      <w:r>
        <w:rPr>
          <w:rFonts w:ascii="Times New Roman" w:hAnsi="Times New Roman"/>
          <w:sz w:val="34"/>
          <w:szCs w:val="34"/>
          <w:rtl w:val="0"/>
          <w:lang w:val="en-US"/>
        </w:rPr>
        <w:t>All decommissioning locations have cooling water available, the chance to reuse or repair suitable grid connections, and nearby communities with knowledge and experience in nuclear energy. Additionally, they are all licenced nuclear sites.</w:t>
      </w:r>
      <w:r>
        <w:rPr>
          <w:rFonts w:ascii="Times New Roman" w:hAnsi="Times New Roman"/>
          <w:sz w:val="34"/>
          <w:szCs w:val="34"/>
          <w:rtl w:val="0"/>
          <w:lang w:val="en-US"/>
        </w:rPr>
        <w:t xml:space="preserve"> </w:t>
      </w:r>
      <w:r>
        <w:rPr>
          <w:rFonts w:ascii="Times New Roman" w:hAnsi="Times New Roman"/>
          <w:sz w:val="34"/>
          <w:szCs w:val="34"/>
          <w:rtl w:val="0"/>
          <w:lang w:val="en-US"/>
        </w:rPr>
        <w:t>Additionally, they are all licenced nuclear sites. To assist the development, commissioning, and operation of new plants once the decommissioning of the current sites is over, the personnel at the sites must also possess nuclear skills. This is maybe the most important. By assisting these people in retraining and maintaining their expertise in the communities where they reside, one of the socio-economic objectives of the NDA may be supported. especially to support healthy local economies in nearby towns and, if feasible, to contribute to regional economic growth.It is crucial that the NDA's mandate include faster or scaled-back cleaning of sites in order for them to be cheaply and safely repurposed to support a new phase of reliable, clean nuclear power generation. As I've already stated, this has to happen at the same time as talks with potential host towns in areas without nuclear reactors.</w:t>
      </w:r>
    </w:p>
    <w:p>
      <w:pPr>
        <w:pStyle w:val="Body"/>
        <w:rPr>
          <w:rFonts w:ascii="Times New Roman" w:cs="Times New Roman" w:hAnsi="Times New Roman" w:eastAsia="Times New Roman"/>
          <w:sz w:val="34"/>
          <w:szCs w:val="34"/>
        </w:rPr>
      </w:pPr>
      <w:r>
        <w:rPr>
          <w:rFonts w:ascii="Times New Roman" w:cs="Times New Roman" w:hAnsi="Times New Roman" w:eastAsia="Times New Roman"/>
          <w:sz w:val="34"/>
          <w:szCs w:val="34"/>
        </w:rPr>
        <w:drawing xmlns:a="http://schemas.openxmlformats.org/drawingml/2006/main">
          <wp:anchor distT="152400" distB="152400" distL="152400" distR="152400" simplePos="0" relativeHeight="251659264" behindDoc="0" locked="0" layoutInCell="1" allowOverlap="1">
            <wp:simplePos x="0" y="0"/>
            <wp:positionH relativeFrom="margin">
              <wp:posOffset>309969</wp:posOffset>
            </wp:positionH>
            <wp:positionV relativeFrom="line">
              <wp:posOffset>202810</wp:posOffset>
            </wp:positionV>
            <wp:extent cx="4987533" cy="2805488"/>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EI_80313058.jpg"/>
                    <pic:cNvPicPr>
                      <a:picLocks noChangeAspect="1"/>
                    </pic:cNvPicPr>
                  </pic:nvPicPr>
                  <pic:blipFill>
                    <a:blip r:embed="rId4">
                      <a:extLst/>
                    </a:blip>
                    <a:stretch>
                      <a:fillRect/>
                    </a:stretch>
                  </pic:blipFill>
                  <pic:spPr>
                    <a:xfrm>
                      <a:off x="0" y="0"/>
                      <a:ext cx="4987533" cy="2805488"/>
                    </a:xfrm>
                    <a:prstGeom prst="rect">
                      <a:avLst/>
                    </a:prstGeom>
                    <a:ln w="12700" cap="flat">
                      <a:noFill/>
                      <a:miter lim="400000"/>
                    </a:ln>
                    <a:effectLst/>
                  </pic:spPr>
                </pic:pic>
              </a:graphicData>
            </a:graphic>
          </wp:anchor>
        </w:drawing>
      </w:r>
    </w:p>
    <w:p>
      <w:pPr>
        <w:pStyle w:val="Default"/>
        <w:bidi w:val="0"/>
        <w:spacing w:before="0" w:after="260"/>
        <w:ind w:left="0" w:right="0" w:firstLine="0"/>
        <w:jc w:val="left"/>
        <w:rPr>
          <w:rFonts w:ascii="Times New Roman" w:cs="Times New Roman" w:hAnsi="Times New Roman" w:eastAsia="Times New Roman"/>
          <w:outline w:val="0"/>
          <w:color w:val="111111"/>
          <w:sz w:val="34"/>
          <w:szCs w:val="34"/>
          <w:rtl w:val="0"/>
          <w14:textFill>
            <w14:solidFill>
              <w14:srgbClr w14:val="111111"/>
            </w14:solidFill>
          </w14:textFill>
        </w:rPr>
      </w:pPr>
      <w:r>
        <w:rPr>
          <w:rFonts w:ascii="Times New Roman" w:hAnsi="Times New Roman"/>
          <w:outline w:val="0"/>
          <w:color w:val="111111"/>
          <w:sz w:val="34"/>
          <w:szCs w:val="34"/>
          <w:rtl w:val="0"/>
          <w:lang w:val="en-US"/>
          <w14:textFill>
            <w14:solidFill>
              <w14:srgbClr w14:val="111111"/>
            </w14:solidFill>
          </w14:textFill>
        </w:rPr>
        <w:t xml:space="preserve">Through a permissioning process, ONR monitors the construction and installation of machinery. A licensee is required to demonstrate, among other things, that it is qualified to ensure that the machinery complies with the current safety case and applicable UK safety regulations. </w:t>
      </w:r>
    </w:p>
    <w:p>
      <w:pPr>
        <w:pStyle w:val="Default"/>
        <w:bidi w:val="0"/>
        <w:spacing w:before="0" w:after="260"/>
        <w:ind w:left="0" w:right="0" w:firstLine="0"/>
        <w:jc w:val="left"/>
        <w:rPr>
          <w:rFonts w:ascii="Times New Roman" w:cs="Times New Roman" w:hAnsi="Times New Roman" w:eastAsia="Times New Roman"/>
          <w:outline w:val="0"/>
          <w:color w:val="111111"/>
          <w:sz w:val="34"/>
          <w:szCs w:val="34"/>
          <w:rtl w:val="0"/>
          <w14:textFill>
            <w14:solidFill>
              <w14:srgbClr w14:val="111111"/>
            </w14:solidFill>
          </w14:textFill>
        </w:rPr>
      </w:pPr>
      <w:r>
        <w:rPr>
          <w:rFonts w:ascii="Times New Roman" w:hAnsi="Times New Roman"/>
          <w:outline w:val="0"/>
          <w:color w:val="111111"/>
          <w:sz w:val="34"/>
          <w:szCs w:val="34"/>
          <w:rtl w:val="0"/>
          <w:lang w:val="en-US"/>
          <w14:textFill>
            <w14:solidFill>
              <w14:srgbClr w14:val="111111"/>
            </w14:solidFill>
          </w14:textFill>
        </w:rPr>
        <w:t xml:space="preserve"> </w:t>
      </w:r>
      <w:r>
        <w:rPr>
          <w:rFonts w:ascii="Times New Roman" w:hAnsi="Times New Roman"/>
          <w:outline w:val="0"/>
          <w:color w:val="111111"/>
          <w:sz w:val="34"/>
          <w:szCs w:val="34"/>
          <w:rtl w:val="0"/>
          <w:lang w:val="en-US"/>
          <w14:textFill>
            <w14:solidFill>
              <w14:srgbClr w14:val="111111"/>
            </w14:solidFill>
          </w14:textFill>
        </w:rPr>
        <w:t xml:space="preserve">To this end, ONR's New Reactors Division has developed a Hinkley Point C regulatory plan with the following objectives: - ensuring ONR's appropriate, efficient, and effective regulation of the development, installation, and startup of the two EPR reactor units; - gathering information to support ONR's evaluation of NNB GenCo's organisational capability and the efficacy of its management structures. The intervention plan for the New Reactor Division, which is based on this regulatory approach, takes into account the building activities that are projected to take place in the next year or so and is routinely updated. </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NNB GenCo's organisational capabilities. Acceptability of the as-built design and safety case compliance with the standards for health and safety, such as fire safety on construction sites, as set out in the nuclear site licence security and nuclear material safeguards.</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The final design was not yet verified at the time of the Office for Nuclear Regulation's 2014 Cornerstone Report, thus revisions were most likely to happen as work progressed. Fire strategy, however, had already been authorised.</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"On the nuclear island and in the conventional regions, there is still a lot of work to be done, including verifying the company's support for the existing draught fire strategy papers, making plans for final design fire safety recommendations, and creating documents for fire risk assessment," the report reads. However, it is believed that fire safety has advanced sufficiently and is currently operating successfully in the project.</w:t>
      </w:r>
      <w:r>
        <w:rPr>
          <w:rFonts w:ascii="Times New Roman" w:hAnsi="Times New Roman" w:hint="default"/>
          <w:sz w:val="34"/>
          <w:szCs w:val="34"/>
          <w:rtl w:val="1"/>
        </w:rPr>
        <w:t>‘</w:t>
      </w:r>
      <w:r>
        <w:rPr>
          <w:rFonts w:ascii="Times New Roman" w:hAnsi="Times New Roman"/>
          <w:sz w:val="34"/>
          <w:szCs w:val="34"/>
          <w:rtl w:val="0"/>
          <w:lang w:val="en-US"/>
        </w:rPr>
        <w:t>Generally speaking, inspectors have praised NNB GenCo for accepting RC1. It is important to realise, however, that NNB GenCo's acceptance is just a conditional acceptance because there are still certain design risks, notably those connected to Generic Design Assessment (GDA) AFs on the C&amp;I parts of the HVAC system and the size of the UDGs. Although a second Safety Functional Requirement Note (SFRN) has since been published, the implementation of the safety categorization and classification methodology still needs to be completed, and a crucial design choice regarding the choice of a wet or dry ISFS still needs to be made.It is highly important that these issues be rectified in order to completely accept the RC1.1 design reference as an effective starting point for comprehensive design work. The inspectors believe that in a few evaluation locations, progress in the close-out of GDA AFs should have advanced farther than it has so far. This, in my opinion, poses one of the biggest regulatory risks to the project. It is necessary to go forward right away with the resolution of assessment results in the areas of civil engineering, electrical engineering, C&amp;I, equipment qualification (EQ) for hazards, fault investigations, severe accident analysis, and the treatment of hazards within the probabilistic safety analysis (PSA).</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There has not been a humanitarian catastrophe in Europe comparable to the Russia-Ukraine conflict since World War II. Energy, particularly oil and gas, is one of Russia's most potent leverage weapons since it supplies a sizable share of Europe's oil and gas. This briefing will discuss how the war is illuminating the relationship between the UK and Russia in relation to energy issues as well as potential solutions to the inevitable rise in power prices. The debate will go through how the war is illuminating the relationship between the UK and Russia in terms of energy issues as well as potential remedies for the probable rise in power prices.</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As a result, costs in the UK (and probably everywhere else) will rise due to the situation in Ukraine, perhaps reaching </w:t>
      </w:r>
      <w:r>
        <w:rPr>
          <w:rFonts w:ascii="Times New Roman" w:hAnsi="Times New Roman" w:hint="default"/>
          <w:sz w:val="34"/>
          <w:szCs w:val="34"/>
          <w:rtl w:val="0"/>
        </w:rPr>
        <w:t>£</w:t>
      </w:r>
      <w:r>
        <w:rPr>
          <w:rFonts w:ascii="Times New Roman" w:hAnsi="Times New Roman"/>
          <w:sz w:val="34"/>
          <w:szCs w:val="34"/>
          <w:rtl w:val="0"/>
          <w:lang w:val="en-US"/>
        </w:rPr>
        <w:t xml:space="preserve">3,000 in October 2022 (an increase of </w:t>
      </w:r>
      <w:r>
        <w:rPr>
          <w:rFonts w:ascii="Times New Roman" w:hAnsi="Times New Roman" w:hint="default"/>
          <w:sz w:val="34"/>
          <w:szCs w:val="34"/>
          <w:rtl w:val="0"/>
        </w:rPr>
        <w:t>£</w:t>
      </w:r>
      <w:r>
        <w:rPr>
          <w:rFonts w:ascii="Times New Roman" w:hAnsi="Times New Roman"/>
          <w:sz w:val="34"/>
          <w:szCs w:val="34"/>
          <w:rtl w:val="0"/>
          <w:lang w:val="en-US"/>
        </w:rPr>
        <w:t>600 from previously anticipated levels). Since there are still sizable data gaps that must be filled in order to predict future bill levels, some people do not believe that bills will reach this high. Cheap renewable energy sources will aid in containing power price hikes, but because the UK still depends on gas for home heating and electricity generation, gas price variations continue to be a concern.</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Because it could reduce overall gas demand in the UK by 7-8% and imports by 15% while lowering homeowners' energy costs, energy efficiency is a clear short-term action. Only 5-6% of the nation's gas imports, or roughly 3-4% of UK consumption, come from Russia (via LNG tankers rather than pipelines). But due to Russia's reduction in supply over the previous 18 months, there has been a negative effect on all international gas markets that are linked to ours. Fuel prices will thus increase even if fuel supply to the UK may not be immediately affected. </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In April 2022, the UK's energy price ceiling will rise from </w:t>
      </w:r>
      <w:r>
        <w:rPr>
          <w:rFonts w:ascii="Times New Roman" w:hAnsi="Times New Roman" w:hint="default"/>
          <w:sz w:val="34"/>
          <w:szCs w:val="34"/>
          <w:rtl w:val="0"/>
        </w:rPr>
        <w:t>£</w:t>
      </w:r>
      <w:r>
        <w:rPr>
          <w:rFonts w:ascii="Times New Roman" w:hAnsi="Times New Roman"/>
          <w:sz w:val="34"/>
          <w:szCs w:val="34"/>
          <w:rtl w:val="0"/>
          <w:lang w:val="en-US"/>
        </w:rPr>
        <w:t xml:space="preserve">1,277 to </w:t>
      </w:r>
      <w:r>
        <w:rPr>
          <w:rFonts w:ascii="Times New Roman" w:hAnsi="Times New Roman" w:hint="default"/>
          <w:sz w:val="34"/>
          <w:szCs w:val="34"/>
          <w:rtl w:val="0"/>
        </w:rPr>
        <w:t>£</w:t>
      </w:r>
      <w:r>
        <w:rPr>
          <w:rFonts w:ascii="Times New Roman" w:hAnsi="Times New Roman"/>
          <w:sz w:val="34"/>
          <w:szCs w:val="34"/>
          <w:rtl w:val="0"/>
          <w:lang w:val="en-US"/>
        </w:rPr>
        <w:t xml:space="preserve">1,971. The quintupling of petrol costs in 2021, which contributed at least </w:t>
      </w:r>
      <w:r>
        <w:rPr>
          <w:rFonts w:ascii="Times New Roman" w:hAnsi="Times New Roman" w:hint="default"/>
          <w:sz w:val="34"/>
          <w:szCs w:val="34"/>
          <w:rtl w:val="0"/>
        </w:rPr>
        <w:t>£</w:t>
      </w:r>
      <w:r>
        <w:rPr>
          <w:rFonts w:ascii="Times New Roman" w:hAnsi="Times New Roman"/>
          <w:sz w:val="34"/>
          <w:szCs w:val="34"/>
          <w:rtl w:val="0"/>
          <w:lang w:val="en-US"/>
        </w:rPr>
        <w:t xml:space="preserve">500 of the bill rise, is the cause of this. Since neither Russia nor Ukraine have substantial direct trade ties with the UK, the Russian invasion of Ukraine has the greatest direct impact on our economy through its effects on the global energy market. The UK's overall energy usage dropped by 22% between 2000 and 2019, which may be ascribed to both a move away from more energy-intensive industries and improvements in energy efficiency across the board. </w:t>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As a result, during the same period, the energy intensity of UK output has declined dramatically by 43%, and it is currently 70% less energy intense than it was during the global energy crises of the 1970s.a The UK has been increasingly dependent on imports to cover its energy demands throughout that time, with the percentage of net imports in total demand rising from minus 17% to plus 35% since 2000 as a result of diminishing North Sea oil and gas output.</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Conclusion</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Hinkley nuclear power has a positive impact b</w:t>
      </w:r>
      <w:r>
        <w:rPr>
          <w:rFonts w:ascii="Times New Roman" w:hAnsi="Times New Roman"/>
          <w:sz w:val="34"/>
          <w:szCs w:val="34"/>
          <w:rtl w:val="0"/>
          <w:lang w:val="en-US"/>
        </w:rPr>
        <w:t>y generating more than 25000 new jobs and controlling 64% of the construction value, it will promote long-term economic growth in Britain. The provision of low-carbon electricity to more than 6 million homes by this huge power station has a major negative environmental impact.</w:t>
      </w:r>
      <w:r>
        <w:rPr>
          <w:rFonts w:ascii="Times New Roman" w:hAnsi="Times New Roman"/>
          <w:sz w:val="34"/>
          <w:szCs w:val="34"/>
          <w:rtl w:val="0"/>
          <w:lang w:val="en-US"/>
        </w:rPr>
        <w:t xml:space="preserve"> </w:t>
      </w:r>
      <w:r>
        <w:rPr>
          <w:rFonts w:ascii="Times New Roman" w:hAnsi="Times New Roman"/>
          <w:sz w:val="34"/>
          <w:szCs w:val="34"/>
          <w:rtl w:val="0"/>
          <w:lang w:val="en-US"/>
        </w:rPr>
        <w:t>Hinkley Point C is crucial for combating climate change and guaranteeing energy security, but it also demonstrates that the move to net-zero can bring about significant social and economic advantages that will improve people's lives and communities.</w:t>
      </w:r>
      <w:r>
        <w:rPr>
          <w:rFonts w:ascii="Times New Roman" w:hAnsi="Times New Roman"/>
          <w:sz w:val="34"/>
          <w:szCs w:val="34"/>
          <w:rtl w:val="0"/>
          <w:lang w:val="en-US"/>
        </w:rPr>
        <w:t xml:space="preserve"> </w:t>
      </w:r>
      <w:r>
        <w:rPr>
          <w:rFonts w:ascii="Times New Roman" w:hAnsi="Times New Roman"/>
          <w:sz w:val="34"/>
          <w:szCs w:val="34"/>
          <w:rtl w:val="0"/>
          <w:lang w:val="en-US"/>
        </w:rPr>
        <w:t>To lessen the environmental effect of producing concrete, Hinkley Point C uses a more environmentally friendly cement replacement. 230,000 tonnes of recycled ground-granulated blast furnace slag were utilised in the project. Compared to utilising Portland cement, each tonne used reduces the CO2 in the concrete by around 850 kg.</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References</w:t>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1. Adrian Bull, </w:t>
      </w:r>
      <w:r>
        <w:rPr>
          <w:rFonts w:ascii="Times New Roman" w:hAnsi="Times New Roman" w:hint="default"/>
          <w:sz w:val="34"/>
          <w:szCs w:val="34"/>
          <w:rtl w:val="0"/>
          <w:lang w:val="en-US"/>
        </w:rPr>
        <w:t>‘</w:t>
      </w:r>
      <w:r>
        <w:rPr>
          <w:rFonts w:ascii="Times New Roman" w:hAnsi="Times New Roman"/>
          <w:sz w:val="34"/>
          <w:szCs w:val="34"/>
          <w:rtl w:val="0"/>
          <w:lang w:val="en-US"/>
        </w:rPr>
        <w:t xml:space="preserve">Energy and Environment, March 13, 2023, available at: </w:t>
      </w: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"https://blog.policy.manchester.ac.uk/posts/2023/03/location-location-location-finding-sites-for-nuclear-power-plants/"</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https://blog.policy.manchester.ac.uk/posts/2023/03/location-location-location-finding-sites-for-nuclear-power-plants/</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2. Department of Energy &amp; Climate Change,Gov. UK,12 March 2016. Accessed on 29th of April, available at: </w:t>
      </w: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"https://www.gov.uk/government/news/5-reasons-why-we-are-backing-hinkley-point-c"</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https://www.gov.uk/government/news/5-reasons-why-we-are-backing-hinkley-point-c</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3. Department for Business, Energy &amp; Industrial Strategy, </w:t>
      </w:r>
      <w:r>
        <w:rPr>
          <w:rFonts w:ascii="Times New Roman" w:hAnsi="Times New Roman" w:hint="default"/>
          <w:sz w:val="34"/>
          <w:szCs w:val="34"/>
          <w:rtl w:val="0"/>
          <w:lang w:val="en-US"/>
        </w:rPr>
        <w:t>‘</w:t>
      </w:r>
      <w:r>
        <w:rPr>
          <w:rFonts w:ascii="Times New Roman" w:hAnsi="Times New Roman"/>
          <w:sz w:val="34"/>
          <w:szCs w:val="34"/>
          <w:rtl w:val="0"/>
          <w:lang w:val="en-US"/>
        </w:rPr>
        <w:t>Hinkley Point C wider benefits realisation plan</w:t>
      </w:r>
      <w:r>
        <w:rPr>
          <w:rFonts w:ascii="Times New Roman" w:hAnsi="Times New Roman" w:hint="default"/>
          <w:sz w:val="34"/>
          <w:szCs w:val="34"/>
          <w:rtl w:val="0"/>
          <w:lang w:val="en-US"/>
        </w:rPr>
        <w:t>’</w:t>
      </w:r>
      <w:r>
        <w:rPr>
          <w:rFonts w:ascii="Times New Roman" w:hAnsi="Times New Roman"/>
          <w:sz w:val="34"/>
          <w:szCs w:val="34"/>
          <w:rtl w:val="0"/>
          <w:lang w:val="en-US"/>
        </w:rPr>
        <w:t xml:space="preserve">. Accessed on 29th April, available at: </w:t>
      </w:r>
    </w:p>
    <w:p>
      <w:pPr>
        <w:pStyle w:val="Body"/>
        <w:rPr>
          <w:rFonts w:ascii="Times New Roman" w:cs="Times New Roman" w:hAnsi="Times New Roman" w:eastAsia="Times New Roman"/>
          <w:sz w:val="34"/>
          <w:szCs w:val="34"/>
        </w:rPr>
      </w:pP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"https://assets.publishing.service.gov.uk/government/uploads/system/uploads/attachment_data/file/725960/HPC_Benefits_Realisation_Plan.pdf"</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https://assets.publishing.service.gov.uk/government/uploads/system/uploads/attachment_data/file/725960/HPC_Benefits_Realisation_Plan.pdf</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4. Simon Level &amp; Colin Smith, </w:t>
      </w:r>
      <w:r>
        <w:rPr>
          <w:rFonts w:ascii="Times New Roman" w:hAnsi="Times New Roman" w:hint="default"/>
          <w:sz w:val="34"/>
          <w:szCs w:val="34"/>
          <w:rtl w:val="0"/>
          <w:lang w:val="en-US"/>
        </w:rPr>
        <w:t>‘</w:t>
      </w:r>
      <w:r>
        <w:rPr>
          <w:rFonts w:ascii="Times New Roman" w:hAnsi="Times New Roman"/>
          <w:sz w:val="34"/>
          <w:szCs w:val="34"/>
          <w:rtl w:val="0"/>
          <w:lang w:val="en-US"/>
        </w:rPr>
        <w:t xml:space="preserve">Imperial experts share their thoughts on Hinkley Point C nuclear power plant. Accesed on 29th April, available at: </w:t>
      </w: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"https://www.imperial.ac.uk/news/173787/imperial-experts-share-their-thoughts-hinkley/"</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https://www.imperial.ac.uk/news/173787/imperial-experts-share-their-thoughts-hinkley/</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5 . Office for Budget Responsibility, </w:t>
      </w:r>
      <w:r>
        <w:rPr>
          <w:rFonts w:ascii="Times New Roman" w:hAnsi="Times New Roman" w:hint="default"/>
          <w:sz w:val="34"/>
          <w:szCs w:val="34"/>
          <w:rtl w:val="0"/>
          <w:lang w:val="en-US"/>
        </w:rPr>
        <w:t>‘</w:t>
      </w:r>
      <w:r>
        <w:rPr>
          <w:rFonts w:ascii="Times New Roman" w:hAnsi="Times New Roman"/>
          <w:sz w:val="34"/>
          <w:szCs w:val="34"/>
          <w:rtl w:val="0"/>
          <w:lang w:val="en-US"/>
        </w:rPr>
        <w:t xml:space="preserve">Economic and Fiscal outlook, accessed on 29th of April, available at: </w:t>
      </w: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"https://obr.uk/box/how-does-the-russian-invasion-of-ukraine-affect-the-uk-economy/"</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https://obr.uk/box/how-does-the-russian-invasion-of-ukraine-affect-the-uk-economy/</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6. Office for Nuclear Regulation, </w:t>
      </w:r>
      <w:r>
        <w:rPr>
          <w:rFonts w:ascii="Times New Roman" w:hAnsi="Times New Roman" w:hint="default"/>
          <w:sz w:val="34"/>
          <w:szCs w:val="34"/>
          <w:rtl w:val="0"/>
          <w:lang w:val="en-US"/>
        </w:rPr>
        <w:t>‘</w:t>
      </w:r>
      <w:r>
        <w:rPr>
          <w:rFonts w:ascii="Times New Roman" w:hAnsi="Times New Roman"/>
          <w:sz w:val="34"/>
          <w:szCs w:val="34"/>
          <w:rtl w:val="0"/>
          <w:lang w:val="en-US"/>
        </w:rPr>
        <w:t xml:space="preserve">Hinkley Point C assessment report, accessed on 29th of April, available at: </w:t>
      </w:r>
    </w:p>
    <w:p>
      <w:pPr>
        <w:pStyle w:val="Body"/>
        <w:rPr>
          <w:rFonts w:ascii="Times New Roman" w:cs="Times New Roman" w:hAnsi="Times New Roman" w:eastAsia="Times New Roman"/>
          <w:sz w:val="34"/>
          <w:szCs w:val="34"/>
        </w:rPr>
      </w:pP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"https://www.onr.org.uk/hinkley-point-c/assessment-reports.htm"</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https://www.onr.org.uk/hinkley-point-c/assessment-reports.htm</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r>
        <w:rPr>
          <w:rFonts w:ascii="Times New Roman" w:hAnsi="Times New Roman"/>
          <w:sz w:val="34"/>
          <w:szCs w:val="34"/>
          <w:rtl w:val="0"/>
          <w:lang w:val="en-US"/>
        </w:rPr>
        <w:t xml:space="preserve">7. Holly Watt, </w:t>
      </w:r>
      <w:r>
        <w:rPr>
          <w:rFonts w:ascii="Times New Roman" w:hAnsi="Times New Roman" w:hint="default"/>
          <w:sz w:val="34"/>
          <w:szCs w:val="34"/>
          <w:rtl w:val="0"/>
          <w:lang w:val="en-US"/>
        </w:rPr>
        <w:t>‘</w:t>
      </w:r>
      <w:r>
        <w:rPr>
          <w:rFonts w:ascii="Times New Roman" w:hAnsi="Times New Roman"/>
          <w:sz w:val="34"/>
          <w:szCs w:val="34"/>
          <w:rtl w:val="0"/>
          <w:lang w:val="en-US"/>
        </w:rPr>
        <w:t>Hinkley Point</w:t>
      </w:r>
      <w:r>
        <w:rPr>
          <w:rFonts w:ascii="Times New Roman" w:hAnsi="Times New Roman" w:hint="default"/>
          <w:sz w:val="34"/>
          <w:szCs w:val="34"/>
          <w:rtl w:val="0"/>
          <w:lang w:val="en-US"/>
        </w:rPr>
        <w:t>’</w:t>
      </w:r>
      <w:r>
        <w:rPr>
          <w:rFonts w:ascii="Times New Roman" w:hAnsi="Times New Roman"/>
          <w:sz w:val="34"/>
          <w:szCs w:val="34"/>
          <w:rtl w:val="0"/>
          <w:lang w:val="en-US"/>
        </w:rPr>
        <w:t xml:space="preserve">, accessed on 28th April, available at: </w:t>
      </w:r>
      <w:r>
        <w:rPr>
          <w:rStyle w:val="Hyperlink.0"/>
          <w:rFonts w:ascii="Times New Roman" w:cs="Times New Roman" w:hAnsi="Times New Roman" w:eastAsia="Times New Roman"/>
          <w:sz w:val="34"/>
          <w:szCs w:val="34"/>
        </w:rPr>
        <w:fldChar w:fldCharType="begin" w:fldLock="0"/>
      </w:r>
      <w:r>
        <w:rPr>
          <w:rStyle w:val="Hyperlink.0"/>
          <w:rFonts w:ascii="Times New Roman" w:cs="Times New Roman" w:hAnsi="Times New Roman" w:eastAsia="Times New Roman"/>
          <w:sz w:val="34"/>
          <w:szCs w:val="34"/>
        </w:rPr>
        <w:instrText xml:space="preserve"> HYPERLINK "https://www.theguardian.com/news/2017/dec/21/hinkley-point-c-dreadful-deal-behind-worlds-most-expensive-power-plant"</w:instrText>
      </w:r>
      <w:r>
        <w:rPr>
          <w:rStyle w:val="Hyperlink.0"/>
          <w:rFonts w:ascii="Times New Roman" w:cs="Times New Roman" w:hAnsi="Times New Roman" w:eastAsia="Times New Roman"/>
          <w:sz w:val="34"/>
          <w:szCs w:val="34"/>
        </w:rPr>
        <w:fldChar w:fldCharType="separate" w:fldLock="0"/>
      </w:r>
      <w:r>
        <w:rPr>
          <w:rStyle w:val="Hyperlink.0"/>
          <w:rFonts w:ascii="Times New Roman" w:hAnsi="Times New Roman"/>
          <w:sz w:val="34"/>
          <w:szCs w:val="34"/>
          <w:rtl w:val="0"/>
          <w:lang w:val="en-US"/>
        </w:rPr>
        <w:t>https://www.theguardian.com/news/2017/dec/21/hinkley-point-c-dreadful-deal-behind-worlds-most-expensive-power-plant</w:t>
      </w:r>
      <w:r>
        <w:rPr>
          <w:rFonts w:ascii="Times New Roman" w:cs="Times New Roman" w:hAnsi="Times New Roman" w:eastAsia="Times New Roman"/>
          <w:sz w:val="34"/>
          <w:szCs w:val="34"/>
        </w:rPr>
        <w:fldChar w:fldCharType="end" w:fldLock="0"/>
      </w: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rPr>
          <w:rFonts w:ascii="Times New Roman" w:cs="Times New Roman" w:hAnsi="Times New Roman" w:eastAsia="Times New Roman"/>
          <w:sz w:val="34"/>
          <w:szCs w:val="34"/>
        </w:rPr>
      </w:pPr>
    </w:p>
    <w:p>
      <w:pPr>
        <w:pStyle w:val="Body"/>
      </w:pPr>
      <w:r>
        <w:rPr>
          <w:rFonts w:ascii="Times New Roman" w:cs="Times New Roman" w:hAnsi="Times New Roman" w:eastAsia="Times New Roman"/>
          <w:sz w:val="34"/>
          <w:szCs w:val="34"/>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