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rPr>
          <w:b/>
          <w:sz w:val="28"/>
        </w:rPr>
      </w:pPr>
    </w:p>
    <w:p w:rsidR="009C6E20" w:rsidRDefault="009C6E20" w:rsidP="009C6E20">
      <w:pPr>
        <w:jc w:val="center"/>
        <w:rPr>
          <w:b/>
          <w:sz w:val="28"/>
        </w:rPr>
      </w:pPr>
    </w:p>
    <w:p w:rsidR="009C6E20" w:rsidRDefault="009C6E20" w:rsidP="009C6E20">
      <w:pPr>
        <w:jc w:val="center"/>
        <w:rPr>
          <w:b/>
          <w:sz w:val="28"/>
        </w:rPr>
      </w:pPr>
      <w:r>
        <w:rPr>
          <w:b/>
          <w:noProof/>
          <w:sz w:val="28"/>
          <w:lang w:eastAsia="en-GB"/>
        </w:rPr>
        <w:drawing>
          <wp:inline distT="0" distB="0" distL="0" distR="0">
            <wp:extent cx="3600450" cy="1438275"/>
            <wp:effectExtent l="0" t="0" r="0" b="9525"/>
            <wp:docPr id="3" name="Picture 3"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438275"/>
                    </a:xfrm>
                    <a:prstGeom prst="rect">
                      <a:avLst/>
                    </a:prstGeom>
                    <a:noFill/>
                    <a:ln>
                      <a:noFill/>
                    </a:ln>
                  </pic:spPr>
                </pic:pic>
              </a:graphicData>
            </a:graphic>
          </wp:inline>
        </w:drawing>
      </w: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CE16FC" w:rsidP="009C6E20">
      <w:pPr>
        <w:jc w:val="center"/>
        <w:rPr>
          <w:b/>
          <w:sz w:val="40"/>
        </w:rPr>
      </w:pPr>
      <w:r>
        <w:rPr>
          <w:b/>
          <w:sz w:val="40"/>
        </w:rPr>
        <w:t>Law for the Built Environment (M4X01311)</w:t>
      </w:r>
    </w:p>
    <w:p w:rsidR="009C6E20" w:rsidRDefault="00CE16FC" w:rsidP="009C6E20">
      <w:pPr>
        <w:jc w:val="center"/>
        <w:rPr>
          <w:b/>
          <w:sz w:val="28"/>
        </w:rPr>
      </w:pPr>
      <w:r>
        <w:rPr>
          <w:b/>
          <w:sz w:val="28"/>
        </w:rPr>
        <w:t>Valid contracts and legal aspects within construction.</w:t>
      </w: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pStyle w:val="Header"/>
        <w:jc w:val="center"/>
        <w:rPr>
          <w:b/>
          <w:sz w:val="28"/>
        </w:rPr>
      </w:pPr>
      <w:r>
        <w:rPr>
          <w:b/>
          <w:sz w:val="28"/>
        </w:rPr>
        <w:t>Name: Josh Peters</w:t>
      </w:r>
    </w:p>
    <w:p w:rsidR="009C6E20" w:rsidRDefault="009C6E20" w:rsidP="009C6E20">
      <w:pPr>
        <w:pStyle w:val="Header"/>
        <w:jc w:val="center"/>
        <w:rPr>
          <w:b/>
          <w:sz w:val="28"/>
        </w:rPr>
      </w:pPr>
      <w:r>
        <w:rPr>
          <w:b/>
          <w:sz w:val="28"/>
        </w:rPr>
        <w:t>Student Number: 1707031</w:t>
      </w:r>
    </w:p>
    <w:p w:rsidR="009C6E20" w:rsidRDefault="009C6E20" w:rsidP="009C6E20">
      <w:pPr>
        <w:pStyle w:val="Header"/>
        <w:jc w:val="center"/>
        <w:rPr>
          <w:b/>
          <w:sz w:val="28"/>
        </w:rPr>
      </w:pPr>
      <w:r>
        <w:rPr>
          <w:b/>
          <w:sz w:val="28"/>
        </w:rPr>
        <w:t>Submission Date: 0</w:t>
      </w:r>
      <w:r w:rsidR="00CE16FC">
        <w:rPr>
          <w:b/>
          <w:sz w:val="28"/>
        </w:rPr>
        <w:t>7</w:t>
      </w:r>
      <w:r>
        <w:rPr>
          <w:b/>
          <w:sz w:val="28"/>
        </w:rPr>
        <w:t>/01/2019</w:t>
      </w:r>
    </w:p>
    <w:p w:rsidR="009C6E20" w:rsidRDefault="009C6E20" w:rsidP="008A6CC3">
      <w:pPr>
        <w:spacing w:after="0"/>
        <w:rPr>
          <w:rFonts w:ascii="Arial" w:hAnsi="Arial" w:cs="Arial"/>
          <w:b/>
          <w:sz w:val="24"/>
        </w:rPr>
      </w:pPr>
    </w:p>
    <w:p w:rsidR="00B04687" w:rsidRPr="00B04687" w:rsidRDefault="00B04687" w:rsidP="008A6CC3">
      <w:pPr>
        <w:spacing w:after="0"/>
        <w:rPr>
          <w:rFonts w:ascii="Arial" w:hAnsi="Arial" w:cs="Arial"/>
          <w:b/>
          <w:sz w:val="24"/>
        </w:rPr>
      </w:pPr>
      <w:r w:rsidRPr="00B04687">
        <w:rPr>
          <w:rFonts w:ascii="Arial" w:hAnsi="Arial" w:cs="Arial"/>
          <w:b/>
          <w:sz w:val="24"/>
        </w:rPr>
        <w:t>Introduction</w:t>
      </w:r>
    </w:p>
    <w:p w:rsidR="00B04687" w:rsidRDefault="00B04687" w:rsidP="008A6CC3">
      <w:pPr>
        <w:spacing w:after="0"/>
        <w:rPr>
          <w:rFonts w:ascii="Arial" w:hAnsi="Arial" w:cs="Arial"/>
          <w:sz w:val="24"/>
        </w:rPr>
      </w:pPr>
    </w:p>
    <w:p w:rsidR="00CE16FC" w:rsidRPr="009C6E20" w:rsidRDefault="00CE16FC" w:rsidP="00CE16FC">
      <w:pPr>
        <w:spacing w:after="0"/>
        <w:rPr>
          <w:rFonts w:ascii="Arial" w:hAnsi="Arial" w:cs="Arial"/>
          <w:b/>
          <w:sz w:val="24"/>
        </w:rPr>
      </w:pPr>
      <w:r>
        <w:rPr>
          <w:rFonts w:ascii="Arial" w:hAnsi="Arial" w:cs="Arial"/>
          <w:b/>
          <w:sz w:val="24"/>
        </w:rPr>
        <w:lastRenderedPageBreak/>
        <w:t>Part 1 – Valid Contracts</w:t>
      </w:r>
    </w:p>
    <w:p w:rsidR="00CE16FC" w:rsidRDefault="00CE16FC" w:rsidP="008A6CC3">
      <w:pPr>
        <w:spacing w:after="0"/>
        <w:rPr>
          <w:rFonts w:ascii="Arial" w:hAnsi="Arial" w:cs="Arial"/>
          <w:sz w:val="24"/>
        </w:rPr>
      </w:pPr>
    </w:p>
    <w:p w:rsidR="00CE16FC" w:rsidRDefault="00CE16FC" w:rsidP="008A6CC3">
      <w:pPr>
        <w:spacing w:after="0"/>
        <w:rPr>
          <w:rFonts w:ascii="Arial" w:hAnsi="Arial" w:cs="Arial"/>
          <w:sz w:val="24"/>
        </w:rPr>
      </w:pPr>
      <w:r>
        <w:rPr>
          <w:rFonts w:ascii="Arial" w:hAnsi="Arial" w:cs="Arial"/>
          <w:sz w:val="24"/>
        </w:rPr>
        <w:t>There are three essential criteria that need to be met to confirm a contracts validity. In short, these are</w:t>
      </w:r>
      <w:r w:rsidR="00D53647">
        <w:rPr>
          <w:rFonts w:ascii="Arial" w:hAnsi="Arial" w:cs="Arial"/>
          <w:sz w:val="24"/>
        </w:rPr>
        <w:t xml:space="preserve"> the agreement of both parties to an offer that is made, consideration of the agreed services or promises and that both parties intend for the agreement to </w:t>
      </w:r>
      <w:r w:rsidR="00510934">
        <w:rPr>
          <w:rFonts w:ascii="Arial" w:hAnsi="Arial" w:cs="Arial"/>
          <w:sz w:val="24"/>
        </w:rPr>
        <w:t>become legally binding. If one of these criteria is absent then any contract is automatically void, meaning that there is no binding effect between the multiple parties to deliver any kind of service and/or fulfil any promises.</w:t>
      </w:r>
    </w:p>
    <w:p w:rsidR="00510934" w:rsidRDefault="00510934" w:rsidP="008A6CC3">
      <w:pPr>
        <w:spacing w:after="0"/>
        <w:rPr>
          <w:rFonts w:ascii="Arial" w:hAnsi="Arial" w:cs="Arial"/>
          <w:sz w:val="24"/>
        </w:rPr>
      </w:pPr>
    </w:p>
    <w:p w:rsidR="000F7B5C" w:rsidRDefault="00510934" w:rsidP="008A6CC3">
      <w:pPr>
        <w:spacing w:after="0"/>
        <w:rPr>
          <w:rFonts w:ascii="Arial" w:hAnsi="Arial" w:cs="Arial"/>
          <w:sz w:val="24"/>
        </w:rPr>
      </w:pPr>
      <w:r>
        <w:rPr>
          <w:rFonts w:ascii="Arial" w:hAnsi="Arial" w:cs="Arial"/>
          <w:sz w:val="24"/>
        </w:rPr>
        <w:t xml:space="preserve">The first requirement for a contract to be valid is </w:t>
      </w:r>
      <w:r w:rsidR="00212C22">
        <w:rPr>
          <w:rFonts w:ascii="Arial" w:hAnsi="Arial" w:cs="Arial"/>
          <w:sz w:val="24"/>
        </w:rPr>
        <w:t>‘</w:t>
      </w:r>
      <w:r>
        <w:rPr>
          <w:rFonts w:ascii="Arial" w:hAnsi="Arial" w:cs="Arial"/>
          <w:sz w:val="24"/>
        </w:rPr>
        <w:t>Agreement</w:t>
      </w:r>
      <w:r w:rsidR="00212C22">
        <w:rPr>
          <w:rFonts w:ascii="Arial" w:hAnsi="Arial" w:cs="Arial"/>
          <w:sz w:val="24"/>
        </w:rPr>
        <w:t>’</w:t>
      </w:r>
      <w:r>
        <w:rPr>
          <w:rFonts w:ascii="Arial" w:hAnsi="Arial" w:cs="Arial"/>
          <w:sz w:val="24"/>
        </w:rPr>
        <w:t xml:space="preserve">. </w:t>
      </w:r>
      <w:r w:rsidR="000F7B5C">
        <w:rPr>
          <w:rFonts w:ascii="Arial" w:hAnsi="Arial" w:cs="Arial"/>
          <w:sz w:val="24"/>
        </w:rPr>
        <w:t>In order for an agreement to be reached there must first be an offer made by another party. Once an offer has been made by the offeror, if the offeree is w</w:t>
      </w:r>
      <w:r w:rsidR="009C6642">
        <w:rPr>
          <w:rFonts w:ascii="Arial" w:hAnsi="Arial" w:cs="Arial"/>
          <w:sz w:val="24"/>
        </w:rPr>
        <w:t xml:space="preserve">illing to accept then they are required to communicate their acceptance with the offeror. This can be done is many ways, such as orally, through email, or even on the phone and does not require any form of written acceptance to become valid. If the form of communication is by a written letter then the offeree has placed it in the post-box. However, at any time before the offer has been accepted, the offeror reserves the right to revoke </w:t>
      </w:r>
      <w:r w:rsidR="00E46B6A">
        <w:rPr>
          <w:rFonts w:ascii="Arial" w:hAnsi="Arial" w:cs="Arial"/>
          <w:sz w:val="24"/>
        </w:rPr>
        <w:t>it.</w:t>
      </w:r>
    </w:p>
    <w:p w:rsidR="00E46B6A" w:rsidRDefault="00E46B6A" w:rsidP="008A6CC3">
      <w:pPr>
        <w:spacing w:after="0"/>
        <w:rPr>
          <w:rFonts w:ascii="Arial" w:hAnsi="Arial" w:cs="Arial"/>
          <w:sz w:val="24"/>
        </w:rPr>
      </w:pPr>
    </w:p>
    <w:p w:rsidR="00823D98" w:rsidRDefault="00823D98" w:rsidP="00823D98">
      <w:pPr>
        <w:spacing w:after="0"/>
        <w:rPr>
          <w:rFonts w:ascii="Arial" w:hAnsi="Arial" w:cs="Arial"/>
          <w:sz w:val="24"/>
        </w:rPr>
      </w:pPr>
      <w:r>
        <w:rPr>
          <w:rFonts w:ascii="Arial" w:hAnsi="Arial" w:cs="Arial"/>
          <w:sz w:val="24"/>
        </w:rPr>
        <w:t>As mentioned, there can be many ways in which an offer can be accepted, however if the offerer specifically states that the acceptance must be communicated in a certain way then the offeree must comply, otherwise the contract becomes unenforceable. An example of this</w:t>
      </w:r>
      <w:r>
        <w:rPr>
          <w:rFonts w:ascii="Arial" w:hAnsi="Arial" w:cs="Arial"/>
          <w:sz w:val="24"/>
        </w:rPr>
        <w:t xml:space="preserve"> can be seen in a case between Yates </w:t>
      </w:r>
      <w:r w:rsidR="00A8487E">
        <w:rPr>
          <w:rFonts w:ascii="Arial" w:hAnsi="Arial" w:cs="Arial"/>
          <w:sz w:val="24"/>
        </w:rPr>
        <w:t>Building</w:t>
      </w:r>
      <w:r>
        <w:rPr>
          <w:rFonts w:ascii="Arial" w:hAnsi="Arial" w:cs="Arial"/>
          <w:sz w:val="24"/>
        </w:rPr>
        <w:t xml:space="preserve"> Co. Ltd and RJ Pulleyn &amp; Son (York) Ltd in 1975 </w:t>
      </w:r>
      <w:r w:rsidR="00DF055A">
        <w:rPr>
          <w:rFonts w:ascii="Arial" w:hAnsi="Arial" w:cs="Arial"/>
          <w:sz w:val="24"/>
        </w:rPr>
        <w:t>where the defendant offered land to be purchased by the plaintiff, stating that the notice of acceptance must be returned by registered or recorded delivery. However, the plaintiff returned the notice using the standard delivery. It was held that there was no enforceable contract as the defendant had issued a specific requirement within the offer.</w:t>
      </w:r>
    </w:p>
    <w:p w:rsidR="00823D98" w:rsidRDefault="00823D98" w:rsidP="008A6CC3">
      <w:pPr>
        <w:spacing w:after="0"/>
        <w:rPr>
          <w:rFonts w:ascii="Arial" w:hAnsi="Arial" w:cs="Arial"/>
          <w:sz w:val="24"/>
        </w:rPr>
      </w:pPr>
    </w:p>
    <w:p w:rsidR="00E46B6A" w:rsidRDefault="00E46B6A" w:rsidP="008A6CC3">
      <w:pPr>
        <w:spacing w:after="0"/>
        <w:rPr>
          <w:rFonts w:ascii="Arial" w:hAnsi="Arial" w:cs="Arial"/>
          <w:sz w:val="24"/>
        </w:rPr>
      </w:pPr>
      <w:r>
        <w:rPr>
          <w:rFonts w:ascii="Arial" w:hAnsi="Arial" w:cs="Arial"/>
          <w:sz w:val="24"/>
        </w:rPr>
        <w:t xml:space="preserve">An offer must </w:t>
      </w:r>
      <w:r w:rsidR="00DF055A">
        <w:rPr>
          <w:rFonts w:ascii="Arial" w:hAnsi="Arial" w:cs="Arial"/>
          <w:sz w:val="24"/>
        </w:rPr>
        <w:t xml:space="preserve">also </w:t>
      </w:r>
      <w:r>
        <w:rPr>
          <w:rFonts w:ascii="Arial" w:hAnsi="Arial" w:cs="Arial"/>
          <w:sz w:val="24"/>
        </w:rPr>
        <w:t xml:space="preserve">be </w:t>
      </w:r>
      <w:r w:rsidR="00622656">
        <w:rPr>
          <w:rFonts w:ascii="Arial" w:hAnsi="Arial" w:cs="Arial"/>
          <w:sz w:val="24"/>
        </w:rPr>
        <w:t>different</w:t>
      </w:r>
      <w:r>
        <w:rPr>
          <w:rFonts w:ascii="Arial" w:hAnsi="Arial" w:cs="Arial"/>
          <w:sz w:val="24"/>
        </w:rPr>
        <w:t xml:space="preserve"> from an invitation to treat.</w:t>
      </w:r>
      <w:r w:rsidR="00622656">
        <w:rPr>
          <w:rFonts w:ascii="Arial" w:hAnsi="Arial" w:cs="Arial"/>
          <w:sz w:val="24"/>
        </w:rPr>
        <w:t xml:space="preserve"> An invitation to treat is </w:t>
      </w:r>
      <w:r w:rsidR="00953B9C">
        <w:rPr>
          <w:rFonts w:ascii="Arial" w:hAnsi="Arial" w:cs="Arial"/>
          <w:sz w:val="24"/>
        </w:rPr>
        <w:t>when one party invites others to make an offer based on the requirements of the invitation. It is commonly described as a willingness to negotiate. Where the invitation does not necessarily mean that the party issuing the invitation intends to be legally bound once accepted by other parties, but instead awaits offers from the recipients.</w:t>
      </w:r>
    </w:p>
    <w:p w:rsidR="004B572D" w:rsidRDefault="004B572D" w:rsidP="008A6CC3">
      <w:pPr>
        <w:spacing w:after="0"/>
        <w:rPr>
          <w:rFonts w:ascii="Arial" w:hAnsi="Arial" w:cs="Arial"/>
          <w:sz w:val="24"/>
        </w:rPr>
      </w:pPr>
    </w:p>
    <w:p w:rsidR="006D53CE" w:rsidRDefault="004B572D" w:rsidP="008A6CC3">
      <w:pPr>
        <w:spacing w:after="0"/>
        <w:rPr>
          <w:rFonts w:ascii="Arial" w:hAnsi="Arial" w:cs="Arial"/>
          <w:sz w:val="24"/>
        </w:rPr>
      </w:pPr>
      <w:r>
        <w:rPr>
          <w:rFonts w:ascii="Arial" w:hAnsi="Arial" w:cs="Arial"/>
          <w:sz w:val="24"/>
        </w:rPr>
        <w:t xml:space="preserve">The next requirement for a valid contract is </w:t>
      </w:r>
      <w:r w:rsidR="00212C22">
        <w:rPr>
          <w:rFonts w:ascii="Arial" w:hAnsi="Arial" w:cs="Arial"/>
          <w:sz w:val="24"/>
        </w:rPr>
        <w:t>‘</w:t>
      </w:r>
      <w:r>
        <w:rPr>
          <w:rFonts w:ascii="Arial" w:hAnsi="Arial" w:cs="Arial"/>
          <w:sz w:val="24"/>
        </w:rPr>
        <w:t>Consideration</w:t>
      </w:r>
      <w:r w:rsidR="00212C22">
        <w:rPr>
          <w:rFonts w:ascii="Arial" w:hAnsi="Arial" w:cs="Arial"/>
          <w:sz w:val="24"/>
        </w:rPr>
        <w:t>’</w:t>
      </w:r>
      <w:r w:rsidR="006D53CE">
        <w:rPr>
          <w:rFonts w:ascii="Arial" w:hAnsi="Arial" w:cs="Arial"/>
          <w:sz w:val="24"/>
        </w:rPr>
        <w:t>. This is essentially the benefit or value that each party expects to receive from a contractual agreement.</w:t>
      </w:r>
    </w:p>
    <w:p w:rsidR="006D53CE" w:rsidRDefault="006D53CE" w:rsidP="008A6CC3">
      <w:pPr>
        <w:spacing w:after="0"/>
        <w:rPr>
          <w:rFonts w:ascii="Arial" w:hAnsi="Arial" w:cs="Arial"/>
          <w:sz w:val="24"/>
        </w:rPr>
      </w:pPr>
      <w:r>
        <w:rPr>
          <w:rFonts w:ascii="Arial" w:hAnsi="Arial" w:cs="Arial"/>
          <w:sz w:val="24"/>
        </w:rPr>
        <w:t xml:space="preserve">Parties must consider why they wish to enter a contract and what they will receive from it once it has been executed. When considering a contract, it has to include some kind of value and </w:t>
      </w:r>
      <w:r w:rsidR="00723FF0">
        <w:rPr>
          <w:rFonts w:ascii="Arial" w:hAnsi="Arial" w:cs="Arial"/>
          <w:sz w:val="24"/>
        </w:rPr>
        <w:t xml:space="preserve">may provide some benefits for parties whether it is executed or if an issue may arise such as detriment to either party, however the value is not required to be substantial. </w:t>
      </w:r>
    </w:p>
    <w:p w:rsidR="00723FF0" w:rsidRDefault="00723FF0" w:rsidP="008A6CC3">
      <w:pPr>
        <w:spacing w:after="0"/>
        <w:rPr>
          <w:rFonts w:ascii="Arial" w:hAnsi="Arial" w:cs="Arial"/>
          <w:sz w:val="24"/>
        </w:rPr>
      </w:pPr>
    </w:p>
    <w:p w:rsidR="003B5B40" w:rsidRDefault="003B5B40" w:rsidP="008A6CC3">
      <w:pPr>
        <w:spacing w:after="0"/>
        <w:rPr>
          <w:rFonts w:ascii="Arial" w:hAnsi="Arial" w:cs="Arial"/>
          <w:sz w:val="24"/>
        </w:rPr>
      </w:pPr>
    </w:p>
    <w:p w:rsidR="003B5B40" w:rsidRDefault="003B5B40" w:rsidP="008A6CC3">
      <w:pPr>
        <w:spacing w:after="0"/>
        <w:rPr>
          <w:rFonts w:ascii="Arial" w:hAnsi="Arial" w:cs="Arial"/>
          <w:sz w:val="24"/>
        </w:rPr>
      </w:pPr>
    </w:p>
    <w:p w:rsidR="00723FF0" w:rsidRDefault="00723FF0" w:rsidP="008A6CC3">
      <w:pPr>
        <w:spacing w:after="0"/>
        <w:rPr>
          <w:rFonts w:ascii="Arial" w:hAnsi="Arial" w:cs="Arial"/>
          <w:sz w:val="24"/>
        </w:rPr>
      </w:pPr>
      <w:r>
        <w:rPr>
          <w:rFonts w:ascii="Arial" w:hAnsi="Arial" w:cs="Arial"/>
          <w:sz w:val="24"/>
        </w:rPr>
        <w:lastRenderedPageBreak/>
        <w:t xml:space="preserve">This can be seen as an example in the case between Thomas v Thomas in 1842 where </w:t>
      </w:r>
      <w:r w:rsidR="003B5B40">
        <w:rPr>
          <w:rFonts w:ascii="Arial" w:hAnsi="Arial" w:cs="Arial"/>
          <w:sz w:val="24"/>
        </w:rPr>
        <w:t xml:space="preserve">the plaintiff’s late husband, John Thomas, who had been executed in front of witnesses explained that he wished for </w:t>
      </w:r>
      <w:r w:rsidR="00F56ACD">
        <w:rPr>
          <w:rFonts w:ascii="Arial" w:hAnsi="Arial" w:cs="Arial"/>
          <w:sz w:val="24"/>
        </w:rPr>
        <w:t>Mrs Thomas</w:t>
      </w:r>
      <w:r w:rsidR="003B5B40">
        <w:rPr>
          <w:rFonts w:ascii="Arial" w:hAnsi="Arial" w:cs="Arial"/>
          <w:sz w:val="24"/>
        </w:rPr>
        <w:t xml:space="preserve"> to live in their house for life. His executor, the defendant, agreed and offered the plaintiff the option to live in the house if she paid a sum of one pound each year and maintained the household, to which the plaintiff agreed. The agreement was initially in place and being carried out, but later on th</w:t>
      </w:r>
      <w:r w:rsidR="00F56ACD">
        <w:rPr>
          <w:rFonts w:ascii="Arial" w:hAnsi="Arial" w:cs="Arial"/>
          <w:sz w:val="24"/>
        </w:rPr>
        <w:t>e defendant attempted to dispossess Mrs Thomas as she did not consider that one pound was not similar to the actual rent of the property. It was later held that the plaintiff’s acceptance was sufficient consideration as she knew what she had promised to pay and how it would benefit her, making the contract enforceable.</w:t>
      </w:r>
    </w:p>
    <w:p w:rsidR="006D53CE" w:rsidRDefault="006D53CE" w:rsidP="008A6CC3">
      <w:pPr>
        <w:spacing w:after="0"/>
        <w:rPr>
          <w:rFonts w:ascii="Arial" w:hAnsi="Arial" w:cs="Arial"/>
          <w:sz w:val="24"/>
        </w:rPr>
      </w:pPr>
    </w:p>
    <w:p w:rsidR="002E335E" w:rsidRDefault="002E335E" w:rsidP="008A6CC3">
      <w:pPr>
        <w:spacing w:after="0"/>
        <w:rPr>
          <w:rFonts w:ascii="Arial" w:hAnsi="Arial" w:cs="Arial"/>
          <w:sz w:val="24"/>
        </w:rPr>
      </w:pPr>
      <w:r>
        <w:rPr>
          <w:rFonts w:ascii="Arial" w:hAnsi="Arial" w:cs="Arial"/>
          <w:sz w:val="24"/>
        </w:rPr>
        <w:t>When considering a contract offer there can be two types, executed consideration and executory consideration. Executed consideration is when a promise is made and immediately carried out, such as purchasing something from a shop where you are the promisee who pays the promisor for an item and becomes your property straight away. Executory consideration, for example, is when you decide to finance an item and as the promisee, promise to purchase the item in instalments over a specified period of time. This meaning that until the final payment is made, the contract is still in place so both methods must be considered depending offer made.</w:t>
      </w:r>
      <w:bookmarkStart w:id="0" w:name="_GoBack"/>
      <w:bookmarkEnd w:id="0"/>
    </w:p>
    <w:p w:rsidR="00212C22" w:rsidRDefault="00212C22" w:rsidP="008A6CC3">
      <w:pPr>
        <w:spacing w:after="0"/>
        <w:rPr>
          <w:rFonts w:ascii="Arial" w:hAnsi="Arial" w:cs="Arial"/>
          <w:sz w:val="24"/>
        </w:rPr>
      </w:pPr>
    </w:p>
    <w:p w:rsidR="008D4D2D" w:rsidRDefault="00212C22" w:rsidP="001238FA">
      <w:pPr>
        <w:spacing w:after="0"/>
        <w:rPr>
          <w:rFonts w:ascii="Arial" w:hAnsi="Arial" w:cs="Arial"/>
          <w:sz w:val="24"/>
        </w:rPr>
      </w:pPr>
      <w:r>
        <w:rPr>
          <w:rFonts w:ascii="Arial" w:hAnsi="Arial" w:cs="Arial"/>
          <w:sz w:val="24"/>
        </w:rPr>
        <w:t xml:space="preserve">The final requirement for a valid contract is ‘Legal Intent’. </w:t>
      </w:r>
      <w:r w:rsidR="000606DA">
        <w:rPr>
          <w:rFonts w:ascii="Arial" w:hAnsi="Arial" w:cs="Arial"/>
          <w:sz w:val="24"/>
        </w:rPr>
        <w:t>If an agreement is made without a written agreement then t</w:t>
      </w:r>
      <w:r>
        <w:rPr>
          <w:rFonts w:ascii="Arial" w:hAnsi="Arial" w:cs="Arial"/>
          <w:sz w:val="24"/>
        </w:rPr>
        <w:t xml:space="preserve">his can be split, by law, into two categories. One being ‘Social and domestic agreements’ and ‘Commercial agreements’. Many agreements made are never intended to be legally binding and therefore fall into the social and domestic category. </w:t>
      </w:r>
      <w:r w:rsidR="00D31119">
        <w:rPr>
          <w:rFonts w:ascii="Arial" w:hAnsi="Arial" w:cs="Arial"/>
          <w:sz w:val="24"/>
        </w:rPr>
        <w:t>One example of th</w:t>
      </w:r>
      <w:r w:rsidR="00A8487E">
        <w:rPr>
          <w:rFonts w:ascii="Arial" w:hAnsi="Arial" w:cs="Arial"/>
          <w:sz w:val="24"/>
        </w:rPr>
        <w:t>is is shown in the Balfour v Ba</w:t>
      </w:r>
      <w:r w:rsidR="00D31119">
        <w:rPr>
          <w:rFonts w:ascii="Arial" w:hAnsi="Arial" w:cs="Arial"/>
          <w:sz w:val="24"/>
        </w:rPr>
        <w:t xml:space="preserve">lfour case is 1919 where a husband, the defendant, worked overseas and </w:t>
      </w:r>
      <w:r w:rsidR="00800617">
        <w:rPr>
          <w:rFonts w:ascii="Arial" w:hAnsi="Arial" w:cs="Arial"/>
          <w:sz w:val="24"/>
        </w:rPr>
        <w:t xml:space="preserve">orally </w:t>
      </w:r>
      <w:r w:rsidR="00D31119">
        <w:rPr>
          <w:rFonts w:ascii="Arial" w:hAnsi="Arial" w:cs="Arial"/>
          <w:sz w:val="24"/>
        </w:rPr>
        <w:t>promised to send regular payments of thirty pounds to his wife, the plaintiff. After some ti</w:t>
      </w:r>
      <w:r w:rsidR="00800617">
        <w:rPr>
          <w:rFonts w:ascii="Arial" w:hAnsi="Arial" w:cs="Arial"/>
          <w:sz w:val="24"/>
        </w:rPr>
        <w:t>me they had drifted apart and decided to separate, at which point the defendant decided against continuing with the payments. The plaintiff wished to enforce the agreement in court however was presumed to be purely social and was held that there was never any intent for the agreement to become legally binding.</w:t>
      </w:r>
    </w:p>
    <w:p w:rsidR="001238FA" w:rsidRDefault="001238FA" w:rsidP="001238FA">
      <w:pPr>
        <w:spacing w:after="0"/>
        <w:rPr>
          <w:rFonts w:ascii="Arial" w:hAnsi="Arial" w:cs="Arial"/>
          <w:sz w:val="24"/>
        </w:rPr>
      </w:pPr>
    </w:p>
    <w:p w:rsidR="001238FA" w:rsidRDefault="001238FA" w:rsidP="001238FA">
      <w:pPr>
        <w:spacing w:after="0"/>
        <w:rPr>
          <w:rFonts w:ascii="Arial" w:hAnsi="Arial" w:cs="Arial"/>
          <w:sz w:val="24"/>
        </w:rPr>
      </w:pPr>
      <w:r>
        <w:rPr>
          <w:rFonts w:ascii="Arial" w:hAnsi="Arial" w:cs="Arial"/>
          <w:sz w:val="24"/>
        </w:rPr>
        <w:t xml:space="preserve">On the other hand, agreements that are made in a commercial context do assume that the intention is to be legally binding in order to protect parties in case any issue arises. Edwards v Skyways in 1964 was case involving a pilot, the plaintiff, who was employed by the defendant and was to be given redundancy. The defendants offered the plaintiff the option to cancel his payments into the company’s pension </w:t>
      </w:r>
      <w:r w:rsidR="000606DA">
        <w:rPr>
          <w:rFonts w:ascii="Arial" w:hAnsi="Arial" w:cs="Arial"/>
          <w:sz w:val="24"/>
        </w:rPr>
        <w:t>scheme and upon doing so would pay Edwards the equivalent of the company’s contributions out of good will. The plaintiff accepted this offer and cancelled his payments. However, the company stopped making these payments as promised. As this agreement was presumed to be made in a commercial context there was always the intention to be legally bound and the plaintiff was able to enforce this contract.</w:t>
      </w:r>
    </w:p>
    <w:p w:rsidR="009B5674" w:rsidRDefault="009B5674" w:rsidP="001238FA">
      <w:pPr>
        <w:spacing w:after="0"/>
        <w:rPr>
          <w:rFonts w:ascii="Arial" w:hAnsi="Arial" w:cs="Arial"/>
          <w:sz w:val="24"/>
        </w:rPr>
      </w:pPr>
    </w:p>
    <w:p w:rsidR="009B5674" w:rsidRDefault="009B5674" w:rsidP="001238FA">
      <w:pPr>
        <w:spacing w:after="0"/>
        <w:rPr>
          <w:rFonts w:ascii="Arial" w:hAnsi="Arial" w:cs="Arial"/>
          <w:sz w:val="24"/>
        </w:rPr>
      </w:pPr>
    </w:p>
    <w:p w:rsidR="009B5674" w:rsidRDefault="009B5674" w:rsidP="001238FA">
      <w:pPr>
        <w:spacing w:after="0"/>
        <w:rPr>
          <w:rFonts w:ascii="Arial" w:hAnsi="Arial" w:cs="Arial"/>
          <w:sz w:val="24"/>
        </w:rPr>
      </w:pPr>
      <w:r>
        <w:rPr>
          <w:rFonts w:ascii="Arial" w:hAnsi="Arial" w:cs="Arial"/>
          <w:sz w:val="24"/>
        </w:rPr>
        <w:lastRenderedPageBreak/>
        <w:t>If any of these three requirements for a valid contract are not met then the contract is immediately void. However, there are also further requirements such as no mistake is made and the information is correct, all parties must have the capacity to carry out the contract matter, it must be legally acceptable to carry out the contract terms, it is not in a particular form such as a deed and the agreeing parties must give true consent. If these additional requirements are not met than the contract is then either v</w:t>
      </w:r>
      <w:r w:rsidR="00C84277">
        <w:rPr>
          <w:rFonts w:ascii="Arial" w:hAnsi="Arial" w:cs="Arial"/>
          <w:sz w:val="24"/>
        </w:rPr>
        <w:t>oid</w:t>
      </w:r>
      <w:r w:rsidR="003253BA">
        <w:rPr>
          <w:rFonts w:ascii="Arial" w:hAnsi="Arial" w:cs="Arial"/>
          <w:sz w:val="24"/>
        </w:rPr>
        <w:t xml:space="preserve"> where there is no binding effect, voidable where it is binding but one party has the right to set aside </w:t>
      </w:r>
      <w:r w:rsidR="00C84277">
        <w:rPr>
          <w:rFonts w:ascii="Arial" w:hAnsi="Arial" w:cs="Arial"/>
          <w:sz w:val="24"/>
        </w:rPr>
        <w:t>or unenforceable</w:t>
      </w:r>
      <w:r w:rsidR="003253BA">
        <w:rPr>
          <w:rFonts w:ascii="Arial" w:hAnsi="Arial" w:cs="Arial"/>
          <w:sz w:val="24"/>
        </w:rPr>
        <w:t xml:space="preserve"> where the contract remains valid, however cannot be enforced in court</w:t>
      </w:r>
      <w:r w:rsidR="00C84277">
        <w:rPr>
          <w:rFonts w:ascii="Arial" w:hAnsi="Arial" w:cs="Arial"/>
          <w:sz w:val="24"/>
        </w:rPr>
        <w: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There are four ways that a contract can come to an end. This is either by performance, by agreement, by frustration or by breach of contract.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A discharge of a contract by performance is when all involved parties successfully carry out their contractual duties as required and confirming all responsibilities initially agreed have been met.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 xml:space="preserve">Discharge by agreement is when all parties negotiate and agree that the contract will </w:t>
      </w:r>
      <w:r w:rsidR="00113B6B">
        <w:rPr>
          <w:rFonts w:ascii="Arial" w:hAnsi="Arial" w:cs="Arial"/>
          <w:sz w:val="24"/>
        </w:rPr>
        <w:t>end, which can often be reliant on conditions agreed prior to the commencement of the contract during the acceptance stage. This can also lead to a new contract being agreed between the two parties, in a process called novation. Alternatively, parties can be released from any outstanding contractual requirements.</w:t>
      </w:r>
    </w:p>
    <w:p w:rsidR="00113B6B" w:rsidRDefault="00113B6B" w:rsidP="001238FA">
      <w:pPr>
        <w:spacing w:after="0"/>
        <w:rPr>
          <w:rFonts w:ascii="Arial" w:hAnsi="Arial" w:cs="Arial"/>
          <w:sz w:val="24"/>
        </w:rPr>
      </w:pPr>
    </w:p>
    <w:p w:rsidR="00113B6B" w:rsidRDefault="00113B6B" w:rsidP="001238FA">
      <w:pPr>
        <w:spacing w:after="0"/>
        <w:rPr>
          <w:rFonts w:ascii="Arial" w:hAnsi="Arial" w:cs="Arial"/>
          <w:sz w:val="24"/>
        </w:rPr>
      </w:pPr>
      <w:r>
        <w:rPr>
          <w:rFonts w:ascii="Arial" w:hAnsi="Arial" w:cs="Arial"/>
          <w:sz w:val="24"/>
        </w:rPr>
        <w:t xml:space="preserve">Discharge by frustration can occur when it meets the certain criteria. These are unforeseen changes in circumstances, when neither party is liable for a fault, </w:t>
      </w:r>
      <w:r w:rsidR="00344373">
        <w:rPr>
          <w:rFonts w:ascii="Arial" w:hAnsi="Arial" w:cs="Arial"/>
          <w:sz w:val="24"/>
        </w:rPr>
        <w:t>issues that make completion of the contract physically impossible or do not meet the purpose of the contract as originally agreed.</w:t>
      </w:r>
    </w:p>
    <w:p w:rsidR="00344373" w:rsidRDefault="00344373" w:rsidP="001238FA">
      <w:pPr>
        <w:spacing w:after="0"/>
        <w:rPr>
          <w:rFonts w:ascii="Arial" w:hAnsi="Arial" w:cs="Arial"/>
          <w:sz w:val="24"/>
        </w:rPr>
      </w:pPr>
    </w:p>
    <w:p w:rsidR="00344373" w:rsidRDefault="00344373" w:rsidP="001238FA">
      <w:pPr>
        <w:spacing w:after="0"/>
        <w:rPr>
          <w:rFonts w:ascii="Arial" w:hAnsi="Arial" w:cs="Arial"/>
          <w:sz w:val="24"/>
        </w:rPr>
      </w:pPr>
      <w:r>
        <w:rPr>
          <w:rFonts w:ascii="Arial" w:hAnsi="Arial" w:cs="Arial"/>
          <w:sz w:val="24"/>
        </w:rPr>
        <w:t xml:space="preserve">The final was a contract can be discharged is through breach. This is where a party breaches one or more conditions within their contractual requirements which then permits the innocent party to end the contract at its current point, ending all future obligations whilst maintaining the ones that have already been fulfilled. The innocent party than then proceed to sue through the appropriate process. A variant of this method is called an anticipatory breach, where one party advises that they will not fulfil one or more of their contractual requirements. At this point the innocent party is free to wait </w:t>
      </w:r>
      <w:r w:rsidR="00A352A6">
        <w:rPr>
          <w:rFonts w:ascii="Arial" w:hAnsi="Arial" w:cs="Arial"/>
          <w:sz w:val="24"/>
        </w:rPr>
        <w:t>until the breach happens or proceed with legal proceedings as soon as the notice is received.</w:t>
      </w: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b/>
          <w:sz w:val="24"/>
        </w:rPr>
      </w:pPr>
      <w:r w:rsidRPr="00A352A6">
        <w:rPr>
          <w:rFonts w:ascii="Arial" w:hAnsi="Arial" w:cs="Arial"/>
          <w:b/>
          <w:sz w:val="24"/>
        </w:rPr>
        <w:lastRenderedPageBreak/>
        <w:t>Part 2 – Legal aspects within construction</w:t>
      </w:r>
    </w:p>
    <w:p w:rsidR="00A352A6" w:rsidRDefault="00A352A6" w:rsidP="001238FA">
      <w:pPr>
        <w:spacing w:after="0"/>
        <w:rPr>
          <w:rFonts w:ascii="Arial" w:hAnsi="Arial" w:cs="Arial"/>
          <w:b/>
          <w:sz w:val="24"/>
        </w:rPr>
      </w:pPr>
    </w:p>
    <w:p w:rsidR="00A352A6" w:rsidRDefault="00A352A6" w:rsidP="00A352A6">
      <w:pPr>
        <w:pStyle w:val="ListParagraph"/>
        <w:numPr>
          <w:ilvl w:val="0"/>
          <w:numId w:val="1"/>
        </w:numPr>
        <w:spacing w:after="0"/>
        <w:rPr>
          <w:rFonts w:ascii="Arial" w:hAnsi="Arial" w:cs="Arial"/>
          <w:sz w:val="24"/>
        </w:rPr>
      </w:pPr>
      <w:r w:rsidRPr="00A352A6">
        <w:rPr>
          <w:rFonts w:ascii="Arial" w:hAnsi="Arial" w:cs="Arial"/>
          <w:sz w:val="24"/>
        </w:rPr>
        <w:t>A significant defect arising from a lack of care in any detail of a construction project.</w:t>
      </w:r>
    </w:p>
    <w:p w:rsidR="00A352A6" w:rsidRDefault="00A352A6" w:rsidP="00A352A6">
      <w:pPr>
        <w:spacing w:after="0"/>
        <w:rPr>
          <w:rFonts w:ascii="Arial" w:hAnsi="Arial" w:cs="Arial"/>
          <w:sz w:val="24"/>
        </w:rPr>
      </w:pPr>
    </w:p>
    <w:p w:rsidR="00D1731F" w:rsidRDefault="00D1731F" w:rsidP="00A352A6">
      <w:pPr>
        <w:spacing w:after="0"/>
        <w:rPr>
          <w:rFonts w:ascii="Arial" w:hAnsi="Arial" w:cs="Arial"/>
          <w:sz w:val="24"/>
        </w:rPr>
      </w:pPr>
      <w:r>
        <w:rPr>
          <w:rFonts w:ascii="Arial" w:hAnsi="Arial" w:cs="Arial"/>
          <w:sz w:val="24"/>
        </w:rPr>
        <w:t xml:space="preserve">The legal aspect of the first statement is a breach of contract, as covered in Part 1 of this assignment. </w:t>
      </w:r>
      <w:r w:rsidR="00D02C45">
        <w:rPr>
          <w:rFonts w:ascii="Arial" w:hAnsi="Arial" w:cs="Arial"/>
          <w:sz w:val="24"/>
        </w:rPr>
        <w:t>For example, a Subcontractor has entered a contract with the main Contractor on this project and has incorrectly carried out a task resulting in one of their contractual obligations not being fulfilled. At this point, a dispute can be raised by the Main Contractor and can proceed to sue for damages.</w:t>
      </w:r>
    </w:p>
    <w:p w:rsidR="00502BC8" w:rsidRDefault="00502BC8" w:rsidP="00A352A6">
      <w:pPr>
        <w:spacing w:after="0"/>
        <w:rPr>
          <w:rFonts w:ascii="Arial" w:hAnsi="Arial" w:cs="Arial"/>
          <w:sz w:val="24"/>
        </w:rPr>
      </w:pPr>
    </w:p>
    <w:p w:rsidR="00502BC8" w:rsidRDefault="00502BC8" w:rsidP="00A352A6">
      <w:pPr>
        <w:spacing w:after="0"/>
        <w:rPr>
          <w:rFonts w:ascii="Arial" w:hAnsi="Arial" w:cs="Arial"/>
          <w:sz w:val="24"/>
        </w:rPr>
      </w:pPr>
      <w:r>
        <w:rPr>
          <w:rFonts w:ascii="Arial" w:hAnsi="Arial" w:cs="Arial"/>
          <w:sz w:val="24"/>
        </w:rPr>
        <w:t>Contractors’ All Risks insurance can cover faulty workmanship, however the policy needs to be checked for exclusions. Latent defects warranties also provide the client with protection against construction defects.</w:t>
      </w:r>
    </w:p>
    <w:p w:rsidR="00A7493D" w:rsidRDefault="00A7493D" w:rsidP="00A352A6">
      <w:pPr>
        <w:spacing w:after="0"/>
        <w:rPr>
          <w:rFonts w:ascii="Arial" w:hAnsi="Arial" w:cs="Arial"/>
          <w:sz w:val="24"/>
        </w:rPr>
      </w:pPr>
    </w:p>
    <w:p w:rsidR="00A7493D" w:rsidRDefault="00A7493D" w:rsidP="00A7493D">
      <w:pPr>
        <w:pStyle w:val="ListParagraph"/>
        <w:numPr>
          <w:ilvl w:val="0"/>
          <w:numId w:val="1"/>
        </w:numPr>
        <w:spacing w:after="0"/>
        <w:rPr>
          <w:rFonts w:ascii="Arial" w:hAnsi="Arial" w:cs="Arial"/>
          <w:sz w:val="24"/>
        </w:rPr>
      </w:pPr>
      <w:r>
        <w:rPr>
          <w:rFonts w:ascii="Arial" w:hAnsi="Arial" w:cs="Arial"/>
          <w:sz w:val="24"/>
        </w:rPr>
        <w:t>Personal injury arising to an employee during their employment.</w:t>
      </w:r>
    </w:p>
    <w:p w:rsidR="00A7493D" w:rsidRDefault="00A7493D" w:rsidP="00A7493D">
      <w:pPr>
        <w:spacing w:after="0"/>
        <w:rPr>
          <w:rFonts w:ascii="Arial" w:hAnsi="Arial" w:cs="Arial"/>
          <w:sz w:val="24"/>
        </w:rPr>
      </w:pPr>
    </w:p>
    <w:p w:rsidR="00D1731F" w:rsidRDefault="00D1731F" w:rsidP="00D1731F">
      <w:pPr>
        <w:spacing w:after="0"/>
        <w:rPr>
          <w:rFonts w:ascii="Arial" w:hAnsi="Arial" w:cs="Arial"/>
          <w:sz w:val="24"/>
        </w:rPr>
      </w:pPr>
      <w:r>
        <w:rPr>
          <w:rFonts w:ascii="Arial" w:hAnsi="Arial" w:cs="Arial"/>
          <w:sz w:val="24"/>
        </w:rPr>
        <w:t>The legal aspect of the above statement is one of negligence and is the most common tort law.</w:t>
      </w:r>
      <w:r>
        <w:rPr>
          <w:rFonts w:ascii="Arial" w:hAnsi="Arial" w:cs="Arial"/>
          <w:sz w:val="24"/>
        </w:rPr>
        <w:t xml:space="preserve"> Negligence is where unnecessary harm or damage to a person or property is caused. There are three main components when assessing negligence, the duty of care, if there is a breach of the duty of care and if damage or harm is caused by the breach. </w:t>
      </w:r>
    </w:p>
    <w:p w:rsidR="002F1F5B" w:rsidRDefault="002F1F5B" w:rsidP="00D1731F">
      <w:pPr>
        <w:spacing w:after="0"/>
        <w:rPr>
          <w:rFonts w:ascii="Arial" w:hAnsi="Arial" w:cs="Arial"/>
          <w:sz w:val="24"/>
        </w:rPr>
      </w:pPr>
    </w:p>
    <w:p w:rsidR="002F1F5B" w:rsidRDefault="00914419" w:rsidP="00D1731F">
      <w:pPr>
        <w:spacing w:after="0"/>
        <w:rPr>
          <w:rFonts w:ascii="Arial" w:hAnsi="Arial" w:cs="Arial"/>
          <w:sz w:val="24"/>
        </w:rPr>
      </w:pPr>
      <w:r>
        <w:rPr>
          <w:rFonts w:ascii="Arial" w:hAnsi="Arial" w:cs="Arial"/>
          <w:sz w:val="24"/>
        </w:rPr>
        <w:t>In this instance, the employer is liable for the actions of and the harm caused to the employee</w:t>
      </w:r>
      <w:r w:rsidR="00D853FF">
        <w:rPr>
          <w:rFonts w:ascii="Arial" w:hAnsi="Arial" w:cs="Arial"/>
          <w:sz w:val="24"/>
        </w:rPr>
        <w:t xml:space="preserve"> which is </w:t>
      </w:r>
      <w:r>
        <w:rPr>
          <w:rFonts w:ascii="Arial" w:hAnsi="Arial" w:cs="Arial"/>
          <w:sz w:val="24"/>
        </w:rPr>
        <w:t>called vicarious liability. This situation could be miti</w:t>
      </w:r>
      <w:r w:rsidR="00D853FF">
        <w:rPr>
          <w:rFonts w:ascii="Arial" w:hAnsi="Arial" w:cs="Arial"/>
          <w:sz w:val="24"/>
        </w:rPr>
        <w:t xml:space="preserve">gated by the employer having an </w:t>
      </w:r>
      <w:r>
        <w:rPr>
          <w:rFonts w:ascii="Arial" w:hAnsi="Arial" w:cs="Arial"/>
          <w:sz w:val="24"/>
        </w:rPr>
        <w:t>Employer’s Liability insurance policy which helps to protect employers from huge compensation costs</w:t>
      </w:r>
      <w:r w:rsidR="00D853FF">
        <w:rPr>
          <w:rFonts w:ascii="Arial" w:hAnsi="Arial" w:cs="Arial"/>
          <w:sz w:val="24"/>
        </w:rPr>
        <w:t>, this form of insurance was made compulsory by the Employers’ Liability Act 1969</w:t>
      </w:r>
      <w:r>
        <w:rPr>
          <w:rFonts w:ascii="Arial" w:hAnsi="Arial" w:cs="Arial"/>
          <w:sz w:val="24"/>
        </w:rPr>
        <w:t>.</w:t>
      </w:r>
    </w:p>
    <w:p w:rsidR="002F1F5B" w:rsidRDefault="002F1F5B" w:rsidP="00D1731F">
      <w:pPr>
        <w:spacing w:after="0"/>
        <w:rPr>
          <w:rFonts w:ascii="Arial" w:hAnsi="Arial" w:cs="Arial"/>
          <w:sz w:val="24"/>
        </w:rPr>
      </w:pPr>
    </w:p>
    <w:p w:rsidR="002F1F5B" w:rsidRPr="00D853FF" w:rsidRDefault="00D853FF" w:rsidP="00D853FF">
      <w:pPr>
        <w:pStyle w:val="ListParagraph"/>
        <w:numPr>
          <w:ilvl w:val="0"/>
          <w:numId w:val="1"/>
        </w:numPr>
        <w:spacing w:after="0"/>
        <w:rPr>
          <w:rFonts w:ascii="Arial" w:hAnsi="Arial" w:cs="Arial"/>
          <w:sz w:val="24"/>
        </w:rPr>
      </w:pPr>
      <w:r>
        <w:rPr>
          <w:rFonts w:ascii="Arial" w:hAnsi="Arial" w:cs="Arial"/>
          <w:sz w:val="24"/>
        </w:rPr>
        <w:t>Personal injury to a member of the public arising from a construction works.</w:t>
      </w:r>
    </w:p>
    <w:p w:rsidR="002F1F5B" w:rsidRDefault="002F1F5B" w:rsidP="00D1731F">
      <w:pPr>
        <w:spacing w:after="0"/>
        <w:rPr>
          <w:rFonts w:ascii="Arial" w:hAnsi="Arial" w:cs="Arial"/>
          <w:sz w:val="24"/>
        </w:rPr>
      </w:pPr>
    </w:p>
    <w:p w:rsidR="002F1F5B" w:rsidRDefault="003800B4" w:rsidP="00D1731F">
      <w:pPr>
        <w:spacing w:after="0"/>
        <w:rPr>
          <w:rFonts w:ascii="Arial" w:hAnsi="Arial" w:cs="Arial"/>
          <w:sz w:val="24"/>
        </w:rPr>
      </w:pPr>
      <w:r>
        <w:rPr>
          <w:rFonts w:ascii="Arial" w:hAnsi="Arial" w:cs="Arial"/>
          <w:sz w:val="24"/>
        </w:rPr>
        <w:t>Similarly to the second statement, the above statement is also one of negligence but instead of harm caused to an employee of the employer</w:t>
      </w:r>
      <w:r w:rsidR="00502BC8">
        <w:rPr>
          <w:rFonts w:ascii="Arial" w:hAnsi="Arial" w:cs="Arial"/>
          <w:sz w:val="24"/>
        </w:rPr>
        <w:t xml:space="preserve"> it is caused</w:t>
      </w:r>
      <w:r w:rsidR="00B13088">
        <w:rPr>
          <w:rFonts w:ascii="Arial" w:hAnsi="Arial" w:cs="Arial"/>
          <w:sz w:val="24"/>
        </w:rPr>
        <w:t xml:space="preserve"> to a member of the public. The construction company</w:t>
      </w:r>
      <w:r w:rsidR="007E5436">
        <w:rPr>
          <w:rFonts w:ascii="Arial" w:hAnsi="Arial" w:cs="Arial"/>
          <w:sz w:val="24"/>
        </w:rPr>
        <w:t xml:space="preserve"> owes a duty of care to anyone visiting the site and</w:t>
      </w:r>
      <w:r w:rsidR="00B13088">
        <w:rPr>
          <w:rFonts w:ascii="Arial" w:hAnsi="Arial" w:cs="Arial"/>
          <w:sz w:val="24"/>
        </w:rPr>
        <w:t xml:space="preserve"> is </w:t>
      </w:r>
      <w:r w:rsidR="007E5436">
        <w:rPr>
          <w:rFonts w:ascii="Arial" w:hAnsi="Arial" w:cs="Arial"/>
          <w:sz w:val="24"/>
        </w:rPr>
        <w:t>responsible for the site so</w:t>
      </w:r>
      <w:r w:rsidR="00B13088">
        <w:rPr>
          <w:rFonts w:ascii="Arial" w:hAnsi="Arial" w:cs="Arial"/>
          <w:sz w:val="24"/>
        </w:rPr>
        <w:t xml:space="preserve"> therefore </w:t>
      </w:r>
      <w:r w:rsidR="007E5436">
        <w:rPr>
          <w:rFonts w:ascii="Arial" w:hAnsi="Arial" w:cs="Arial"/>
          <w:sz w:val="24"/>
        </w:rPr>
        <w:t xml:space="preserve">is </w:t>
      </w:r>
      <w:r w:rsidR="00B13088">
        <w:rPr>
          <w:rFonts w:ascii="Arial" w:hAnsi="Arial" w:cs="Arial"/>
          <w:sz w:val="24"/>
        </w:rPr>
        <w:t>responsible by the Occupiers Liability Act 1984 for the harm caused to anybody who may visit the site.</w:t>
      </w:r>
    </w:p>
    <w:p w:rsidR="00B13088" w:rsidRDefault="00B13088" w:rsidP="00D1731F">
      <w:pPr>
        <w:spacing w:after="0"/>
        <w:rPr>
          <w:rFonts w:ascii="Arial" w:hAnsi="Arial" w:cs="Arial"/>
          <w:sz w:val="24"/>
        </w:rPr>
      </w:pPr>
    </w:p>
    <w:p w:rsidR="00B13088" w:rsidRDefault="00B13088" w:rsidP="00D1731F">
      <w:pPr>
        <w:spacing w:after="0"/>
        <w:rPr>
          <w:rFonts w:ascii="Arial" w:hAnsi="Arial" w:cs="Arial"/>
          <w:sz w:val="24"/>
        </w:rPr>
      </w:pPr>
      <w:r>
        <w:rPr>
          <w:rFonts w:ascii="Arial" w:hAnsi="Arial" w:cs="Arial"/>
          <w:sz w:val="24"/>
        </w:rPr>
        <w:t>The</w:t>
      </w:r>
      <w:r w:rsidR="00502BC8">
        <w:rPr>
          <w:rFonts w:ascii="Arial" w:hAnsi="Arial" w:cs="Arial"/>
          <w:sz w:val="24"/>
        </w:rPr>
        <w:t xml:space="preserve"> relevant insurance that can </w:t>
      </w:r>
      <w:r>
        <w:rPr>
          <w:rFonts w:ascii="Arial" w:hAnsi="Arial" w:cs="Arial"/>
          <w:sz w:val="24"/>
        </w:rPr>
        <w:t xml:space="preserve">be held by the company is Public liability insurance which covers the company against claims made from members of the public </w:t>
      </w:r>
      <w:r w:rsidR="00502BC8">
        <w:rPr>
          <w:rFonts w:ascii="Arial" w:hAnsi="Arial" w:cs="Arial"/>
          <w:sz w:val="24"/>
        </w:rPr>
        <w:t>and</w:t>
      </w:r>
      <w:r>
        <w:rPr>
          <w:rFonts w:ascii="Arial" w:hAnsi="Arial" w:cs="Arial"/>
          <w:sz w:val="24"/>
        </w:rPr>
        <w:t xml:space="preserve"> potentially other companies.</w:t>
      </w:r>
    </w:p>
    <w:p w:rsidR="007E5436" w:rsidRDefault="007E5436" w:rsidP="00D1731F">
      <w:pPr>
        <w:spacing w:after="0"/>
        <w:rPr>
          <w:rFonts w:ascii="Arial" w:hAnsi="Arial" w:cs="Arial"/>
          <w:sz w:val="24"/>
        </w:rPr>
      </w:pPr>
    </w:p>
    <w:p w:rsidR="00FF4024" w:rsidRDefault="00FF4024" w:rsidP="00D1731F">
      <w:pPr>
        <w:spacing w:after="0"/>
        <w:rPr>
          <w:rFonts w:ascii="Arial" w:hAnsi="Arial" w:cs="Arial"/>
          <w:sz w:val="24"/>
        </w:rPr>
      </w:pPr>
      <w:r>
        <w:rPr>
          <w:rFonts w:ascii="Arial" w:hAnsi="Arial" w:cs="Arial"/>
          <w:sz w:val="24"/>
        </w:rPr>
        <w:t>An example of the Occupiers Liability Act</w:t>
      </w:r>
      <w:r w:rsidR="007E5436">
        <w:rPr>
          <w:rFonts w:ascii="Arial" w:hAnsi="Arial" w:cs="Arial"/>
          <w:sz w:val="24"/>
        </w:rPr>
        <w:t xml:space="preserve"> can be fo</w:t>
      </w:r>
      <w:r>
        <w:rPr>
          <w:rFonts w:ascii="Arial" w:hAnsi="Arial" w:cs="Arial"/>
          <w:sz w:val="24"/>
        </w:rPr>
        <w:t>und in a case between Wheat v L</w:t>
      </w:r>
      <w:r w:rsidR="007E5436">
        <w:rPr>
          <w:rFonts w:ascii="Arial" w:hAnsi="Arial" w:cs="Arial"/>
          <w:sz w:val="24"/>
        </w:rPr>
        <w:t xml:space="preserve">acon in 1966, where a family had stayed at a public house on a vacation. The husband of the claimant had fallen down steep stairs, where the handrail had ended before the remaining two steps and there was no available lighting. </w:t>
      </w:r>
    </w:p>
    <w:p w:rsidR="00D1731F" w:rsidRDefault="00FF4024" w:rsidP="00D1731F">
      <w:pPr>
        <w:spacing w:after="0"/>
        <w:rPr>
          <w:rFonts w:ascii="Arial" w:hAnsi="Arial" w:cs="Arial"/>
          <w:sz w:val="24"/>
        </w:rPr>
      </w:pPr>
      <w:r>
        <w:rPr>
          <w:rFonts w:ascii="Arial" w:hAnsi="Arial" w:cs="Arial"/>
          <w:sz w:val="24"/>
        </w:rPr>
        <w:lastRenderedPageBreak/>
        <w:t>The claim was made against Lacon, the defendant, who owned the public house. However the day to day management of the house was run by the Richardson’s who also occupied of the pub under a license. As Lacon did not control the occupation and had allowed the Richardson’s carry out repairs to the building, they were not responsible. The Richardson’s were ultimately responsible however were not a part of the appeal process so the claimant was unsuccessful.</w:t>
      </w:r>
    </w:p>
    <w:p w:rsidR="00D1731F" w:rsidRDefault="00D1731F" w:rsidP="00D1731F">
      <w:pPr>
        <w:spacing w:after="0"/>
        <w:rPr>
          <w:rFonts w:ascii="Arial" w:hAnsi="Arial" w:cs="Arial"/>
          <w:sz w:val="24"/>
        </w:rPr>
      </w:pPr>
    </w:p>
    <w:p w:rsidR="00A7493D" w:rsidRDefault="00A7493D" w:rsidP="00A7493D">
      <w:pPr>
        <w:spacing w:after="0"/>
        <w:rPr>
          <w:rFonts w:ascii="Arial" w:hAnsi="Arial" w:cs="Arial"/>
          <w:sz w:val="24"/>
        </w:rPr>
      </w:pPr>
    </w:p>
    <w:p w:rsidR="00874BA8" w:rsidRPr="00CB588E" w:rsidRDefault="00874BA8" w:rsidP="00874BA8">
      <w:pPr>
        <w:rPr>
          <w:rFonts w:ascii="Arial" w:hAnsi="Arial" w:cs="Arial"/>
          <w:b/>
          <w:sz w:val="24"/>
        </w:rPr>
      </w:pPr>
      <w:r w:rsidRPr="00CB588E">
        <w:rPr>
          <w:rFonts w:ascii="Arial" w:hAnsi="Arial" w:cs="Arial"/>
          <w:b/>
          <w:sz w:val="24"/>
        </w:rPr>
        <w:t>Bibliography</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Bits of Law (2012) Acceptance: Communication. (</w:t>
      </w:r>
      <w:hyperlink r:id="rId9" w:history="1">
        <w:r w:rsidRPr="00CB588E">
          <w:rPr>
            <w:rStyle w:val="Hyperlink"/>
            <w:rFonts w:ascii="Arial" w:hAnsi="Arial" w:cs="Arial"/>
            <w:sz w:val="24"/>
          </w:rPr>
          <w:t>http://www.bitsoflaw.org/contract/formation/revision-note/degree/acceptance-communication</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Wikipedia (2018) English contract law. (</w:t>
      </w:r>
      <w:hyperlink r:id="rId10" w:history="1">
        <w:r w:rsidRPr="00CB588E">
          <w:rPr>
            <w:rStyle w:val="Hyperlink"/>
            <w:rFonts w:ascii="Arial" w:hAnsi="Arial" w:cs="Arial"/>
            <w:sz w:val="24"/>
          </w:rPr>
          <w:t>https://en.wikipedia.org/wiki/English_contract_law#Agreement</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Bits of Law (2012) Consideration: Overview. (</w:t>
      </w:r>
      <w:hyperlink r:id="rId11" w:history="1">
        <w:r w:rsidRPr="00CB588E">
          <w:rPr>
            <w:rStyle w:val="Hyperlink"/>
            <w:rFonts w:ascii="Arial" w:hAnsi="Arial" w:cs="Arial"/>
            <w:sz w:val="24"/>
          </w:rPr>
          <w:t>http://www.bitsoflaw.org/contract/formation/revision-note/degree/consideration-overview</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Law Teacher (2018) Thomas v Thomas (1842) 2 QB 851; 114 ER 330. (</w:t>
      </w:r>
      <w:hyperlink r:id="rId12" w:history="1">
        <w:r w:rsidRPr="00CB588E">
          <w:rPr>
            <w:rStyle w:val="Hyperlink"/>
            <w:rFonts w:ascii="Arial" w:hAnsi="Arial" w:cs="Arial"/>
            <w:sz w:val="24"/>
          </w:rPr>
          <w:t>https://www.lawteacher.net/cases/thomas-v-thomas.php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Balfour v Balfour. (</w:t>
      </w:r>
      <w:hyperlink r:id="rId13" w:history="1">
        <w:r w:rsidRPr="00CB588E">
          <w:rPr>
            <w:rStyle w:val="Hyperlink"/>
            <w:rFonts w:ascii="Arial" w:hAnsi="Arial" w:cs="Arial"/>
            <w:sz w:val="24"/>
          </w:rPr>
          <w:t>http://www.e-lawresources.co.uk/Balfour-v-Balfour.php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Intention to create legal relations. (</w:t>
      </w:r>
      <w:hyperlink r:id="rId14" w:history="1">
        <w:r w:rsidRPr="00CB588E">
          <w:rPr>
            <w:rStyle w:val="Hyperlink"/>
            <w:rFonts w:ascii="Arial" w:hAnsi="Arial" w:cs="Arial"/>
            <w:sz w:val="24"/>
          </w:rPr>
          <w:t>http://www.e-lawresources.co.uk/Intention-to-create-legal-relations.php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Donoghue v Stevenson. (</w:t>
      </w:r>
      <w:hyperlink r:id="rId15" w:history="1">
        <w:r w:rsidRPr="00CB588E">
          <w:rPr>
            <w:rStyle w:val="Hyperlink"/>
            <w:rFonts w:ascii="Arial" w:hAnsi="Arial" w:cs="Arial"/>
            <w:sz w:val="24"/>
          </w:rPr>
          <w:t>http://www.e-lawresources.co.uk/Donoghue-v-Stevenson.php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HSE (1969) Employers’ Liability (Compulsory Insurance) Act 1969 (</w:t>
      </w:r>
      <w:hyperlink r:id="rId16" w:history="1">
        <w:r w:rsidRPr="00CB588E">
          <w:rPr>
            <w:rStyle w:val="Hyperlink"/>
            <w:rFonts w:ascii="Arial" w:hAnsi="Arial" w:cs="Arial"/>
            <w:sz w:val="24"/>
          </w:rPr>
          <w:t>http://www.hse.gov.uk/pubns/hse40.pdf</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lastRenderedPageBreak/>
        <w:t>Designing Buildings (2018) Duty of care in building design and construction. (</w:t>
      </w:r>
      <w:hyperlink r:id="rId17" w:history="1">
        <w:r w:rsidRPr="00CB588E">
          <w:rPr>
            <w:rStyle w:val="Hyperlink"/>
            <w:rFonts w:ascii="Arial" w:hAnsi="Arial" w:cs="Arial"/>
            <w:sz w:val="24"/>
          </w:rPr>
          <w:t>https://www.designingbuildings.co.uk/wiki/Duty_of_care_in_building_design_and_construction</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Designing Buildings (2015) Vicarious liability.</w:t>
      </w:r>
    </w:p>
    <w:p w:rsidR="00874BA8" w:rsidRPr="00CB588E" w:rsidRDefault="00874BA8" w:rsidP="00874BA8">
      <w:pPr>
        <w:rPr>
          <w:rFonts w:ascii="Arial" w:hAnsi="Arial" w:cs="Arial"/>
          <w:sz w:val="24"/>
        </w:rPr>
      </w:pPr>
      <w:r w:rsidRPr="00CB588E">
        <w:rPr>
          <w:rFonts w:ascii="Arial" w:hAnsi="Arial" w:cs="Arial"/>
          <w:sz w:val="24"/>
        </w:rPr>
        <w:t>(</w:t>
      </w:r>
      <w:hyperlink r:id="rId18" w:history="1">
        <w:r w:rsidRPr="00CB588E">
          <w:rPr>
            <w:rStyle w:val="Hyperlink"/>
            <w:rFonts w:ascii="Arial" w:hAnsi="Arial" w:cs="Arial"/>
            <w:sz w:val="24"/>
          </w:rPr>
          <w:t>https://www.designingbuildings.co.uk/wiki/Vicarious_liability</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Wheat v Leacon (</w:t>
      </w:r>
      <w:hyperlink r:id="rId19" w:history="1">
        <w:r w:rsidRPr="00CB588E">
          <w:rPr>
            <w:rStyle w:val="Hyperlink"/>
            <w:rFonts w:ascii="Arial" w:hAnsi="Arial" w:cs="Arial"/>
            <w:sz w:val="24"/>
          </w:rPr>
          <w:t>http://www.e-lawresources.co.uk/cases/Wheat-v-Lacon.php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A7493D" w:rsidRDefault="00874BA8" w:rsidP="00A7493D">
      <w:pPr>
        <w:spacing w:after="0"/>
        <w:rPr>
          <w:rFonts w:ascii="Arial" w:hAnsi="Arial" w:cs="Arial"/>
          <w:sz w:val="24"/>
        </w:rPr>
      </w:pPr>
    </w:p>
    <w:sectPr w:rsidR="00874BA8" w:rsidRPr="00A7493D" w:rsidSect="008D4D2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0253" w:rsidRDefault="00660253" w:rsidP="00660253">
      <w:pPr>
        <w:spacing w:after="0" w:line="240" w:lineRule="auto"/>
      </w:pPr>
      <w:r>
        <w:separator/>
      </w:r>
    </w:p>
  </w:endnote>
  <w:endnote w:type="continuationSeparator" w:id="0">
    <w:p w:rsidR="00660253" w:rsidRDefault="00660253" w:rsidP="00660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0253" w:rsidRDefault="00660253" w:rsidP="00660253">
      <w:pPr>
        <w:spacing w:after="0" w:line="240" w:lineRule="auto"/>
      </w:pPr>
      <w:r>
        <w:separator/>
      </w:r>
    </w:p>
  </w:footnote>
  <w:footnote w:type="continuationSeparator" w:id="0">
    <w:p w:rsidR="00660253" w:rsidRDefault="00660253" w:rsidP="006602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0253" w:rsidRPr="009C6E20" w:rsidRDefault="00660253" w:rsidP="00660253">
    <w:pPr>
      <w:spacing w:after="0"/>
      <w:rPr>
        <w:rFonts w:ascii="Arial" w:hAnsi="Arial" w:cs="Arial"/>
        <w:sz w:val="20"/>
      </w:rPr>
    </w:pPr>
    <w:r w:rsidRPr="009C6E20">
      <w:rPr>
        <w:rFonts w:ascii="Arial" w:hAnsi="Arial" w:cs="Arial"/>
        <w:noProof/>
        <w:lang w:eastAsia="en-GB"/>
      </w:rPr>
      <w:drawing>
        <wp:anchor distT="0" distB="0" distL="114300" distR="114300" simplePos="0" relativeHeight="251659264" behindDoc="0" locked="0" layoutInCell="1" allowOverlap="1" wp14:anchorId="11EFC594" wp14:editId="367B81FA">
          <wp:simplePos x="0" y="0"/>
          <wp:positionH relativeFrom="margin">
            <wp:posOffset>4633595</wp:posOffset>
          </wp:positionH>
          <wp:positionV relativeFrom="paragraph">
            <wp:posOffset>-12065</wp:posOffset>
          </wp:positionV>
          <wp:extent cx="1166495" cy="466725"/>
          <wp:effectExtent l="0" t="0" r="0" b="9525"/>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66495" cy="466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6FC">
      <w:rPr>
        <w:rFonts w:ascii="Arial" w:hAnsi="Arial" w:cs="Arial"/>
        <w:sz w:val="20"/>
      </w:rPr>
      <w:t>Law for the Built Environment (M4X01311)</w:t>
    </w:r>
  </w:p>
  <w:p w:rsidR="00660253" w:rsidRPr="009C6E20" w:rsidRDefault="00660253" w:rsidP="00660253">
    <w:pPr>
      <w:spacing w:after="0"/>
      <w:rPr>
        <w:rFonts w:ascii="Arial" w:hAnsi="Arial" w:cs="Arial"/>
        <w:sz w:val="20"/>
      </w:rPr>
    </w:pPr>
    <w:r w:rsidRPr="009C6E20">
      <w:rPr>
        <w:rFonts w:ascii="Arial" w:hAnsi="Arial" w:cs="Arial"/>
        <w:sz w:val="20"/>
      </w:rPr>
      <w:t>Josh Peters – 1707031</w:t>
    </w:r>
  </w:p>
  <w:p w:rsidR="00660253" w:rsidRPr="009C6E20" w:rsidRDefault="00660253" w:rsidP="00660253">
    <w:pPr>
      <w:spacing w:after="0"/>
      <w:rPr>
        <w:rFonts w:ascii="Arial" w:hAnsi="Arial" w:cs="Arial"/>
        <w:sz w:val="20"/>
      </w:rPr>
    </w:pPr>
    <w:r w:rsidRPr="009C6E20">
      <w:rPr>
        <w:rFonts w:ascii="Arial" w:hAnsi="Arial" w:cs="Arial"/>
        <w:sz w:val="20"/>
      </w:rPr>
      <w:t xml:space="preserve">Assignment </w:t>
    </w:r>
    <w:r w:rsidR="009C6E20" w:rsidRPr="009C6E20">
      <w:rPr>
        <w:rFonts w:ascii="Arial" w:hAnsi="Arial" w:cs="Arial"/>
        <w:sz w:val="20"/>
      </w:rPr>
      <w:t>00</w:t>
    </w:r>
    <w:r w:rsidRPr="009C6E20">
      <w:rPr>
        <w:rFonts w:ascii="Arial" w:hAnsi="Arial" w:cs="Arial"/>
        <w:sz w:val="20"/>
      </w:rPr>
      <w:t>1</w:t>
    </w:r>
  </w:p>
  <w:p w:rsidR="00660253" w:rsidRPr="00660253" w:rsidRDefault="00660253" w:rsidP="00660253">
    <w:pPr>
      <w:spacing w:after="0"/>
      <w:rPr>
        <w:rFonts w:ascii="Arial" w:hAnsi="Arial" w:cs="Arial"/>
        <w:b/>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C622CA"/>
    <w:multiLevelType w:val="hybridMultilevel"/>
    <w:tmpl w:val="3B1CF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D2D"/>
    <w:rsid w:val="000606DA"/>
    <w:rsid w:val="000A61D6"/>
    <w:rsid w:val="000F7B5C"/>
    <w:rsid w:val="00113B6B"/>
    <w:rsid w:val="00120291"/>
    <w:rsid w:val="001238FA"/>
    <w:rsid w:val="001D66A6"/>
    <w:rsid w:val="00212380"/>
    <w:rsid w:val="00212C22"/>
    <w:rsid w:val="002E335E"/>
    <w:rsid w:val="002F1F5B"/>
    <w:rsid w:val="003253BA"/>
    <w:rsid w:val="003263C5"/>
    <w:rsid w:val="00344373"/>
    <w:rsid w:val="003800B4"/>
    <w:rsid w:val="003B5B40"/>
    <w:rsid w:val="004B572D"/>
    <w:rsid w:val="00502BC8"/>
    <w:rsid w:val="00510934"/>
    <w:rsid w:val="00607304"/>
    <w:rsid w:val="00622656"/>
    <w:rsid w:val="00660253"/>
    <w:rsid w:val="006D53CE"/>
    <w:rsid w:val="00723FF0"/>
    <w:rsid w:val="00794B8F"/>
    <w:rsid w:val="007E5436"/>
    <w:rsid w:val="00800617"/>
    <w:rsid w:val="00823D98"/>
    <w:rsid w:val="00874BA8"/>
    <w:rsid w:val="008A6CC3"/>
    <w:rsid w:val="008D4D2D"/>
    <w:rsid w:val="00914419"/>
    <w:rsid w:val="00953B9C"/>
    <w:rsid w:val="009B5674"/>
    <w:rsid w:val="009C6642"/>
    <w:rsid w:val="009C6E20"/>
    <w:rsid w:val="00A12E85"/>
    <w:rsid w:val="00A13B44"/>
    <w:rsid w:val="00A352A6"/>
    <w:rsid w:val="00A471A9"/>
    <w:rsid w:val="00A7493D"/>
    <w:rsid w:val="00A8487E"/>
    <w:rsid w:val="00A87CF4"/>
    <w:rsid w:val="00B04687"/>
    <w:rsid w:val="00B13088"/>
    <w:rsid w:val="00C5717D"/>
    <w:rsid w:val="00C84277"/>
    <w:rsid w:val="00CE16FC"/>
    <w:rsid w:val="00D02C45"/>
    <w:rsid w:val="00D1731F"/>
    <w:rsid w:val="00D22BB6"/>
    <w:rsid w:val="00D31119"/>
    <w:rsid w:val="00D37CAA"/>
    <w:rsid w:val="00D53647"/>
    <w:rsid w:val="00D853FF"/>
    <w:rsid w:val="00DF055A"/>
    <w:rsid w:val="00E46B6A"/>
    <w:rsid w:val="00F56ACD"/>
    <w:rsid w:val="00FA1A09"/>
    <w:rsid w:val="00FF4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619101-076D-4F5A-9181-8BA959A84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253"/>
  </w:style>
  <w:style w:type="paragraph" w:styleId="Footer">
    <w:name w:val="footer"/>
    <w:basedOn w:val="Normal"/>
    <w:link w:val="FooterChar"/>
    <w:uiPriority w:val="99"/>
    <w:unhideWhenUsed/>
    <w:rsid w:val="00660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253"/>
  </w:style>
  <w:style w:type="paragraph" w:styleId="ListParagraph">
    <w:name w:val="List Paragraph"/>
    <w:basedOn w:val="Normal"/>
    <w:uiPriority w:val="34"/>
    <w:qFormat/>
    <w:rsid w:val="00A352A6"/>
    <w:pPr>
      <w:ind w:left="720"/>
      <w:contextualSpacing/>
    </w:pPr>
  </w:style>
  <w:style w:type="character" w:styleId="Hyperlink">
    <w:name w:val="Hyperlink"/>
    <w:basedOn w:val="DefaultParagraphFont"/>
    <w:uiPriority w:val="99"/>
    <w:unhideWhenUsed/>
    <w:rsid w:val="00874B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423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lawresources.co.uk/Balfour-v-Balfour.php" TargetMode="External"/><Relationship Id="rId18" Type="http://schemas.openxmlformats.org/officeDocument/2006/relationships/hyperlink" Target="https://www.designingbuildings.co.uk/wiki/Vicarious_lia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awteacher.net/cases/thomas-v-thomas.php" TargetMode="External"/><Relationship Id="rId17" Type="http://schemas.openxmlformats.org/officeDocument/2006/relationships/hyperlink" Target="https://www.designingbuildings.co.uk/wiki/Duty_of_care_in_building_design_and_construction" TargetMode="External"/><Relationship Id="rId2" Type="http://schemas.openxmlformats.org/officeDocument/2006/relationships/numbering" Target="numbering.xml"/><Relationship Id="rId16" Type="http://schemas.openxmlformats.org/officeDocument/2006/relationships/hyperlink" Target="http://www.hse.gov.uk/pubns/hse40.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tsoflaw.org/contract/formation/revision-note/degree/consideration-overview" TargetMode="External"/><Relationship Id="rId5" Type="http://schemas.openxmlformats.org/officeDocument/2006/relationships/webSettings" Target="webSettings.xml"/><Relationship Id="rId15" Type="http://schemas.openxmlformats.org/officeDocument/2006/relationships/hyperlink" Target="http://www.e-lawresources.co.uk/Donoghue-v-Stevenson.php" TargetMode="External"/><Relationship Id="rId10" Type="http://schemas.openxmlformats.org/officeDocument/2006/relationships/hyperlink" Target="https://en.wikipedia.org/wiki/English_contract_law#Agreement" TargetMode="External"/><Relationship Id="rId19" Type="http://schemas.openxmlformats.org/officeDocument/2006/relationships/hyperlink" Target="http://www.e-lawresources.co.uk/cases/Wheat-v-Lacon.php" TargetMode="External"/><Relationship Id="rId4" Type="http://schemas.openxmlformats.org/officeDocument/2006/relationships/settings" Target="settings.xml"/><Relationship Id="rId9" Type="http://schemas.openxmlformats.org/officeDocument/2006/relationships/hyperlink" Target="http://www.bitsoflaw.org/contract/formation/revision-note/degree/acceptance-communication" TargetMode="External"/><Relationship Id="rId14" Type="http://schemas.openxmlformats.org/officeDocument/2006/relationships/hyperlink" Target="http://www.e-lawresources.co.uk/Intention-to-create-legal-relations.php"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FCD1F-E23D-404A-B3D0-883FA6C2F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7</Pages>
  <Words>2078</Words>
  <Characters>11846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Peters</dc:creator>
  <cp:keywords/>
  <dc:description/>
  <cp:lastModifiedBy>Josh Peters</cp:lastModifiedBy>
  <cp:revision>25</cp:revision>
  <dcterms:created xsi:type="dcterms:W3CDTF">2019-01-05T17:25:00Z</dcterms:created>
  <dcterms:modified xsi:type="dcterms:W3CDTF">2019-01-06T22:22:00Z</dcterms:modified>
</cp:coreProperties>
</file>