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rsidR="00AA58B9" w:rsidRDefault="00AA58B9">
      <w:pPr>
        <w:jc w:val="center"/>
        <w:rPr>
          <w:rFonts w:ascii="Monotype Corsiva" w:hAnsi="Monotype Corsiva"/>
          <w:b/>
          <w:sz w:val="40"/>
        </w:rPr>
      </w:pPr>
    </w:p>
    <w:p w:rsidR="00AA58B9" w:rsidRDefault="00AA58B9">
      <w:pPr>
        <w:jc w:val="center"/>
        <w:rPr>
          <w:rFonts w:ascii="Monotype Corsiva" w:hAnsi="Monotype Corsiva"/>
          <w:b/>
          <w:sz w:val="40"/>
        </w:rPr>
      </w:pPr>
      <w:r>
        <w:rPr>
          <w:rFonts w:ascii="Monotype Corsiva" w:hAnsi="Monotype Corsiva"/>
          <w:b/>
          <w:sz w:val="40"/>
        </w:rPr>
        <w:t>School of Logistics and Mechanical Engineering</w:t>
      </w:r>
    </w:p>
    <w:p w:rsidR="00AA58B9" w:rsidRDefault="00AA58B9">
      <w:pPr>
        <w:ind w:left="1440"/>
      </w:pPr>
    </w:p>
    <w:p w:rsidR="00AA58B9" w:rsidRDefault="00AA58B9">
      <w:pPr>
        <w:ind w:left="1440"/>
      </w:pPr>
    </w:p>
    <w:tbl>
      <w:tblPr>
        <w:tblW w:w="0" w:type="auto"/>
        <w:tblInd w:w="-95" w:type="dxa"/>
        <w:tblLayout w:type="fixed"/>
        <w:tblLook w:val="0000" w:firstRow="0" w:lastRow="0" w:firstColumn="0" w:lastColumn="0" w:noHBand="0" w:noVBand="0"/>
      </w:tblPr>
      <w:tblGrid>
        <w:gridCol w:w="10828"/>
      </w:tblGrid>
      <w:tr w:rsidR="00AA58B9">
        <w:tc>
          <w:tcPr>
            <w:tcW w:w="10828" w:type="dxa"/>
            <w:tcBorders>
              <w:top w:val="single" w:sz="8" w:space="0" w:color="000000"/>
              <w:left w:val="single" w:sz="8" w:space="0" w:color="000000"/>
              <w:bottom w:val="single" w:sz="8" w:space="0" w:color="000000"/>
              <w:right w:val="single" w:sz="8" w:space="0" w:color="000000"/>
            </w:tcBorders>
            <w:shd w:val="clear" w:color="auto" w:fill="D8D8D8"/>
          </w:tcPr>
          <w:p w:rsidR="00AA58B9" w:rsidRDefault="000175AB">
            <w:pPr>
              <w:pStyle w:val="Heading4"/>
              <w:snapToGrid w:val="0"/>
              <w:rPr>
                <w:b/>
              </w:rPr>
            </w:pPr>
            <w:r>
              <w:rPr>
                <w:b/>
              </w:rPr>
              <w:t>EXAMINATION SOLUTIONS</w:t>
            </w:r>
            <w:r w:rsidR="00AA58B9">
              <w:rPr>
                <w:b/>
              </w:rPr>
              <w:t>: SESSION 2015</w:t>
            </w:r>
          </w:p>
        </w:tc>
      </w:tr>
    </w:tbl>
    <w:p w:rsidR="00AA58B9" w:rsidRDefault="00AA58B9">
      <w:pPr>
        <w:jc w:val="both"/>
      </w:pPr>
    </w:p>
    <w:tbl>
      <w:tblPr>
        <w:tblW w:w="0" w:type="auto"/>
        <w:tblInd w:w="-45" w:type="dxa"/>
        <w:tblLayout w:type="fixed"/>
        <w:tblLook w:val="0000" w:firstRow="0" w:lastRow="0" w:firstColumn="0" w:lastColumn="0" w:noHBand="0" w:noVBand="0"/>
      </w:tblPr>
      <w:tblGrid>
        <w:gridCol w:w="1638"/>
        <w:gridCol w:w="6030"/>
        <w:gridCol w:w="990"/>
        <w:gridCol w:w="2070"/>
      </w:tblGrid>
      <w:tr w:rsidR="00AA58B9">
        <w:tc>
          <w:tcPr>
            <w:tcW w:w="1638" w:type="dxa"/>
            <w:tcBorders>
              <w:top w:val="single" w:sz="4" w:space="0" w:color="000000"/>
              <w:left w:val="single" w:sz="4" w:space="0" w:color="000000"/>
              <w:bottom w:val="single" w:sz="4" w:space="0" w:color="000000"/>
            </w:tcBorders>
            <w:shd w:val="clear" w:color="auto" w:fill="D8D8D8"/>
          </w:tcPr>
          <w:p w:rsidR="00AA58B9" w:rsidRDefault="00AA58B9">
            <w:pPr>
              <w:snapToGrid w:val="0"/>
              <w:spacing w:before="120" w:after="120"/>
              <w:jc w:val="both"/>
              <w:rPr>
                <w:b/>
                <w:sz w:val="24"/>
              </w:rPr>
            </w:pPr>
            <w:r>
              <w:rPr>
                <w:b/>
                <w:sz w:val="24"/>
              </w:rPr>
              <w:t>Programme:</w:t>
            </w:r>
          </w:p>
        </w:tc>
        <w:tc>
          <w:tcPr>
            <w:tcW w:w="6030" w:type="dxa"/>
            <w:tcBorders>
              <w:top w:val="single" w:sz="4" w:space="0" w:color="000000"/>
              <w:left w:val="single" w:sz="4" w:space="0" w:color="000000"/>
              <w:bottom w:val="single" w:sz="4" w:space="0" w:color="000000"/>
            </w:tcBorders>
            <w:shd w:val="clear" w:color="auto" w:fill="auto"/>
          </w:tcPr>
          <w:p w:rsidR="00AA58B9" w:rsidRDefault="00B230DF">
            <w:pPr>
              <w:snapToGrid w:val="0"/>
              <w:spacing w:before="120" w:after="120"/>
              <w:jc w:val="both"/>
              <w:rPr>
                <w:b/>
                <w:sz w:val="24"/>
              </w:rPr>
            </w:pPr>
            <w:r>
              <w:rPr>
                <w:b/>
                <w:sz w:val="24"/>
              </w:rPr>
              <w:t>MSc Mechanical Engineering</w:t>
            </w:r>
          </w:p>
        </w:tc>
        <w:tc>
          <w:tcPr>
            <w:tcW w:w="990" w:type="dxa"/>
            <w:tcBorders>
              <w:top w:val="single" w:sz="4" w:space="0" w:color="000000"/>
              <w:left w:val="single" w:sz="4" w:space="0" w:color="000000"/>
              <w:bottom w:val="single" w:sz="4" w:space="0" w:color="000000"/>
            </w:tcBorders>
            <w:shd w:val="clear" w:color="auto" w:fill="D8D8D8"/>
          </w:tcPr>
          <w:p w:rsidR="00AA58B9" w:rsidRDefault="00AA58B9">
            <w:pPr>
              <w:snapToGrid w:val="0"/>
              <w:spacing w:before="120" w:after="120"/>
              <w:jc w:val="both"/>
              <w:rPr>
                <w:b/>
                <w:sz w:val="24"/>
              </w:rPr>
            </w:pPr>
            <w:r>
              <w:rPr>
                <w:b/>
                <w:sz w:val="24"/>
              </w:rPr>
              <w:t>Level:</w:t>
            </w:r>
          </w:p>
        </w:tc>
        <w:tc>
          <w:tcPr>
            <w:tcW w:w="2070" w:type="dxa"/>
            <w:tcBorders>
              <w:top w:val="single" w:sz="4" w:space="0" w:color="000000"/>
              <w:left w:val="single" w:sz="4" w:space="0" w:color="000000"/>
              <w:bottom w:val="single" w:sz="4" w:space="0" w:color="000000"/>
              <w:right w:val="single" w:sz="4" w:space="0" w:color="000000"/>
            </w:tcBorders>
            <w:shd w:val="clear" w:color="auto" w:fill="auto"/>
          </w:tcPr>
          <w:p w:rsidR="00AA58B9" w:rsidRDefault="00B230DF">
            <w:pPr>
              <w:snapToGrid w:val="0"/>
              <w:spacing w:before="120" w:after="120"/>
              <w:jc w:val="both"/>
              <w:rPr>
                <w:b/>
                <w:sz w:val="24"/>
              </w:rPr>
            </w:pPr>
            <w:r>
              <w:rPr>
                <w:b/>
                <w:sz w:val="24"/>
              </w:rPr>
              <w:t>7</w:t>
            </w:r>
          </w:p>
        </w:tc>
      </w:tr>
      <w:tr w:rsidR="00AA58B9">
        <w:tc>
          <w:tcPr>
            <w:tcW w:w="1638" w:type="dxa"/>
            <w:tcBorders>
              <w:top w:val="single" w:sz="4" w:space="0" w:color="000000"/>
              <w:left w:val="single" w:sz="4" w:space="0" w:color="000000"/>
              <w:bottom w:val="single" w:sz="4" w:space="0" w:color="000000"/>
            </w:tcBorders>
            <w:shd w:val="clear" w:color="auto" w:fill="D8D8D8"/>
          </w:tcPr>
          <w:p w:rsidR="00AA58B9" w:rsidRDefault="00AA58B9">
            <w:pPr>
              <w:snapToGrid w:val="0"/>
              <w:spacing w:before="120" w:after="120"/>
              <w:jc w:val="both"/>
              <w:rPr>
                <w:b/>
                <w:sz w:val="24"/>
              </w:rPr>
            </w:pPr>
            <w:r>
              <w:rPr>
                <w:b/>
                <w:sz w:val="24"/>
              </w:rPr>
              <w:t>Module/Unit:</w:t>
            </w:r>
          </w:p>
        </w:tc>
        <w:tc>
          <w:tcPr>
            <w:tcW w:w="9090" w:type="dxa"/>
            <w:gridSpan w:val="3"/>
            <w:tcBorders>
              <w:top w:val="single" w:sz="4" w:space="0" w:color="000000"/>
              <w:left w:val="single" w:sz="4" w:space="0" w:color="000000"/>
              <w:bottom w:val="single" w:sz="4" w:space="0" w:color="000000"/>
              <w:right w:val="single" w:sz="4" w:space="0" w:color="000000"/>
            </w:tcBorders>
            <w:shd w:val="clear" w:color="auto" w:fill="auto"/>
          </w:tcPr>
          <w:p w:rsidR="00AA58B9" w:rsidRDefault="00B230DF" w:rsidP="003879D9">
            <w:pPr>
              <w:snapToGrid w:val="0"/>
              <w:spacing w:before="120" w:after="120"/>
              <w:jc w:val="both"/>
              <w:rPr>
                <w:b/>
                <w:sz w:val="24"/>
              </w:rPr>
            </w:pPr>
            <w:r>
              <w:rPr>
                <w:b/>
                <w:sz w:val="24"/>
              </w:rPr>
              <w:t>Structural Integrity &amp; Materials Evaluation M</w:t>
            </w:r>
            <w:r w:rsidR="003879D9">
              <w:rPr>
                <w:b/>
                <w:sz w:val="24"/>
              </w:rPr>
              <w:t>7</w:t>
            </w:r>
            <w:r>
              <w:rPr>
                <w:b/>
                <w:sz w:val="24"/>
              </w:rPr>
              <w:t>X01</w:t>
            </w:r>
            <w:r w:rsidR="003879D9">
              <w:rPr>
                <w:b/>
                <w:sz w:val="24"/>
              </w:rPr>
              <w:t>384</w:t>
            </w:r>
          </w:p>
        </w:tc>
      </w:tr>
      <w:tr w:rsidR="00AA58B9">
        <w:tc>
          <w:tcPr>
            <w:tcW w:w="1638" w:type="dxa"/>
            <w:tcBorders>
              <w:top w:val="single" w:sz="4" w:space="0" w:color="000000"/>
              <w:left w:val="single" w:sz="4" w:space="0" w:color="000000"/>
              <w:bottom w:val="single" w:sz="4" w:space="0" w:color="000000"/>
            </w:tcBorders>
            <w:shd w:val="clear" w:color="auto" w:fill="D8D8D8"/>
          </w:tcPr>
          <w:p w:rsidR="00AA58B9" w:rsidRDefault="00AA58B9">
            <w:pPr>
              <w:snapToGrid w:val="0"/>
              <w:spacing w:before="120" w:after="120"/>
              <w:jc w:val="both"/>
              <w:rPr>
                <w:b/>
                <w:sz w:val="24"/>
              </w:rPr>
            </w:pPr>
            <w:r>
              <w:rPr>
                <w:b/>
                <w:sz w:val="24"/>
              </w:rPr>
              <w:t>Author:</w:t>
            </w:r>
          </w:p>
        </w:tc>
        <w:tc>
          <w:tcPr>
            <w:tcW w:w="6030" w:type="dxa"/>
            <w:tcBorders>
              <w:top w:val="single" w:sz="4" w:space="0" w:color="000000"/>
              <w:left w:val="single" w:sz="4" w:space="0" w:color="000000"/>
              <w:bottom w:val="single" w:sz="4" w:space="0" w:color="000000"/>
            </w:tcBorders>
            <w:shd w:val="clear" w:color="auto" w:fill="auto"/>
          </w:tcPr>
          <w:p w:rsidR="00AA58B9" w:rsidRDefault="00B230DF">
            <w:pPr>
              <w:snapToGrid w:val="0"/>
              <w:spacing w:before="120" w:after="120"/>
              <w:jc w:val="both"/>
              <w:rPr>
                <w:b/>
                <w:sz w:val="24"/>
              </w:rPr>
            </w:pPr>
            <w:r>
              <w:rPr>
                <w:b/>
                <w:sz w:val="24"/>
              </w:rPr>
              <w:t>Dr Peter Charlton</w:t>
            </w:r>
          </w:p>
        </w:tc>
        <w:tc>
          <w:tcPr>
            <w:tcW w:w="990" w:type="dxa"/>
            <w:tcBorders>
              <w:top w:val="single" w:sz="4" w:space="0" w:color="000000"/>
              <w:left w:val="single" w:sz="4" w:space="0" w:color="000000"/>
              <w:bottom w:val="single" w:sz="4" w:space="0" w:color="000000"/>
            </w:tcBorders>
            <w:shd w:val="clear" w:color="auto" w:fill="D8D8D8"/>
          </w:tcPr>
          <w:p w:rsidR="00AA58B9" w:rsidRDefault="00AA58B9">
            <w:pPr>
              <w:snapToGrid w:val="0"/>
              <w:spacing w:before="120" w:after="120"/>
              <w:jc w:val="both"/>
              <w:rPr>
                <w:b/>
                <w:sz w:val="24"/>
              </w:rPr>
            </w:pPr>
            <w:r>
              <w:rPr>
                <w:b/>
                <w:sz w:val="24"/>
              </w:rPr>
              <w:t>Page:</w:t>
            </w:r>
          </w:p>
        </w:tc>
        <w:tc>
          <w:tcPr>
            <w:tcW w:w="2070" w:type="dxa"/>
            <w:tcBorders>
              <w:top w:val="single" w:sz="4" w:space="0" w:color="000000"/>
              <w:left w:val="single" w:sz="4" w:space="0" w:color="000000"/>
              <w:bottom w:val="single" w:sz="4" w:space="0" w:color="000000"/>
              <w:right w:val="single" w:sz="4" w:space="0" w:color="000000"/>
            </w:tcBorders>
            <w:shd w:val="clear" w:color="auto" w:fill="auto"/>
          </w:tcPr>
          <w:p w:rsidR="00AA58B9" w:rsidRDefault="00AA58B9" w:rsidP="00AC6C26">
            <w:pPr>
              <w:snapToGrid w:val="0"/>
              <w:spacing w:before="120" w:after="120"/>
              <w:jc w:val="both"/>
              <w:rPr>
                <w:sz w:val="24"/>
              </w:rPr>
            </w:pPr>
            <w:r>
              <w:rPr>
                <w:b/>
                <w:sz w:val="24"/>
              </w:rPr>
              <w:t xml:space="preserve">       </w:t>
            </w:r>
            <w:r w:rsidR="003C3B54">
              <w:rPr>
                <w:b/>
                <w:sz w:val="24"/>
              </w:rPr>
              <w:t>1 of</w:t>
            </w:r>
            <w:r w:rsidR="00816839">
              <w:rPr>
                <w:b/>
                <w:sz w:val="24"/>
              </w:rPr>
              <w:t xml:space="preserve"> 7</w:t>
            </w:r>
          </w:p>
        </w:tc>
      </w:tr>
    </w:tbl>
    <w:p w:rsidR="00AA58B9" w:rsidRDefault="00AA58B9">
      <w:pPr>
        <w:jc w:val="center"/>
      </w:pPr>
    </w:p>
    <w:tbl>
      <w:tblPr>
        <w:tblW w:w="0" w:type="auto"/>
        <w:tblInd w:w="-47" w:type="dxa"/>
        <w:tblLayout w:type="fixed"/>
        <w:tblLook w:val="0000" w:firstRow="0" w:lastRow="0" w:firstColumn="0" w:lastColumn="0" w:noHBand="0" w:noVBand="0"/>
      </w:tblPr>
      <w:tblGrid>
        <w:gridCol w:w="1188"/>
        <w:gridCol w:w="8370"/>
        <w:gridCol w:w="1175"/>
      </w:tblGrid>
      <w:tr w:rsidR="00AA58B9">
        <w:tc>
          <w:tcPr>
            <w:tcW w:w="1188" w:type="dxa"/>
            <w:tcBorders>
              <w:top w:val="single" w:sz="4" w:space="0" w:color="000000"/>
              <w:left w:val="single" w:sz="4" w:space="0" w:color="000000"/>
              <w:bottom w:val="single" w:sz="4" w:space="0" w:color="000000"/>
            </w:tcBorders>
            <w:shd w:val="clear" w:color="auto" w:fill="D8D8D8"/>
          </w:tcPr>
          <w:p w:rsidR="00AA58B9" w:rsidRDefault="00AA58B9">
            <w:pPr>
              <w:snapToGrid w:val="0"/>
              <w:jc w:val="center"/>
              <w:rPr>
                <w:b/>
                <w:sz w:val="24"/>
              </w:rPr>
            </w:pPr>
            <w:r>
              <w:rPr>
                <w:b/>
                <w:sz w:val="24"/>
              </w:rPr>
              <w:t xml:space="preserve">Question </w:t>
            </w:r>
          </w:p>
          <w:p w:rsidR="00AA58B9" w:rsidRDefault="00AA58B9">
            <w:pPr>
              <w:jc w:val="center"/>
              <w:rPr>
                <w:b/>
                <w:sz w:val="24"/>
              </w:rPr>
            </w:pPr>
            <w:r>
              <w:rPr>
                <w:b/>
                <w:sz w:val="24"/>
              </w:rPr>
              <w:t>No</w:t>
            </w:r>
          </w:p>
        </w:tc>
        <w:tc>
          <w:tcPr>
            <w:tcW w:w="8370" w:type="dxa"/>
            <w:tcBorders>
              <w:top w:val="single" w:sz="4" w:space="0" w:color="000000"/>
              <w:left w:val="single" w:sz="4" w:space="0" w:color="000000"/>
              <w:bottom w:val="single" w:sz="4" w:space="0" w:color="000000"/>
            </w:tcBorders>
            <w:shd w:val="clear" w:color="auto" w:fill="D8D8D8"/>
          </w:tcPr>
          <w:p w:rsidR="00AA58B9" w:rsidRDefault="00AA58B9">
            <w:pPr>
              <w:snapToGrid w:val="0"/>
              <w:jc w:val="center"/>
              <w:rPr>
                <w:b/>
                <w:sz w:val="24"/>
              </w:rPr>
            </w:pPr>
            <w:r>
              <w:rPr>
                <w:b/>
                <w:sz w:val="24"/>
              </w:rPr>
              <w:t>Question</w:t>
            </w:r>
          </w:p>
          <w:p w:rsidR="00AA58B9" w:rsidRDefault="00AA58B9">
            <w:pPr>
              <w:snapToGrid w:val="0"/>
              <w:jc w:val="center"/>
              <w:rPr>
                <w:b/>
                <w:sz w:val="24"/>
              </w:rPr>
            </w:pPr>
          </w:p>
        </w:tc>
        <w:tc>
          <w:tcPr>
            <w:tcW w:w="1175" w:type="dxa"/>
            <w:tcBorders>
              <w:top w:val="single" w:sz="4" w:space="0" w:color="000000"/>
              <w:left w:val="single" w:sz="4" w:space="0" w:color="000000"/>
              <w:bottom w:val="single" w:sz="4" w:space="0" w:color="000000"/>
              <w:right w:val="single" w:sz="4" w:space="0" w:color="000000"/>
            </w:tcBorders>
            <w:shd w:val="clear" w:color="auto" w:fill="D8D8D8"/>
          </w:tcPr>
          <w:p w:rsidR="00AA58B9" w:rsidRDefault="00AA58B9">
            <w:pPr>
              <w:snapToGrid w:val="0"/>
              <w:jc w:val="center"/>
              <w:rPr>
                <w:b/>
                <w:sz w:val="24"/>
              </w:rPr>
            </w:pPr>
            <w:r>
              <w:rPr>
                <w:b/>
                <w:sz w:val="24"/>
              </w:rPr>
              <w:t>Marks</w:t>
            </w:r>
          </w:p>
        </w:tc>
      </w:tr>
      <w:tr w:rsidR="00AA58B9" w:rsidTr="00AC6C26">
        <w:trPr>
          <w:trHeight w:val="9449"/>
        </w:trPr>
        <w:tc>
          <w:tcPr>
            <w:tcW w:w="1188" w:type="dxa"/>
            <w:tcBorders>
              <w:top w:val="single" w:sz="4" w:space="0" w:color="000000"/>
              <w:left w:val="single" w:sz="4" w:space="0" w:color="000000"/>
              <w:bottom w:val="single" w:sz="4" w:space="0" w:color="000000"/>
            </w:tcBorders>
            <w:shd w:val="clear" w:color="auto" w:fill="auto"/>
          </w:tcPr>
          <w:p w:rsidR="00AA58B9" w:rsidRDefault="00B230DF">
            <w:pPr>
              <w:rPr>
                <w:sz w:val="24"/>
              </w:rPr>
            </w:pPr>
            <w:r>
              <w:rPr>
                <w:sz w:val="24"/>
              </w:rPr>
              <w:t>1</w:t>
            </w:r>
          </w:p>
        </w:tc>
        <w:tc>
          <w:tcPr>
            <w:tcW w:w="8370" w:type="dxa"/>
            <w:tcBorders>
              <w:top w:val="single" w:sz="4" w:space="0" w:color="000000"/>
              <w:left w:val="single" w:sz="4" w:space="0" w:color="000000"/>
              <w:bottom w:val="single" w:sz="4" w:space="0" w:color="000000"/>
            </w:tcBorders>
            <w:shd w:val="clear" w:color="auto" w:fill="auto"/>
          </w:tcPr>
          <w:p w:rsidR="00B230DF" w:rsidRPr="00211B3D" w:rsidRDefault="00B230DF" w:rsidP="00B230DF">
            <w:pPr>
              <w:rPr>
                <w:sz w:val="22"/>
                <w:szCs w:val="22"/>
              </w:rPr>
            </w:pPr>
            <w:r w:rsidRPr="00211B3D">
              <w:rPr>
                <w:sz w:val="22"/>
                <w:szCs w:val="22"/>
              </w:rPr>
              <w:t>The objective of Risk Based Inspection (RBI) is to determine what incident could occur (</w:t>
            </w:r>
            <w:r w:rsidRPr="00211B3D">
              <w:rPr>
                <w:i/>
                <w:iCs/>
                <w:sz w:val="22"/>
                <w:szCs w:val="22"/>
              </w:rPr>
              <w:t>consequence</w:t>
            </w:r>
            <w:r w:rsidRPr="00211B3D">
              <w:rPr>
                <w:sz w:val="22"/>
                <w:szCs w:val="22"/>
              </w:rPr>
              <w:t>) in</w:t>
            </w:r>
            <w:r>
              <w:rPr>
                <w:sz w:val="22"/>
                <w:szCs w:val="22"/>
              </w:rPr>
              <w:t xml:space="preserve"> </w:t>
            </w:r>
            <w:r w:rsidRPr="00211B3D">
              <w:rPr>
                <w:sz w:val="22"/>
                <w:szCs w:val="22"/>
              </w:rPr>
              <w:t>the event of an equipment failure, and how likely (</w:t>
            </w:r>
            <w:r w:rsidRPr="00211B3D">
              <w:rPr>
                <w:i/>
                <w:iCs/>
                <w:sz w:val="22"/>
                <w:szCs w:val="22"/>
              </w:rPr>
              <w:t>probability</w:t>
            </w:r>
            <w:r w:rsidRPr="00211B3D">
              <w:rPr>
                <w:sz w:val="22"/>
                <w:szCs w:val="22"/>
              </w:rPr>
              <w:t>) it is that the incident could happen. Multiplying</w:t>
            </w:r>
            <w:r>
              <w:rPr>
                <w:sz w:val="22"/>
                <w:szCs w:val="22"/>
              </w:rPr>
              <w:t xml:space="preserve"> </w:t>
            </w:r>
            <w:r w:rsidRPr="00211B3D">
              <w:rPr>
                <w:sz w:val="22"/>
                <w:szCs w:val="22"/>
              </w:rPr>
              <w:t xml:space="preserve">the likelihood of an incident with its possible consequences will determine the </w:t>
            </w:r>
            <w:r w:rsidRPr="00211B3D">
              <w:rPr>
                <w:i/>
                <w:iCs/>
                <w:sz w:val="22"/>
                <w:szCs w:val="22"/>
              </w:rPr>
              <w:t xml:space="preserve">risk </w:t>
            </w:r>
            <w:r w:rsidRPr="00211B3D">
              <w:rPr>
                <w:sz w:val="22"/>
                <w:szCs w:val="22"/>
              </w:rPr>
              <w:t>associated to the</w:t>
            </w:r>
            <w:r>
              <w:rPr>
                <w:sz w:val="22"/>
                <w:szCs w:val="22"/>
              </w:rPr>
              <w:t xml:space="preserve"> </w:t>
            </w:r>
            <w:r w:rsidRPr="00211B3D">
              <w:rPr>
                <w:sz w:val="22"/>
                <w:szCs w:val="22"/>
              </w:rPr>
              <w:t>operation.</w:t>
            </w:r>
          </w:p>
          <w:p w:rsidR="00B230DF" w:rsidRPr="00211B3D" w:rsidRDefault="00B230DF" w:rsidP="00B230DF">
            <w:pPr>
              <w:rPr>
                <w:sz w:val="22"/>
                <w:szCs w:val="22"/>
              </w:rPr>
            </w:pPr>
          </w:p>
          <w:p w:rsidR="00B230DF" w:rsidRPr="00211B3D" w:rsidRDefault="00B230DF" w:rsidP="00B230DF">
            <w:pPr>
              <w:rPr>
                <w:sz w:val="22"/>
                <w:szCs w:val="22"/>
              </w:rPr>
            </w:pPr>
            <w:r w:rsidRPr="00211B3D">
              <w:rPr>
                <w:sz w:val="22"/>
                <w:szCs w:val="22"/>
              </w:rPr>
              <w:t>In a qualitative risk assessment, the combination of probability and consequence can be visualized in a</w:t>
            </w:r>
            <w:r>
              <w:rPr>
                <w:sz w:val="22"/>
                <w:szCs w:val="22"/>
              </w:rPr>
              <w:t xml:space="preserve"> </w:t>
            </w:r>
            <w:r w:rsidRPr="00211B3D">
              <w:rPr>
                <w:i/>
                <w:iCs/>
                <w:sz w:val="22"/>
                <w:szCs w:val="22"/>
              </w:rPr>
              <w:t>criticality matrix</w:t>
            </w:r>
            <w:r w:rsidRPr="00211B3D">
              <w:rPr>
                <w:sz w:val="22"/>
                <w:szCs w:val="22"/>
              </w:rPr>
              <w:t>. An example of such a scheme is presented below to evaluate the environmental risks associated with the installation of large (2 MW) wind turbines.</w:t>
            </w:r>
          </w:p>
          <w:p w:rsidR="00B230DF" w:rsidRPr="00211B3D" w:rsidRDefault="00B230DF" w:rsidP="00B230DF">
            <w:pPr>
              <w:rPr>
                <w:sz w:val="22"/>
                <w:szCs w:val="22"/>
              </w:rPr>
            </w:pPr>
          </w:p>
          <w:p w:rsidR="00B230DF" w:rsidRPr="00211B3D" w:rsidRDefault="00B230DF" w:rsidP="00B230DF">
            <w:pPr>
              <w:rPr>
                <w:sz w:val="22"/>
                <w:szCs w:val="22"/>
              </w:rPr>
            </w:pPr>
            <w:r w:rsidRPr="00211B3D">
              <w:rPr>
                <w:sz w:val="22"/>
                <w:szCs w:val="22"/>
              </w:rPr>
              <w:t>Some failures may occur frequently, but without significant adverse impacts. Similarly, other failures can</w:t>
            </w:r>
            <w:r>
              <w:rPr>
                <w:sz w:val="22"/>
                <w:szCs w:val="22"/>
              </w:rPr>
              <w:t xml:space="preserve"> </w:t>
            </w:r>
            <w:r w:rsidRPr="00211B3D">
              <w:rPr>
                <w:sz w:val="22"/>
                <w:szCs w:val="22"/>
              </w:rPr>
              <w:t>have potentially serious consequences, but if the probability of the incident is low, than the resulting risk</w:t>
            </w:r>
            <w:r>
              <w:rPr>
                <w:sz w:val="22"/>
                <w:szCs w:val="22"/>
              </w:rPr>
              <w:t xml:space="preserve"> </w:t>
            </w:r>
            <w:r w:rsidRPr="00211B3D">
              <w:rPr>
                <w:sz w:val="22"/>
                <w:szCs w:val="22"/>
              </w:rPr>
              <w:t>may not warrant immediate action. If the risk is medium, mitigation measures are normally subject to a</w:t>
            </w:r>
            <w:r>
              <w:rPr>
                <w:sz w:val="22"/>
                <w:szCs w:val="22"/>
              </w:rPr>
              <w:t xml:space="preserve"> </w:t>
            </w:r>
            <w:r w:rsidRPr="00211B3D">
              <w:rPr>
                <w:sz w:val="22"/>
                <w:szCs w:val="22"/>
              </w:rPr>
              <w:t>cost/benefit analysis. Action will be taken if the cost of implementing the measure is lower than the loss,</w:t>
            </w:r>
            <w:r>
              <w:rPr>
                <w:sz w:val="22"/>
                <w:szCs w:val="22"/>
              </w:rPr>
              <w:t xml:space="preserve"> </w:t>
            </w:r>
            <w:r w:rsidRPr="00211B3D">
              <w:rPr>
                <w:sz w:val="22"/>
                <w:szCs w:val="22"/>
              </w:rPr>
              <w:t>associated with the possible event. When the risk is not acceptable, mitigation measures have to be put in</w:t>
            </w:r>
            <w:r>
              <w:rPr>
                <w:sz w:val="22"/>
                <w:szCs w:val="22"/>
              </w:rPr>
              <w:t xml:space="preserve"> </w:t>
            </w:r>
            <w:r w:rsidRPr="00211B3D">
              <w:rPr>
                <w:sz w:val="22"/>
                <w:szCs w:val="22"/>
              </w:rPr>
              <w:t>place.</w:t>
            </w:r>
          </w:p>
          <w:p w:rsidR="00B230DF" w:rsidRPr="00211B3D" w:rsidRDefault="00B230DF" w:rsidP="00B230DF">
            <w:pPr>
              <w:rPr>
                <w:sz w:val="22"/>
                <w:szCs w:val="22"/>
              </w:rPr>
            </w:pPr>
          </w:p>
          <w:p w:rsidR="00B230DF" w:rsidRPr="00211B3D" w:rsidRDefault="00B230DF" w:rsidP="00B230DF">
            <w:pPr>
              <w:jc w:val="center"/>
              <w:rPr>
                <w:sz w:val="22"/>
                <w:szCs w:val="22"/>
              </w:rPr>
            </w:pPr>
            <w:r w:rsidRPr="00211B3D">
              <w:rPr>
                <w:noProof/>
                <w:sz w:val="22"/>
                <w:szCs w:val="22"/>
                <w:lang w:eastAsia="en-GB"/>
              </w:rPr>
              <w:drawing>
                <wp:inline distT="0" distB="0" distL="0" distR="0" wp14:anchorId="690130B0" wp14:editId="6DB5C725">
                  <wp:extent cx="3527947" cy="2047164"/>
                  <wp:effectExtent l="19050" t="0" r="0" b="0"/>
                  <wp:docPr id="4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 cstate="print"/>
                          <a:srcRect l="17945" t="23315" r="29105" b="22040"/>
                          <a:stretch>
                            <a:fillRect/>
                          </a:stretch>
                        </pic:blipFill>
                        <pic:spPr bwMode="auto">
                          <a:xfrm>
                            <a:off x="0" y="0"/>
                            <a:ext cx="3527947" cy="2047164"/>
                          </a:xfrm>
                          <a:prstGeom prst="rect">
                            <a:avLst/>
                          </a:prstGeom>
                          <a:noFill/>
                          <a:ln w="9525">
                            <a:noFill/>
                            <a:miter lim="800000"/>
                            <a:headEnd/>
                            <a:tailEnd/>
                          </a:ln>
                        </pic:spPr>
                      </pic:pic>
                    </a:graphicData>
                  </a:graphic>
                </wp:inline>
              </w:drawing>
            </w:r>
          </w:p>
          <w:p w:rsidR="00B230DF" w:rsidRPr="00211B3D" w:rsidRDefault="00B230DF" w:rsidP="00B230DF">
            <w:pPr>
              <w:spacing w:before="240"/>
              <w:rPr>
                <w:sz w:val="22"/>
                <w:szCs w:val="22"/>
              </w:rPr>
            </w:pPr>
            <w:r w:rsidRPr="00211B3D">
              <w:rPr>
                <w:sz w:val="22"/>
                <w:szCs w:val="22"/>
              </w:rPr>
              <w:t>As shown on the flowchart below, the risk assessment (either qualitative or quantitative) is used as an input to determine the inspection interval for an RBI maintenance program. The aim is to deploy a finite inspection resource according to a ranked list of components and their associated level of risk. In that respect, risk based inspection enables to optimize the frequency of inspection, by moving from period inspection (based on arbitrary calendar dates) to an informed inspection program (based on equipment condition).</w:t>
            </w:r>
          </w:p>
          <w:p w:rsidR="00B230DF" w:rsidRDefault="00B230DF" w:rsidP="00B230DF">
            <w:pPr>
              <w:spacing w:before="240"/>
              <w:jc w:val="center"/>
              <w:rPr>
                <w:rFonts w:ascii="Arial" w:hAnsi="Arial" w:cs="Arial"/>
                <w:sz w:val="22"/>
                <w:szCs w:val="22"/>
              </w:rPr>
            </w:pPr>
            <w:r>
              <w:rPr>
                <w:rFonts w:ascii="Arial" w:hAnsi="Arial" w:cs="Arial"/>
                <w:noProof/>
                <w:sz w:val="22"/>
                <w:szCs w:val="22"/>
                <w:lang w:eastAsia="en-GB"/>
              </w:rPr>
              <w:lastRenderedPageBreak/>
              <w:drawing>
                <wp:inline distT="0" distB="0" distL="0" distR="0" wp14:anchorId="71A5D644" wp14:editId="0219EA6A">
                  <wp:extent cx="2365175" cy="3063922"/>
                  <wp:effectExtent l="19050" t="0" r="0" b="0"/>
                  <wp:docPr id="4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8" cstate="print"/>
                          <a:srcRect l="25721" t="11840" r="38809" b="6375"/>
                          <a:stretch>
                            <a:fillRect/>
                          </a:stretch>
                        </pic:blipFill>
                        <pic:spPr bwMode="auto">
                          <a:xfrm>
                            <a:off x="0" y="0"/>
                            <a:ext cx="2365175" cy="3063922"/>
                          </a:xfrm>
                          <a:prstGeom prst="rect">
                            <a:avLst/>
                          </a:prstGeom>
                          <a:noFill/>
                          <a:ln w="9525">
                            <a:noFill/>
                            <a:miter lim="800000"/>
                            <a:headEnd/>
                            <a:tailEnd/>
                          </a:ln>
                        </pic:spPr>
                      </pic:pic>
                    </a:graphicData>
                  </a:graphic>
                </wp:inline>
              </w:drawing>
            </w:r>
          </w:p>
          <w:p w:rsidR="00B230DF" w:rsidRPr="009A57B6" w:rsidRDefault="00B230DF" w:rsidP="00B230DF">
            <w:pPr>
              <w:rPr>
                <w:rFonts w:ascii="Arial" w:hAnsi="Arial" w:cs="Arial"/>
                <w:sz w:val="22"/>
                <w:szCs w:val="22"/>
              </w:rPr>
            </w:pPr>
          </w:p>
          <w:p w:rsidR="00AA58B9" w:rsidRDefault="00AA58B9">
            <w:pPr>
              <w:rPr>
                <w:sz w:val="24"/>
              </w:rPr>
            </w:pPr>
          </w:p>
        </w:tc>
        <w:tc>
          <w:tcPr>
            <w:tcW w:w="1175" w:type="dxa"/>
            <w:tcBorders>
              <w:top w:val="single" w:sz="4" w:space="0" w:color="000000"/>
              <w:left w:val="single" w:sz="4" w:space="0" w:color="000000"/>
              <w:bottom w:val="single" w:sz="4" w:space="0" w:color="000000"/>
              <w:right w:val="single" w:sz="4" w:space="0" w:color="000000"/>
            </w:tcBorders>
            <w:shd w:val="clear" w:color="auto" w:fill="auto"/>
          </w:tcPr>
          <w:p w:rsidR="00AA58B9" w:rsidRDefault="008972B7">
            <w:pPr>
              <w:jc w:val="both"/>
              <w:rPr>
                <w:sz w:val="24"/>
              </w:rPr>
            </w:pPr>
            <w:r>
              <w:rPr>
                <w:sz w:val="24"/>
              </w:rPr>
              <w:lastRenderedPageBreak/>
              <w:t>10</w:t>
            </w:r>
          </w:p>
        </w:tc>
      </w:tr>
      <w:tr w:rsidR="00133084" w:rsidTr="00AC6C26">
        <w:trPr>
          <w:trHeight w:val="9449"/>
        </w:trPr>
        <w:tc>
          <w:tcPr>
            <w:tcW w:w="1188" w:type="dxa"/>
            <w:tcBorders>
              <w:top w:val="single" w:sz="4" w:space="0" w:color="000000"/>
              <w:left w:val="single" w:sz="4" w:space="0" w:color="000000"/>
              <w:bottom w:val="single" w:sz="4" w:space="0" w:color="000000"/>
            </w:tcBorders>
            <w:shd w:val="clear" w:color="auto" w:fill="auto"/>
          </w:tcPr>
          <w:p w:rsidR="00133084" w:rsidRDefault="00133084">
            <w:pPr>
              <w:rPr>
                <w:sz w:val="24"/>
              </w:rPr>
            </w:pPr>
            <w:r>
              <w:rPr>
                <w:sz w:val="24"/>
              </w:rPr>
              <w:lastRenderedPageBreak/>
              <w:t>2</w:t>
            </w:r>
          </w:p>
        </w:tc>
        <w:tc>
          <w:tcPr>
            <w:tcW w:w="8370" w:type="dxa"/>
            <w:tcBorders>
              <w:top w:val="single" w:sz="4" w:space="0" w:color="000000"/>
              <w:left w:val="single" w:sz="4" w:space="0" w:color="000000"/>
              <w:bottom w:val="single" w:sz="4" w:space="0" w:color="000000"/>
            </w:tcBorders>
            <w:shd w:val="clear" w:color="auto" w:fill="auto"/>
          </w:tcPr>
          <w:p w:rsidR="00133084" w:rsidRDefault="00133084" w:rsidP="00133084">
            <w:r>
              <w:t>Method 1</w:t>
            </w:r>
          </w:p>
          <w:p w:rsidR="00133084" w:rsidRDefault="00133084" w:rsidP="00133084"/>
          <w:p w:rsidR="00133084" w:rsidRDefault="00133084" w:rsidP="00133084">
            <w:r>
              <w:t>True Positives (TP) = 5, False Positives (FP) = 5, False Negatives (FN) = 3, True Negatives (TN) = 6</w:t>
            </w:r>
          </w:p>
          <w:p w:rsidR="00133084" w:rsidRDefault="00133084" w:rsidP="00133084"/>
          <w:p w:rsidR="00133084" w:rsidRDefault="00133084" w:rsidP="00133084">
            <m:oMathPara>
              <m:oMath>
                <m:r>
                  <w:rPr>
                    <w:rFonts w:ascii="Cambria Math" w:hAnsi="Cambria Math"/>
                  </w:rPr>
                  <m:t>PoD=</m:t>
                </m:r>
                <m:f>
                  <m:fPr>
                    <m:ctrlPr>
                      <w:rPr>
                        <w:rFonts w:ascii="Cambria Math" w:hAnsi="Cambria Math"/>
                        <w:i/>
                      </w:rPr>
                    </m:ctrlPr>
                  </m:fPr>
                  <m:num>
                    <m:r>
                      <w:rPr>
                        <w:rFonts w:ascii="Cambria Math" w:hAnsi="Cambria Math"/>
                      </w:rPr>
                      <m:t>TP</m:t>
                    </m:r>
                  </m:num>
                  <m:den>
                    <m:r>
                      <w:rPr>
                        <w:rFonts w:ascii="Cambria Math" w:hAnsi="Cambria Math"/>
                      </w:rPr>
                      <m:t>TP+FN</m:t>
                    </m:r>
                  </m:den>
                </m:f>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5+3</m:t>
                    </m:r>
                  </m:den>
                </m:f>
                <m:r>
                  <w:rPr>
                    <w:rFonts w:ascii="Cambria Math" w:hAnsi="Cambria Math"/>
                  </w:rPr>
                  <m:t>=62.5%</m:t>
                </m:r>
              </m:oMath>
            </m:oMathPara>
          </w:p>
          <w:p w:rsidR="00133084" w:rsidRDefault="00133084" w:rsidP="00133084">
            <m:oMathPara>
              <m:oMath>
                <m:r>
                  <w:rPr>
                    <w:rFonts w:ascii="Cambria Math" w:hAnsi="Cambria Math"/>
                  </w:rPr>
                  <m:t>PoFA=</m:t>
                </m:r>
                <m:f>
                  <m:fPr>
                    <m:ctrlPr>
                      <w:rPr>
                        <w:rFonts w:ascii="Cambria Math" w:hAnsi="Cambria Math"/>
                        <w:i/>
                      </w:rPr>
                    </m:ctrlPr>
                  </m:fPr>
                  <m:num>
                    <m:r>
                      <w:rPr>
                        <w:rFonts w:ascii="Cambria Math" w:hAnsi="Cambria Math"/>
                      </w:rPr>
                      <m:t>FP</m:t>
                    </m:r>
                  </m:num>
                  <m:den>
                    <m:r>
                      <w:rPr>
                        <w:rFonts w:ascii="Cambria Math" w:hAnsi="Cambria Math"/>
                      </w:rPr>
                      <m:t>TN+FP</m:t>
                    </m:r>
                  </m:den>
                </m:f>
                <m:r>
                  <w:rPr>
                    <w:rFonts w:ascii="Cambria Math" w:hAnsi="Cambria Math"/>
                  </w:rPr>
                  <m:t>=</m:t>
                </m:r>
                <m:f>
                  <m:fPr>
                    <m:ctrlPr>
                      <w:rPr>
                        <w:rFonts w:ascii="Cambria Math" w:hAnsi="Cambria Math"/>
                        <w:i/>
                      </w:rPr>
                    </m:ctrlPr>
                  </m:fPr>
                  <m:num>
                    <m:r>
                      <w:rPr>
                        <w:rFonts w:ascii="Cambria Math" w:hAnsi="Cambria Math"/>
                      </w:rPr>
                      <m:t>5</m:t>
                    </m:r>
                  </m:num>
                  <m:den>
                    <m:r>
                      <w:rPr>
                        <w:rFonts w:ascii="Cambria Math" w:hAnsi="Cambria Math"/>
                      </w:rPr>
                      <m:t>6+5</m:t>
                    </m:r>
                  </m:den>
                </m:f>
                <m:r>
                  <w:rPr>
                    <w:rFonts w:ascii="Cambria Math" w:hAnsi="Cambria Math"/>
                  </w:rPr>
                  <m:t>=45.5%</m:t>
                </m:r>
              </m:oMath>
            </m:oMathPara>
          </w:p>
          <w:p w:rsidR="00133084" w:rsidRDefault="00133084" w:rsidP="00133084"/>
          <w:p w:rsidR="00133084" w:rsidRDefault="00133084" w:rsidP="00133084">
            <w:r>
              <w:t>Method 2</w:t>
            </w:r>
          </w:p>
          <w:p w:rsidR="00133084" w:rsidRDefault="00133084" w:rsidP="00133084"/>
          <w:p w:rsidR="00133084" w:rsidRDefault="00133084" w:rsidP="00133084">
            <w:r>
              <w:t>True Positives (TP) = 4, False Positives (FP) = 2, False Negatives (FN) = 4, True Negatives (TN) = 9</w:t>
            </w:r>
          </w:p>
          <w:p w:rsidR="00133084" w:rsidRDefault="00133084" w:rsidP="00133084"/>
          <w:p w:rsidR="00133084" w:rsidRDefault="00133084" w:rsidP="00133084">
            <m:oMathPara>
              <m:oMath>
                <m:r>
                  <w:rPr>
                    <w:rFonts w:ascii="Cambria Math" w:hAnsi="Cambria Math"/>
                  </w:rPr>
                  <m:t>PoD=</m:t>
                </m:r>
                <m:f>
                  <m:fPr>
                    <m:ctrlPr>
                      <w:rPr>
                        <w:rFonts w:ascii="Cambria Math" w:hAnsi="Cambria Math"/>
                        <w:i/>
                      </w:rPr>
                    </m:ctrlPr>
                  </m:fPr>
                  <m:num>
                    <m:r>
                      <w:rPr>
                        <w:rFonts w:ascii="Cambria Math" w:hAnsi="Cambria Math"/>
                      </w:rPr>
                      <m:t>TP</m:t>
                    </m:r>
                  </m:num>
                  <m:den>
                    <m:r>
                      <w:rPr>
                        <w:rFonts w:ascii="Cambria Math" w:hAnsi="Cambria Math"/>
                      </w:rPr>
                      <m:t>TP+FN</m:t>
                    </m:r>
                  </m:den>
                </m:f>
                <m:r>
                  <w:rPr>
                    <w:rFonts w:ascii="Cambria Math" w:hAnsi="Cambria Math"/>
                  </w:rPr>
                  <m:t>=</m:t>
                </m:r>
                <m:f>
                  <m:fPr>
                    <m:ctrlPr>
                      <w:rPr>
                        <w:rFonts w:ascii="Cambria Math" w:hAnsi="Cambria Math"/>
                        <w:i/>
                      </w:rPr>
                    </m:ctrlPr>
                  </m:fPr>
                  <m:num>
                    <m:r>
                      <w:rPr>
                        <w:rFonts w:ascii="Cambria Math" w:hAnsi="Cambria Math"/>
                      </w:rPr>
                      <m:t>4</m:t>
                    </m:r>
                  </m:num>
                  <m:den>
                    <m:r>
                      <w:rPr>
                        <w:rFonts w:ascii="Cambria Math" w:hAnsi="Cambria Math"/>
                      </w:rPr>
                      <m:t>4+4</m:t>
                    </m:r>
                  </m:den>
                </m:f>
                <m:r>
                  <w:rPr>
                    <w:rFonts w:ascii="Cambria Math" w:hAnsi="Cambria Math"/>
                  </w:rPr>
                  <m:t>=50%</m:t>
                </m:r>
              </m:oMath>
            </m:oMathPara>
          </w:p>
          <w:p w:rsidR="00133084" w:rsidRDefault="00133084" w:rsidP="00133084">
            <m:oMathPara>
              <m:oMath>
                <m:r>
                  <w:rPr>
                    <w:rFonts w:ascii="Cambria Math" w:hAnsi="Cambria Math"/>
                  </w:rPr>
                  <m:t>PoFA=</m:t>
                </m:r>
                <m:f>
                  <m:fPr>
                    <m:ctrlPr>
                      <w:rPr>
                        <w:rFonts w:ascii="Cambria Math" w:hAnsi="Cambria Math"/>
                        <w:i/>
                      </w:rPr>
                    </m:ctrlPr>
                  </m:fPr>
                  <m:num>
                    <m:r>
                      <w:rPr>
                        <w:rFonts w:ascii="Cambria Math" w:hAnsi="Cambria Math"/>
                      </w:rPr>
                      <m:t>FP</m:t>
                    </m:r>
                  </m:num>
                  <m:den>
                    <m:r>
                      <w:rPr>
                        <w:rFonts w:ascii="Cambria Math" w:hAnsi="Cambria Math"/>
                      </w:rPr>
                      <m:t>TN+FP</m:t>
                    </m:r>
                  </m:den>
                </m:f>
                <m:r>
                  <w:rPr>
                    <w:rFonts w:ascii="Cambria Math" w:hAnsi="Cambria Math"/>
                  </w:rPr>
                  <m:t>=</m:t>
                </m:r>
                <m:f>
                  <m:fPr>
                    <m:ctrlPr>
                      <w:rPr>
                        <w:rFonts w:ascii="Cambria Math" w:hAnsi="Cambria Math"/>
                        <w:i/>
                      </w:rPr>
                    </m:ctrlPr>
                  </m:fPr>
                  <m:num>
                    <m:r>
                      <w:rPr>
                        <w:rFonts w:ascii="Cambria Math" w:hAnsi="Cambria Math"/>
                      </w:rPr>
                      <m:t>2</m:t>
                    </m:r>
                  </m:num>
                  <m:den>
                    <m:r>
                      <w:rPr>
                        <w:rFonts w:ascii="Cambria Math" w:hAnsi="Cambria Math"/>
                      </w:rPr>
                      <m:t>9+2</m:t>
                    </m:r>
                  </m:den>
                </m:f>
                <m:r>
                  <w:rPr>
                    <w:rFonts w:ascii="Cambria Math" w:hAnsi="Cambria Math"/>
                  </w:rPr>
                  <m:t>=18.2%</m:t>
                </m:r>
              </m:oMath>
            </m:oMathPara>
          </w:p>
          <w:p w:rsidR="00133084" w:rsidRDefault="00133084" w:rsidP="00133084"/>
          <w:p w:rsidR="00133084" w:rsidRDefault="00133084" w:rsidP="00133084">
            <w:r>
              <w:t>Method 3</w:t>
            </w:r>
          </w:p>
          <w:p w:rsidR="00133084" w:rsidRDefault="00133084" w:rsidP="00133084"/>
          <w:p w:rsidR="00133084" w:rsidRDefault="00133084" w:rsidP="00133084">
            <w:r>
              <w:t>True Positives (TP) = 7, False Positives (FP) = 2, False Negatives (FN) = 1, True Negatives (TN) = 9</w:t>
            </w:r>
          </w:p>
          <w:p w:rsidR="00133084" w:rsidRDefault="00133084" w:rsidP="00133084"/>
          <w:p w:rsidR="00133084" w:rsidRDefault="00133084" w:rsidP="00133084">
            <m:oMathPara>
              <m:oMath>
                <m:r>
                  <w:rPr>
                    <w:rFonts w:ascii="Cambria Math" w:hAnsi="Cambria Math"/>
                  </w:rPr>
                  <m:t>PoD=</m:t>
                </m:r>
                <m:f>
                  <m:fPr>
                    <m:ctrlPr>
                      <w:rPr>
                        <w:rFonts w:ascii="Cambria Math" w:hAnsi="Cambria Math"/>
                        <w:i/>
                      </w:rPr>
                    </m:ctrlPr>
                  </m:fPr>
                  <m:num>
                    <m:r>
                      <w:rPr>
                        <w:rFonts w:ascii="Cambria Math" w:hAnsi="Cambria Math"/>
                      </w:rPr>
                      <m:t>TP</m:t>
                    </m:r>
                  </m:num>
                  <m:den>
                    <m:r>
                      <w:rPr>
                        <w:rFonts w:ascii="Cambria Math" w:hAnsi="Cambria Math"/>
                      </w:rPr>
                      <m:t>TP+FN</m:t>
                    </m:r>
                  </m:den>
                </m:f>
                <m:r>
                  <w:rPr>
                    <w:rFonts w:ascii="Cambria Math" w:hAnsi="Cambria Math"/>
                  </w:rPr>
                  <m:t>=</m:t>
                </m:r>
                <m:f>
                  <m:fPr>
                    <m:ctrlPr>
                      <w:rPr>
                        <w:rFonts w:ascii="Cambria Math" w:hAnsi="Cambria Math"/>
                        <w:i/>
                      </w:rPr>
                    </m:ctrlPr>
                  </m:fPr>
                  <m:num>
                    <m:r>
                      <w:rPr>
                        <w:rFonts w:ascii="Cambria Math" w:hAnsi="Cambria Math"/>
                      </w:rPr>
                      <m:t>7</m:t>
                    </m:r>
                  </m:num>
                  <m:den>
                    <m:r>
                      <w:rPr>
                        <w:rFonts w:ascii="Cambria Math" w:hAnsi="Cambria Math"/>
                      </w:rPr>
                      <m:t>7+1</m:t>
                    </m:r>
                  </m:den>
                </m:f>
                <m:r>
                  <w:rPr>
                    <w:rFonts w:ascii="Cambria Math" w:hAnsi="Cambria Math"/>
                  </w:rPr>
                  <m:t>=87.5%</m:t>
                </m:r>
              </m:oMath>
            </m:oMathPara>
          </w:p>
          <w:p w:rsidR="00133084" w:rsidRDefault="00133084" w:rsidP="00133084">
            <m:oMathPara>
              <m:oMath>
                <m:r>
                  <w:rPr>
                    <w:rFonts w:ascii="Cambria Math" w:hAnsi="Cambria Math"/>
                  </w:rPr>
                  <m:t>PoFA=</m:t>
                </m:r>
                <m:f>
                  <m:fPr>
                    <m:ctrlPr>
                      <w:rPr>
                        <w:rFonts w:ascii="Cambria Math" w:hAnsi="Cambria Math"/>
                        <w:i/>
                      </w:rPr>
                    </m:ctrlPr>
                  </m:fPr>
                  <m:num>
                    <m:r>
                      <w:rPr>
                        <w:rFonts w:ascii="Cambria Math" w:hAnsi="Cambria Math"/>
                      </w:rPr>
                      <m:t>FP</m:t>
                    </m:r>
                  </m:num>
                  <m:den>
                    <m:r>
                      <w:rPr>
                        <w:rFonts w:ascii="Cambria Math" w:hAnsi="Cambria Math"/>
                      </w:rPr>
                      <m:t>TN+FP</m:t>
                    </m:r>
                  </m:den>
                </m:f>
                <m:r>
                  <w:rPr>
                    <w:rFonts w:ascii="Cambria Math" w:hAnsi="Cambria Math"/>
                  </w:rPr>
                  <m:t>=</m:t>
                </m:r>
                <m:f>
                  <m:fPr>
                    <m:ctrlPr>
                      <w:rPr>
                        <w:rFonts w:ascii="Cambria Math" w:hAnsi="Cambria Math"/>
                        <w:i/>
                      </w:rPr>
                    </m:ctrlPr>
                  </m:fPr>
                  <m:num>
                    <m:r>
                      <w:rPr>
                        <w:rFonts w:ascii="Cambria Math" w:hAnsi="Cambria Math"/>
                      </w:rPr>
                      <m:t>2</m:t>
                    </m:r>
                  </m:num>
                  <m:den>
                    <m:r>
                      <w:rPr>
                        <w:rFonts w:ascii="Cambria Math" w:hAnsi="Cambria Math"/>
                      </w:rPr>
                      <m:t>9+2</m:t>
                    </m:r>
                  </m:den>
                </m:f>
                <m:r>
                  <w:rPr>
                    <w:rFonts w:ascii="Cambria Math" w:hAnsi="Cambria Math"/>
                  </w:rPr>
                  <m:t>=18.2%</m:t>
                </m:r>
              </m:oMath>
            </m:oMathPara>
          </w:p>
          <w:p w:rsidR="00133084" w:rsidRDefault="00133084" w:rsidP="00133084"/>
          <w:p w:rsidR="00133084" w:rsidRDefault="00133084" w:rsidP="00133084">
            <w:pPr>
              <w:jc w:val="center"/>
            </w:pPr>
            <w:r>
              <w:rPr>
                <w:noProof/>
                <w:lang w:eastAsia="en-GB"/>
              </w:rPr>
              <w:drawing>
                <wp:inline distT="0" distB="0" distL="0" distR="0" wp14:anchorId="1105B0EC" wp14:editId="22610FE6">
                  <wp:extent cx="3406538" cy="2949914"/>
                  <wp:effectExtent l="19050" t="0" r="3412" b="0"/>
                  <wp:docPr id="5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cstate="print"/>
                          <a:srcRect/>
                          <a:stretch>
                            <a:fillRect/>
                          </a:stretch>
                        </pic:blipFill>
                        <pic:spPr bwMode="auto">
                          <a:xfrm>
                            <a:off x="0" y="0"/>
                            <a:ext cx="3404430" cy="2948088"/>
                          </a:xfrm>
                          <a:prstGeom prst="rect">
                            <a:avLst/>
                          </a:prstGeom>
                          <a:noFill/>
                        </pic:spPr>
                      </pic:pic>
                    </a:graphicData>
                  </a:graphic>
                </wp:inline>
              </w:drawing>
            </w:r>
          </w:p>
          <w:p w:rsidR="00133084" w:rsidRDefault="00133084" w:rsidP="00133084"/>
          <w:p w:rsidR="00133084" w:rsidRDefault="00133084" w:rsidP="00133084">
            <w:r>
              <w:t>The results indicate that of the three methods, method 3 would be the preferable method as it has both a high level of probability of detection along with an equal lowest level of Probability of False Alarms of Indications.  This is further illustrated in when the results are plotted on an ROC (Receiver Operating Characteristic) graph.  The closer the analysis results are to the top left of the graph the better the technique.</w:t>
            </w:r>
          </w:p>
          <w:p w:rsidR="00133084" w:rsidRPr="00211B3D" w:rsidRDefault="00133084" w:rsidP="00B230DF">
            <w:pPr>
              <w:rPr>
                <w:sz w:val="22"/>
                <w:szCs w:val="22"/>
              </w:rPr>
            </w:pPr>
          </w:p>
        </w:tc>
        <w:tc>
          <w:tcPr>
            <w:tcW w:w="1175" w:type="dxa"/>
            <w:tcBorders>
              <w:top w:val="single" w:sz="4" w:space="0" w:color="000000"/>
              <w:left w:val="single" w:sz="4" w:space="0" w:color="000000"/>
              <w:bottom w:val="single" w:sz="4" w:space="0" w:color="000000"/>
              <w:right w:val="single" w:sz="4" w:space="0" w:color="000000"/>
            </w:tcBorders>
            <w:shd w:val="clear" w:color="auto" w:fill="auto"/>
          </w:tcPr>
          <w:p w:rsidR="00133084" w:rsidRDefault="008972B7">
            <w:pPr>
              <w:jc w:val="both"/>
              <w:rPr>
                <w:sz w:val="24"/>
              </w:rPr>
            </w:pPr>
            <w:r>
              <w:rPr>
                <w:sz w:val="24"/>
              </w:rPr>
              <w:t>10</w:t>
            </w:r>
          </w:p>
        </w:tc>
      </w:tr>
      <w:tr w:rsidR="00133084" w:rsidTr="00AC6C26">
        <w:trPr>
          <w:trHeight w:val="9449"/>
        </w:trPr>
        <w:tc>
          <w:tcPr>
            <w:tcW w:w="1188" w:type="dxa"/>
            <w:tcBorders>
              <w:top w:val="single" w:sz="4" w:space="0" w:color="000000"/>
              <w:left w:val="single" w:sz="4" w:space="0" w:color="000000"/>
              <w:bottom w:val="single" w:sz="4" w:space="0" w:color="000000"/>
            </w:tcBorders>
            <w:shd w:val="clear" w:color="auto" w:fill="auto"/>
          </w:tcPr>
          <w:p w:rsidR="00133084" w:rsidRDefault="00133084">
            <w:pPr>
              <w:rPr>
                <w:sz w:val="24"/>
              </w:rPr>
            </w:pPr>
            <w:r>
              <w:rPr>
                <w:sz w:val="24"/>
              </w:rPr>
              <w:lastRenderedPageBreak/>
              <w:t>3</w:t>
            </w:r>
          </w:p>
        </w:tc>
        <w:tc>
          <w:tcPr>
            <w:tcW w:w="8370" w:type="dxa"/>
            <w:tcBorders>
              <w:top w:val="single" w:sz="4" w:space="0" w:color="000000"/>
              <w:left w:val="single" w:sz="4" w:space="0" w:color="000000"/>
              <w:bottom w:val="single" w:sz="4" w:space="0" w:color="000000"/>
            </w:tcBorders>
            <w:shd w:val="clear" w:color="auto" w:fill="auto"/>
          </w:tcPr>
          <w:p w:rsidR="00F07AE3" w:rsidRPr="00F07AE3" w:rsidRDefault="00F07AE3" w:rsidP="00F07AE3">
            <w:pPr>
              <w:pStyle w:val="ListParagraph"/>
              <w:numPr>
                <w:ilvl w:val="0"/>
                <w:numId w:val="3"/>
              </w:numPr>
            </w:pPr>
            <w:r w:rsidRPr="00F07AE3">
              <w:t>Eddy currents are closed loops of induced current circulating in planes perpendicular to the magnetic flux.</w:t>
            </w:r>
            <w:r>
              <w:t xml:space="preserve"> </w:t>
            </w:r>
            <w:r w:rsidRPr="00F07AE3">
              <w:t>They normally travel parallel to the coil's winding and flow is limited to the area of the inducing magnetic field.</w:t>
            </w:r>
          </w:p>
          <w:p w:rsidR="00F07AE3" w:rsidRPr="00F07AE3" w:rsidRDefault="00F07AE3" w:rsidP="00F07AE3">
            <w:pPr>
              <w:pStyle w:val="ListParagraph"/>
            </w:pPr>
            <w:r w:rsidRPr="00F07AE3">
              <w:t>Eddy currents concentrate near the surface adjacent to an excitation coil and their strength decreases with distance from the coil.</w:t>
            </w:r>
          </w:p>
          <w:p w:rsidR="00F07AE3" w:rsidRPr="00F07AE3" w:rsidRDefault="00F07AE3" w:rsidP="00F07AE3">
            <w:pPr>
              <w:pStyle w:val="ListParagraph"/>
            </w:pPr>
            <w:r w:rsidRPr="00F07AE3">
              <w:t>Eddy current density decreases exponentially with depth.</w:t>
            </w:r>
          </w:p>
          <w:p w:rsidR="00F07AE3" w:rsidRDefault="00F07AE3" w:rsidP="00F07AE3">
            <w:pPr>
              <w:pStyle w:val="ListParagraph"/>
            </w:pPr>
            <w:r w:rsidRPr="00F07AE3">
              <w:t xml:space="preserve">This phenomenon is known as the </w:t>
            </w:r>
            <w:r w:rsidRPr="00F07AE3">
              <w:rPr>
                <w:b/>
                <w:bCs/>
              </w:rPr>
              <w:t>skin effect</w:t>
            </w:r>
            <w:r w:rsidRPr="00F07AE3">
              <w:t>.</w:t>
            </w:r>
          </w:p>
          <w:p w:rsidR="00F07AE3" w:rsidRDefault="00F07AE3" w:rsidP="00F07AE3">
            <w:pPr>
              <w:pStyle w:val="ListParagraph"/>
            </w:pPr>
          </w:p>
          <w:p w:rsidR="00F07AE3" w:rsidRPr="00F07AE3" w:rsidRDefault="00F07AE3" w:rsidP="00F07AE3">
            <w:pPr>
              <w:pStyle w:val="ListParagraph"/>
            </w:pPr>
            <w:r w:rsidRPr="00F07AE3">
              <w:t>The depth that eddy currents penetrate into a material is directly related to the frequency of the excitation current, the electrical conductivity, and magnetic permeability of the specimen.</w:t>
            </w:r>
          </w:p>
          <w:p w:rsidR="00F07AE3" w:rsidRPr="00F07AE3" w:rsidRDefault="00F07AE3" w:rsidP="00F07AE3">
            <w:pPr>
              <w:pStyle w:val="ListParagraph"/>
            </w:pPr>
            <w:r w:rsidRPr="00F07AE3">
              <w:t xml:space="preserve">The depth of penetration decreases with increasing frequency and increasing conductivity and magnetic permeability. </w:t>
            </w:r>
          </w:p>
          <w:p w:rsidR="00F07AE3" w:rsidRDefault="00F07AE3" w:rsidP="00F07AE3">
            <w:pPr>
              <w:pStyle w:val="ListParagraph"/>
            </w:pPr>
            <w:r w:rsidRPr="00F07AE3">
              <w:t>It is mathematically convenient to define the ‘standard d</w:t>
            </w:r>
            <w:bookmarkStart w:id="0" w:name="_GoBack"/>
            <w:bookmarkEnd w:id="0"/>
            <w:r w:rsidRPr="00F07AE3">
              <w:t>epth of penetration’ (</w:t>
            </w:r>
            <w:r w:rsidRPr="00F07AE3">
              <w:rPr>
                <w:lang w:val="el-GR"/>
              </w:rPr>
              <w:t>δ</w:t>
            </w:r>
            <w:r w:rsidRPr="00F07AE3">
              <w:t>) where the eddy current is</w:t>
            </w:r>
            <w:r>
              <w:t xml:space="preserve"> 1/e (37%) of its surface value.</w:t>
            </w:r>
          </w:p>
          <w:p w:rsidR="00F07AE3" w:rsidRDefault="00F07AE3" w:rsidP="00F07AE3">
            <w:pPr>
              <w:pStyle w:val="ListParagraph"/>
            </w:pPr>
          </w:p>
          <w:p w:rsidR="00F07AE3" w:rsidRPr="00F07AE3" w:rsidRDefault="00F07AE3" w:rsidP="00F07AE3">
            <w:pPr>
              <w:pStyle w:val="ListParagraph"/>
            </w:pPr>
            <w:r w:rsidRPr="00F07AE3">
              <w:drawing>
                <wp:inline distT="0" distB="0" distL="0" distR="0" wp14:anchorId="7447FC5F" wp14:editId="73A2D05E">
                  <wp:extent cx="2928877" cy="2022297"/>
                  <wp:effectExtent l="0" t="0" r="508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07" name="Picture 3"/>
                          <pic:cNvPicPr>
                            <a:picLocks noChangeAspect="1" noChangeArrowheads="1"/>
                          </pic:cNvPicPr>
                        </pic:nvPicPr>
                        <pic:blipFill>
                          <a:blip r:embed="rId10" cstate="print"/>
                          <a:srcRect r="2921"/>
                          <a:stretch>
                            <a:fillRect/>
                          </a:stretch>
                        </pic:blipFill>
                        <pic:spPr bwMode="auto">
                          <a:xfrm>
                            <a:off x="0" y="0"/>
                            <a:ext cx="2934640" cy="2026276"/>
                          </a:xfrm>
                          <a:prstGeom prst="rect">
                            <a:avLst/>
                          </a:prstGeom>
                          <a:noFill/>
                          <a:ln w="9525">
                            <a:noFill/>
                            <a:miter lim="800000"/>
                            <a:headEnd/>
                            <a:tailEnd/>
                          </a:ln>
                        </pic:spPr>
                      </pic:pic>
                    </a:graphicData>
                  </a:graphic>
                </wp:inline>
              </w:drawing>
            </w:r>
          </w:p>
          <w:p w:rsidR="00133084" w:rsidRDefault="00133084" w:rsidP="00F07AE3">
            <w:pPr>
              <w:pStyle w:val="ListParagraph"/>
            </w:pPr>
          </w:p>
          <w:p w:rsidR="00F07AE3" w:rsidRDefault="00F07AE3" w:rsidP="00133084"/>
          <w:p w:rsidR="00133084" w:rsidRDefault="00133084" w:rsidP="00133084">
            <w:r>
              <w:t>b)</w:t>
            </w:r>
            <w:proofErr w:type="spellStart"/>
            <w:r>
              <w:t>i</w:t>
            </w:r>
            <w:proofErr w:type="spellEnd"/>
            <w:r>
              <w:t>)</w:t>
            </w:r>
          </w:p>
          <w:p w:rsidR="00133084" w:rsidRPr="00F804D6" w:rsidRDefault="00133084" w:rsidP="00133084">
            <w:pPr>
              <w:pStyle w:val="ListParagraph"/>
              <w:ind w:left="1440"/>
              <w:rPr>
                <w:rFonts w:eastAsiaTheme="minorEastAsia"/>
                <w:i/>
                <w:sz w:val="20"/>
              </w:rPr>
            </w:pPr>
            <w:r w:rsidRPr="00F804D6">
              <w:rPr>
                <w:rFonts w:eastAsiaTheme="minorEastAsia"/>
                <w:i/>
                <w:sz w:val="20"/>
              </w:rPr>
              <w:t>To determine the required test frequency, we need to re-arrange the depth of penetration formula:</w:t>
            </w:r>
          </w:p>
          <w:p w:rsidR="00133084" w:rsidRPr="00F804D6" w:rsidRDefault="00C002B9" w:rsidP="00133084">
            <w:pPr>
              <w:pStyle w:val="ListParagraph"/>
              <w:ind w:left="1440"/>
              <w:rPr>
                <w:rFonts w:eastAsiaTheme="minorEastAsia"/>
                <w:i/>
                <w:sz w:val="20"/>
              </w:rPr>
            </w:pPr>
            <m:oMathPara>
              <m:oMath>
                <m:sSub>
                  <m:sSubPr>
                    <m:ctrlPr>
                      <w:rPr>
                        <w:rFonts w:ascii="Cambria Math" w:hAnsi="Cambria Math"/>
                        <w:i/>
                        <w:sz w:val="20"/>
                      </w:rPr>
                    </m:ctrlPr>
                  </m:sSubPr>
                  <m:e>
                    <m:r>
                      <w:rPr>
                        <w:rFonts w:ascii="Cambria Math" w:hAnsi="Cambria Math"/>
                        <w:sz w:val="20"/>
                      </w:rPr>
                      <m:t>δ</m:t>
                    </m:r>
                  </m:e>
                  <m:sub>
                    <m:r>
                      <w:rPr>
                        <w:rFonts w:ascii="Cambria Math" w:hAnsi="Cambria Math"/>
                        <w:sz w:val="20"/>
                      </w:rPr>
                      <m:t>mm</m:t>
                    </m:r>
                  </m:sub>
                </m:sSub>
                <m:r>
                  <w:rPr>
                    <w:rFonts w:ascii="Cambria Math" w:hAnsi="Cambria Math"/>
                    <w:sz w:val="20"/>
                  </w:rPr>
                  <m:t>=</m:t>
                </m:r>
                <m:f>
                  <m:fPr>
                    <m:ctrlPr>
                      <w:rPr>
                        <w:rFonts w:ascii="Cambria Math" w:hAnsi="Cambria Math"/>
                        <w:i/>
                        <w:sz w:val="20"/>
                      </w:rPr>
                    </m:ctrlPr>
                  </m:fPr>
                  <m:num>
                    <m:r>
                      <w:rPr>
                        <w:rFonts w:ascii="Cambria Math" w:hAnsi="Cambria Math"/>
                        <w:sz w:val="20"/>
                      </w:rPr>
                      <m:t>661</m:t>
                    </m:r>
                  </m:num>
                  <m:den>
                    <m:rad>
                      <m:radPr>
                        <m:degHide m:val="1"/>
                        <m:ctrlPr>
                          <w:rPr>
                            <w:rFonts w:ascii="Cambria Math" w:hAnsi="Cambria Math"/>
                            <w:i/>
                            <w:sz w:val="20"/>
                          </w:rPr>
                        </m:ctrlPr>
                      </m:radPr>
                      <m:deg/>
                      <m:e>
                        <m:r>
                          <w:rPr>
                            <w:rFonts w:ascii="Cambria Math" w:hAnsi="Cambria Math"/>
                            <w:sz w:val="20"/>
                          </w:rPr>
                          <m:t>f</m:t>
                        </m:r>
                        <m:sSub>
                          <m:sSubPr>
                            <m:ctrlPr>
                              <w:rPr>
                                <w:rFonts w:ascii="Cambria Math" w:hAnsi="Cambria Math"/>
                                <w:i/>
                                <w:sz w:val="20"/>
                              </w:rPr>
                            </m:ctrlPr>
                          </m:sSubPr>
                          <m:e>
                            <m:r>
                              <w:rPr>
                                <w:rFonts w:ascii="Cambria Math" w:hAnsi="Cambria Math"/>
                                <w:sz w:val="20"/>
                              </w:rPr>
                              <m:t>µ</m:t>
                            </m:r>
                          </m:e>
                          <m:sub>
                            <m:r>
                              <w:rPr>
                                <w:rFonts w:ascii="Cambria Math" w:hAnsi="Cambria Math"/>
                                <w:sz w:val="20"/>
                              </w:rPr>
                              <m:t>r</m:t>
                            </m:r>
                          </m:sub>
                        </m:sSub>
                        <m:r>
                          <w:rPr>
                            <w:rFonts w:ascii="Cambria Math" w:hAnsi="Cambria Math"/>
                            <w:sz w:val="20"/>
                          </w:rPr>
                          <m:t>σ</m:t>
                        </m:r>
                      </m:e>
                    </m:rad>
                  </m:den>
                </m:f>
              </m:oMath>
            </m:oMathPara>
          </w:p>
          <w:p w:rsidR="00133084" w:rsidRPr="00F804D6" w:rsidRDefault="00133084" w:rsidP="00133084">
            <w:pPr>
              <w:pStyle w:val="ListParagraph"/>
              <w:ind w:left="1440"/>
              <w:rPr>
                <w:rFonts w:eastAsiaTheme="minorEastAsia"/>
                <w:i/>
                <w:sz w:val="20"/>
              </w:rPr>
            </w:pPr>
            <m:oMathPara>
              <m:oMath>
                <m:r>
                  <w:rPr>
                    <w:rFonts w:ascii="Cambria Math" w:hAnsi="Cambria Math"/>
                    <w:sz w:val="20"/>
                  </w:rPr>
                  <m:t>f=</m:t>
                </m:r>
                <m:f>
                  <m:fPr>
                    <m:ctrlPr>
                      <w:rPr>
                        <w:rFonts w:ascii="Cambria Math" w:hAnsi="Cambria Math"/>
                        <w:i/>
                        <w:sz w:val="20"/>
                      </w:rPr>
                    </m:ctrlPr>
                  </m:fPr>
                  <m:num>
                    <m:r>
                      <w:rPr>
                        <w:rFonts w:ascii="Cambria Math" w:hAnsi="Cambria Math"/>
                        <w:sz w:val="20"/>
                      </w:rPr>
                      <m:t>1</m:t>
                    </m:r>
                  </m:num>
                  <m:den>
                    <m:sSub>
                      <m:sSubPr>
                        <m:ctrlPr>
                          <w:rPr>
                            <w:rFonts w:ascii="Cambria Math" w:hAnsi="Cambria Math"/>
                            <w:i/>
                            <w:sz w:val="20"/>
                          </w:rPr>
                        </m:ctrlPr>
                      </m:sSubPr>
                      <m:e>
                        <m:r>
                          <w:rPr>
                            <w:rFonts w:ascii="Cambria Math" w:hAnsi="Cambria Math"/>
                            <w:sz w:val="20"/>
                          </w:rPr>
                          <m:t>µ</m:t>
                        </m:r>
                      </m:e>
                      <m:sub>
                        <m:r>
                          <w:rPr>
                            <w:rFonts w:ascii="Cambria Math" w:hAnsi="Cambria Math"/>
                            <w:sz w:val="20"/>
                          </w:rPr>
                          <m:t>r</m:t>
                        </m:r>
                      </m:sub>
                    </m:sSub>
                    <m:r>
                      <w:rPr>
                        <w:rFonts w:ascii="Cambria Math" w:hAnsi="Cambria Math"/>
                        <w:sz w:val="20"/>
                      </w:rPr>
                      <m:t>σ</m:t>
                    </m:r>
                  </m:den>
                </m:f>
                <m:sSup>
                  <m:sSupPr>
                    <m:ctrlPr>
                      <w:rPr>
                        <w:rFonts w:ascii="Cambria Math" w:hAnsi="Cambria Math"/>
                        <w:i/>
                        <w:sz w:val="20"/>
                      </w:rPr>
                    </m:ctrlPr>
                  </m:sSupPr>
                  <m:e>
                    <m:d>
                      <m:dPr>
                        <m:ctrlPr>
                          <w:rPr>
                            <w:rFonts w:ascii="Cambria Math" w:hAnsi="Cambria Math"/>
                            <w:i/>
                            <w:sz w:val="20"/>
                          </w:rPr>
                        </m:ctrlPr>
                      </m:dPr>
                      <m:e>
                        <m:f>
                          <m:fPr>
                            <m:ctrlPr>
                              <w:rPr>
                                <w:rFonts w:ascii="Cambria Math" w:hAnsi="Cambria Math"/>
                                <w:i/>
                                <w:sz w:val="20"/>
                              </w:rPr>
                            </m:ctrlPr>
                          </m:fPr>
                          <m:num>
                            <m:r>
                              <w:rPr>
                                <w:rFonts w:ascii="Cambria Math" w:hAnsi="Cambria Math"/>
                                <w:sz w:val="20"/>
                              </w:rPr>
                              <m:t>661</m:t>
                            </m:r>
                          </m:num>
                          <m:den>
                            <m:sSub>
                              <m:sSubPr>
                                <m:ctrlPr>
                                  <w:rPr>
                                    <w:rFonts w:ascii="Cambria Math" w:hAnsi="Cambria Math"/>
                                    <w:i/>
                                    <w:sz w:val="20"/>
                                  </w:rPr>
                                </m:ctrlPr>
                              </m:sSubPr>
                              <m:e>
                                <m:r>
                                  <w:rPr>
                                    <w:rFonts w:ascii="Cambria Math" w:hAnsi="Cambria Math"/>
                                    <w:sz w:val="20"/>
                                  </w:rPr>
                                  <m:t>δ</m:t>
                                </m:r>
                              </m:e>
                              <m:sub>
                                <m:r>
                                  <w:rPr>
                                    <w:rFonts w:ascii="Cambria Math" w:hAnsi="Cambria Math"/>
                                    <w:sz w:val="20"/>
                                  </w:rPr>
                                  <m:t>mm</m:t>
                                </m:r>
                              </m:sub>
                            </m:sSub>
                          </m:den>
                        </m:f>
                      </m:e>
                    </m:d>
                  </m:e>
                  <m:sup>
                    <m:r>
                      <w:rPr>
                        <w:rFonts w:ascii="Cambria Math" w:hAnsi="Cambria Math"/>
                        <w:sz w:val="20"/>
                      </w:rPr>
                      <m:t>2</m:t>
                    </m:r>
                  </m:sup>
                </m:sSup>
              </m:oMath>
            </m:oMathPara>
          </w:p>
          <w:p w:rsidR="00133084" w:rsidRPr="00F804D6" w:rsidRDefault="00133084" w:rsidP="00133084">
            <w:pPr>
              <w:pStyle w:val="ListParagraph"/>
              <w:ind w:left="1440"/>
              <w:rPr>
                <w:rFonts w:eastAsiaTheme="minorEastAsia"/>
                <w:i/>
                <w:sz w:val="20"/>
              </w:rPr>
            </w:pPr>
            <w:r w:rsidRPr="00F804D6">
              <w:rPr>
                <w:rFonts w:eastAsiaTheme="minorEastAsia"/>
                <w:i/>
                <w:sz w:val="20"/>
              </w:rPr>
              <w:t>For copper, µ</w:t>
            </w:r>
            <w:r w:rsidRPr="00F804D6">
              <w:rPr>
                <w:rFonts w:eastAsiaTheme="minorEastAsia"/>
                <w:i/>
                <w:sz w:val="20"/>
                <w:vertAlign w:val="subscript"/>
              </w:rPr>
              <w:t>r</w:t>
            </w:r>
            <w:r w:rsidRPr="00F804D6">
              <w:rPr>
                <w:rFonts w:eastAsiaTheme="minorEastAsia"/>
                <w:i/>
                <w:sz w:val="20"/>
              </w:rPr>
              <w:t>=1</w:t>
            </w:r>
          </w:p>
          <w:p w:rsidR="00133084" w:rsidRPr="00F804D6" w:rsidRDefault="00133084" w:rsidP="00133084">
            <w:pPr>
              <w:pStyle w:val="ListParagraph"/>
              <w:ind w:left="1440"/>
              <w:rPr>
                <w:rFonts w:eastAsiaTheme="minorEastAsia"/>
                <w:b/>
                <w:i/>
                <w:sz w:val="20"/>
              </w:rPr>
            </w:pPr>
          </w:p>
          <w:p w:rsidR="00133084" w:rsidRPr="00F804D6" w:rsidRDefault="00133084" w:rsidP="00133084">
            <w:pPr>
              <w:pStyle w:val="ListParagraph"/>
              <w:ind w:left="1440"/>
              <w:rPr>
                <w:rFonts w:eastAsiaTheme="minorEastAsia"/>
                <w:i/>
                <w:sz w:val="20"/>
              </w:rPr>
            </w:pPr>
            <m:oMathPara>
              <m:oMath>
                <m:r>
                  <w:rPr>
                    <w:rFonts w:ascii="Cambria Math" w:hAnsi="Cambria Math"/>
                    <w:sz w:val="20"/>
                  </w:rPr>
                  <m:t>f=</m:t>
                </m:r>
                <m:f>
                  <m:fPr>
                    <m:ctrlPr>
                      <w:rPr>
                        <w:rFonts w:ascii="Cambria Math" w:hAnsi="Cambria Math"/>
                        <w:i/>
                        <w:sz w:val="20"/>
                      </w:rPr>
                    </m:ctrlPr>
                  </m:fPr>
                  <m:num>
                    <m:r>
                      <w:rPr>
                        <w:rFonts w:ascii="Cambria Math" w:hAnsi="Cambria Math"/>
                        <w:sz w:val="20"/>
                      </w:rPr>
                      <m:t>1</m:t>
                    </m:r>
                  </m:num>
                  <m:den>
                    <m:r>
                      <w:rPr>
                        <w:rFonts w:ascii="Cambria Math" w:hAnsi="Cambria Math"/>
                        <w:sz w:val="20"/>
                      </w:rPr>
                      <m:t>98.6</m:t>
                    </m:r>
                  </m:den>
                </m:f>
                <m:sSup>
                  <m:sSupPr>
                    <m:ctrlPr>
                      <w:rPr>
                        <w:rFonts w:ascii="Cambria Math" w:hAnsi="Cambria Math"/>
                        <w:i/>
                        <w:sz w:val="20"/>
                      </w:rPr>
                    </m:ctrlPr>
                  </m:sSupPr>
                  <m:e>
                    <m:d>
                      <m:dPr>
                        <m:ctrlPr>
                          <w:rPr>
                            <w:rFonts w:ascii="Cambria Math" w:hAnsi="Cambria Math"/>
                            <w:i/>
                            <w:sz w:val="20"/>
                          </w:rPr>
                        </m:ctrlPr>
                      </m:dPr>
                      <m:e>
                        <m:f>
                          <m:fPr>
                            <m:ctrlPr>
                              <w:rPr>
                                <w:rFonts w:ascii="Cambria Math" w:hAnsi="Cambria Math"/>
                                <w:i/>
                                <w:sz w:val="20"/>
                              </w:rPr>
                            </m:ctrlPr>
                          </m:fPr>
                          <m:num>
                            <m:r>
                              <w:rPr>
                                <w:rFonts w:ascii="Cambria Math" w:hAnsi="Cambria Math"/>
                                <w:sz w:val="20"/>
                              </w:rPr>
                              <m:t>661</m:t>
                            </m:r>
                          </m:num>
                          <m:den>
                            <m:r>
                              <w:rPr>
                                <w:rFonts w:ascii="Cambria Math" w:hAnsi="Cambria Math"/>
                                <w:sz w:val="20"/>
                              </w:rPr>
                              <m:t>0.5</m:t>
                            </m:r>
                          </m:den>
                        </m:f>
                      </m:e>
                    </m:d>
                  </m:e>
                  <m:sup>
                    <m:r>
                      <w:rPr>
                        <w:rFonts w:ascii="Cambria Math" w:hAnsi="Cambria Math"/>
                        <w:sz w:val="20"/>
                      </w:rPr>
                      <m:t>2</m:t>
                    </m:r>
                  </m:sup>
                </m:sSup>
              </m:oMath>
            </m:oMathPara>
          </w:p>
          <w:p w:rsidR="00133084" w:rsidRPr="00F804D6" w:rsidRDefault="00133084" w:rsidP="00133084">
            <w:pPr>
              <w:pStyle w:val="ListParagraph"/>
              <w:ind w:left="1440"/>
              <w:rPr>
                <w:rFonts w:eastAsiaTheme="minorEastAsia"/>
                <w:i/>
                <w:sz w:val="20"/>
              </w:rPr>
            </w:pPr>
          </w:p>
          <w:p w:rsidR="00133084" w:rsidRDefault="00133084" w:rsidP="00133084">
            <w:pPr>
              <w:pStyle w:val="ListParagraph"/>
              <w:ind w:left="1440"/>
            </w:pPr>
            <m:oMathPara>
              <m:oMath>
                <m:r>
                  <w:rPr>
                    <w:rFonts w:ascii="Cambria Math" w:hAnsi="Cambria Math"/>
                    <w:sz w:val="20"/>
                  </w:rPr>
                  <m:t>f=17.7kHz to 3 dig.digits</m:t>
                </m:r>
              </m:oMath>
            </m:oMathPara>
          </w:p>
          <w:p w:rsidR="00133084" w:rsidRDefault="00133084" w:rsidP="00133084">
            <w:r>
              <w:t>ii)</w:t>
            </w:r>
          </w:p>
          <w:p w:rsidR="00133084" w:rsidRPr="00F804D6" w:rsidRDefault="00133084" w:rsidP="00133084">
            <w:pPr>
              <w:pStyle w:val="ListParagraph"/>
              <w:ind w:left="1440"/>
              <w:rPr>
                <w:i/>
                <w:sz w:val="20"/>
              </w:rPr>
            </w:pPr>
            <w:r w:rsidRPr="00F804D6">
              <w:rPr>
                <w:i/>
                <w:sz w:val="20"/>
              </w:rPr>
              <w:t>Using the phase lag equation:</w:t>
            </w:r>
          </w:p>
          <w:p w:rsidR="00133084" w:rsidRPr="00F804D6" w:rsidRDefault="00133084" w:rsidP="00133084">
            <w:pPr>
              <w:pStyle w:val="ListParagraph"/>
              <w:ind w:left="1440"/>
              <w:rPr>
                <w:rFonts w:eastAsiaTheme="minorEastAsia"/>
                <w:i/>
                <w:sz w:val="20"/>
              </w:rPr>
            </w:pPr>
            <m:oMathPara>
              <m:oMath>
                <m:r>
                  <w:rPr>
                    <w:rFonts w:ascii="Cambria Math" w:hAnsi="Cambria Math"/>
                    <w:sz w:val="20"/>
                  </w:rPr>
                  <m:t>θ=</m:t>
                </m:r>
                <m:f>
                  <m:fPr>
                    <m:ctrlPr>
                      <w:rPr>
                        <w:rFonts w:ascii="Cambria Math" w:hAnsi="Cambria Math"/>
                        <w:i/>
                        <w:sz w:val="20"/>
                      </w:rPr>
                    </m:ctrlPr>
                  </m:fPr>
                  <m:num>
                    <m:r>
                      <w:rPr>
                        <w:rFonts w:ascii="Cambria Math" w:hAnsi="Cambria Math"/>
                        <w:sz w:val="20"/>
                      </w:rPr>
                      <m:t>x</m:t>
                    </m:r>
                  </m:num>
                  <m:den>
                    <m:r>
                      <w:rPr>
                        <w:rFonts w:ascii="Cambria Math" w:hAnsi="Cambria Math"/>
                        <w:sz w:val="20"/>
                      </w:rPr>
                      <m:t>δ</m:t>
                    </m:r>
                  </m:den>
                </m:f>
                <m:r>
                  <w:rPr>
                    <w:rFonts w:ascii="Cambria Math" w:hAnsi="Cambria Math"/>
                    <w:sz w:val="20"/>
                  </w:rPr>
                  <m:t>×57.3</m:t>
                </m:r>
              </m:oMath>
            </m:oMathPara>
          </w:p>
          <w:p w:rsidR="00133084" w:rsidRPr="00F804D6" w:rsidRDefault="00133084" w:rsidP="00133084">
            <w:pPr>
              <w:pStyle w:val="ListParagraph"/>
              <w:ind w:left="1440"/>
              <w:rPr>
                <w:rFonts w:eastAsiaTheme="minorEastAsia"/>
                <w:i/>
                <w:sz w:val="20"/>
              </w:rPr>
            </w:pPr>
            <w:r w:rsidRPr="00F804D6">
              <w:rPr>
                <w:rFonts w:eastAsiaTheme="minorEastAsia"/>
                <w:i/>
                <w:sz w:val="20"/>
              </w:rPr>
              <w:t>At the</w:t>
            </w:r>
            <w:r>
              <w:rPr>
                <w:rFonts w:eastAsiaTheme="minorEastAsia"/>
                <w:i/>
                <w:sz w:val="20"/>
              </w:rPr>
              <w:t xml:space="preserve"> near surface there is</w:t>
            </w:r>
            <w:r w:rsidRPr="00F804D6">
              <w:rPr>
                <w:rFonts w:eastAsiaTheme="minorEastAsia"/>
                <w:i/>
                <w:sz w:val="20"/>
              </w:rPr>
              <w:t xml:space="preserve"> 0</w:t>
            </w:r>
            <w:r w:rsidRPr="00F804D6">
              <w:rPr>
                <w:rFonts w:eastAsiaTheme="minorEastAsia"/>
                <w:i/>
                <w:sz w:val="20"/>
                <w:vertAlign w:val="superscript"/>
              </w:rPr>
              <w:t>o</w:t>
            </w:r>
            <w:r w:rsidRPr="00F804D6">
              <w:rPr>
                <w:rFonts w:eastAsiaTheme="minorEastAsia"/>
                <w:i/>
                <w:sz w:val="20"/>
              </w:rPr>
              <w:t xml:space="preserve"> phase shift, since this is our reference.</w:t>
            </w:r>
          </w:p>
          <w:p w:rsidR="00133084" w:rsidRPr="00F804D6" w:rsidRDefault="00133084" w:rsidP="00133084">
            <w:pPr>
              <w:pStyle w:val="ListParagraph"/>
              <w:ind w:left="1440"/>
              <w:rPr>
                <w:rFonts w:eastAsiaTheme="minorEastAsia"/>
                <w:i/>
                <w:sz w:val="20"/>
              </w:rPr>
            </w:pPr>
            <w:r w:rsidRPr="00F804D6">
              <w:rPr>
                <w:rFonts w:eastAsiaTheme="minorEastAsia"/>
                <w:i/>
                <w:sz w:val="20"/>
              </w:rPr>
              <w:t>At 1mm (2 x δ):</w:t>
            </w:r>
          </w:p>
          <w:p w:rsidR="00133084" w:rsidRPr="00F804D6" w:rsidRDefault="00133084" w:rsidP="00133084">
            <w:pPr>
              <w:pStyle w:val="ListParagraph"/>
              <w:ind w:left="1440"/>
              <w:rPr>
                <w:rFonts w:eastAsiaTheme="minorEastAsia"/>
                <w:i/>
                <w:sz w:val="20"/>
              </w:rPr>
            </w:pPr>
            <m:oMathPara>
              <m:oMath>
                <m:r>
                  <w:rPr>
                    <w:rFonts w:ascii="Cambria Math" w:hAnsi="Cambria Math"/>
                    <w:sz w:val="20"/>
                  </w:rPr>
                  <m:t>θ=</m:t>
                </m:r>
                <m:f>
                  <m:fPr>
                    <m:ctrlPr>
                      <w:rPr>
                        <w:rFonts w:ascii="Cambria Math" w:hAnsi="Cambria Math"/>
                        <w:i/>
                        <w:sz w:val="20"/>
                      </w:rPr>
                    </m:ctrlPr>
                  </m:fPr>
                  <m:num>
                    <m:r>
                      <w:rPr>
                        <w:rFonts w:ascii="Cambria Math" w:hAnsi="Cambria Math"/>
                        <w:sz w:val="20"/>
                      </w:rPr>
                      <m:t>1</m:t>
                    </m:r>
                  </m:num>
                  <m:den>
                    <m:r>
                      <w:rPr>
                        <w:rFonts w:ascii="Cambria Math" w:hAnsi="Cambria Math"/>
                        <w:sz w:val="20"/>
                      </w:rPr>
                      <m:t>0.5</m:t>
                    </m:r>
                  </m:den>
                </m:f>
                <m:r>
                  <w:rPr>
                    <w:rFonts w:ascii="Cambria Math" w:hAnsi="Cambria Math"/>
                    <w:sz w:val="20"/>
                  </w:rPr>
                  <m:t>×57.3</m:t>
                </m:r>
              </m:oMath>
            </m:oMathPara>
          </w:p>
          <w:p w:rsidR="00133084" w:rsidRDefault="00133084" w:rsidP="00133084">
            <w:pPr>
              <w:pStyle w:val="ListParagraph"/>
              <w:ind w:left="1440"/>
              <w:rPr>
                <w:rFonts w:eastAsiaTheme="minorEastAsia"/>
                <w:i/>
                <w:sz w:val="20"/>
              </w:rPr>
            </w:pPr>
            <m:oMathPara>
              <m:oMath>
                <m:r>
                  <w:rPr>
                    <w:rFonts w:ascii="Cambria Math" w:hAnsi="Cambria Math"/>
                    <w:sz w:val="20"/>
                  </w:rPr>
                  <m:t>θ=</m:t>
                </m:r>
                <m:sSup>
                  <m:sSupPr>
                    <m:ctrlPr>
                      <w:rPr>
                        <w:rFonts w:ascii="Cambria Math" w:hAnsi="Cambria Math"/>
                        <w:i/>
                        <w:sz w:val="20"/>
                      </w:rPr>
                    </m:ctrlPr>
                  </m:sSupPr>
                  <m:e>
                    <m:r>
                      <w:rPr>
                        <w:rFonts w:ascii="Cambria Math" w:hAnsi="Cambria Math"/>
                        <w:sz w:val="20"/>
                      </w:rPr>
                      <m:t>114.6</m:t>
                    </m:r>
                  </m:e>
                  <m:sup>
                    <m:r>
                      <w:rPr>
                        <w:rFonts w:ascii="Cambria Math" w:hAnsi="Cambria Math"/>
                        <w:sz w:val="20"/>
                      </w:rPr>
                      <m:t>o</m:t>
                    </m:r>
                  </m:sup>
                </m:sSup>
              </m:oMath>
            </m:oMathPara>
          </w:p>
          <w:p w:rsidR="00133084" w:rsidRPr="00F804D6" w:rsidRDefault="00133084" w:rsidP="00133084">
            <w:pPr>
              <w:pStyle w:val="ListParagraph"/>
              <w:ind w:left="1440"/>
              <w:rPr>
                <w:rFonts w:eastAsiaTheme="minorEastAsia"/>
                <w:i/>
                <w:sz w:val="20"/>
              </w:rPr>
            </w:pPr>
          </w:p>
          <w:p w:rsidR="00133084" w:rsidRDefault="00133084" w:rsidP="00133084">
            <w:pPr>
              <w:pStyle w:val="ListParagraph"/>
              <w:ind w:left="1440"/>
              <w:rPr>
                <w:rFonts w:eastAsiaTheme="minorEastAsia"/>
                <w:i/>
                <w:sz w:val="20"/>
              </w:rPr>
            </w:pPr>
            <w:r>
              <w:rPr>
                <w:rFonts w:eastAsiaTheme="minorEastAsia"/>
                <w:i/>
                <w:sz w:val="20"/>
              </w:rPr>
              <w:t>Therefore the maximum phase difference between the near and far surface eddy currents would be 114.6</w:t>
            </w:r>
            <w:r>
              <w:rPr>
                <w:rFonts w:eastAsiaTheme="minorEastAsia"/>
                <w:i/>
                <w:sz w:val="20"/>
                <w:vertAlign w:val="superscript"/>
              </w:rPr>
              <w:t>o</w:t>
            </w:r>
            <w:r>
              <w:rPr>
                <w:rFonts w:eastAsiaTheme="minorEastAsia"/>
                <w:i/>
                <w:sz w:val="20"/>
              </w:rPr>
              <w:t>.</w:t>
            </w:r>
          </w:p>
          <w:p w:rsidR="00133084" w:rsidRDefault="00133084" w:rsidP="00133084">
            <w:r>
              <w:t>iii)</w:t>
            </w:r>
          </w:p>
          <w:p w:rsidR="00133084" w:rsidRPr="00745D51" w:rsidRDefault="00133084" w:rsidP="00133084">
            <w:pPr>
              <w:pStyle w:val="ListParagraph"/>
              <w:ind w:left="1440"/>
              <w:rPr>
                <w:i/>
                <w:sz w:val="20"/>
              </w:rPr>
            </w:pPr>
            <w:r w:rsidRPr="00745D51">
              <w:rPr>
                <w:i/>
                <w:sz w:val="20"/>
              </w:rPr>
              <w:t>Using Test Frequency, f = 2 x 17.7kHz = 35.4kHz,</w:t>
            </w:r>
          </w:p>
          <w:p w:rsidR="00133084" w:rsidRPr="00745D51" w:rsidRDefault="00133084" w:rsidP="00133084">
            <w:pPr>
              <w:pStyle w:val="ListParagraph"/>
              <w:ind w:left="1440"/>
              <w:rPr>
                <w:i/>
                <w:sz w:val="20"/>
              </w:rPr>
            </w:pPr>
          </w:p>
          <w:p w:rsidR="00133084" w:rsidRPr="00745D51" w:rsidRDefault="00C002B9" w:rsidP="00133084">
            <w:pPr>
              <w:pStyle w:val="ListParagraph"/>
              <w:ind w:left="1440"/>
              <w:rPr>
                <w:rFonts w:eastAsiaTheme="minorEastAsia"/>
                <w:i/>
                <w:sz w:val="20"/>
              </w:rPr>
            </w:pPr>
            <m:oMathPara>
              <m:oMath>
                <m:sSub>
                  <m:sSubPr>
                    <m:ctrlPr>
                      <w:rPr>
                        <w:rFonts w:ascii="Cambria Math" w:hAnsi="Cambria Math"/>
                        <w:i/>
                        <w:sz w:val="20"/>
                      </w:rPr>
                    </m:ctrlPr>
                  </m:sSubPr>
                  <m:e>
                    <m:r>
                      <w:rPr>
                        <w:rFonts w:ascii="Cambria Math" w:hAnsi="Cambria Math"/>
                        <w:sz w:val="20"/>
                      </w:rPr>
                      <m:t>δ</m:t>
                    </m:r>
                  </m:e>
                  <m:sub>
                    <m:r>
                      <w:rPr>
                        <w:rFonts w:ascii="Cambria Math" w:hAnsi="Cambria Math"/>
                        <w:sz w:val="20"/>
                      </w:rPr>
                      <m:t>mm</m:t>
                    </m:r>
                  </m:sub>
                </m:sSub>
                <m:r>
                  <w:rPr>
                    <w:rFonts w:ascii="Cambria Math" w:hAnsi="Cambria Math"/>
                    <w:sz w:val="20"/>
                  </w:rPr>
                  <m:t>=</m:t>
                </m:r>
                <m:f>
                  <m:fPr>
                    <m:ctrlPr>
                      <w:rPr>
                        <w:rFonts w:ascii="Cambria Math" w:hAnsi="Cambria Math"/>
                        <w:i/>
                        <w:sz w:val="20"/>
                      </w:rPr>
                    </m:ctrlPr>
                  </m:fPr>
                  <m:num>
                    <m:r>
                      <w:rPr>
                        <w:rFonts w:ascii="Cambria Math" w:hAnsi="Cambria Math"/>
                        <w:sz w:val="20"/>
                      </w:rPr>
                      <m:t>661</m:t>
                    </m:r>
                  </m:num>
                  <m:den>
                    <m:rad>
                      <m:radPr>
                        <m:degHide m:val="1"/>
                        <m:ctrlPr>
                          <w:rPr>
                            <w:rFonts w:ascii="Cambria Math" w:hAnsi="Cambria Math"/>
                            <w:i/>
                            <w:sz w:val="20"/>
                          </w:rPr>
                        </m:ctrlPr>
                      </m:radPr>
                      <m:deg/>
                      <m:e>
                        <m:r>
                          <w:rPr>
                            <w:rFonts w:ascii="Cambria Math" w:hAnsi="Cambria Math"/>
                            <w:sz w:val="20"/>
                          </w:rPr>
                          <m:t>f</m:t>
                        </m:r>
                        <m:sSub>
                          <m:sSubPr>
                            <m:ctrlPr>
                              <w:rPr>
                                <w:rFonts w:ascii="Cambria Math" w:hAnsi="Cambria Math"/>
                                <w:i/>
                                <w:sz w:val="20"/>
                              </w:rPr>
                            </m:ctrlPr>
                          </m:sSubPr>
                          <m:e>
                            <m:r>
                              <w:rPr>
                                <w:rFonts w:ascii="Cambria Math" w:hAnsi="Cambria Math"/>
                                <w:sz w:val="20"/>
                              </w:rPr>
                              <m:t>µ</m:t>
                            </m:r>
                          </m:e>
                          <m:sub>
                            <m:r>
                              <w:rPr>
                                <w:rFonts w:ascii="Cambria Math" w:hAnsi="Cambria Math"/>
                                <w:sz w:val="20"/>
                              </w:rPr>
                              <m:t>r</m:t>
                            </m:r>
                          </m:sub>
                        </m:sSub>
                        <m:r>
                          <w:rPr>
                            <w:rFonts w:ascii="Cambria Math" w:hAnsi="Cambria Math"/>
                            <w:sz w:val="20"/>
                          </w:rPr>
                          <m:t>σ</m:t>
                        </m:r>
                      </m:e>
                    </m:rad>
                  </m:den>
                </m:f>
              </m:oMath>
            </m:oMathPara>
          </w:p>
          <w:p w:rsidR="00133084" w:rsidRPr="00745D51" w:rsidRDefault="00C002B9" w:rsidP="00133084">
            <w:pPr>
              <w:pStyle w:val="ListParagraph"/>
              <w:ind w:left="1440"/>
              <w:rPr>
                <w:rFonts w:eastAsiaTheme="minorEastAsia"/>
                <w:i/>
                <w:sz w:val="20"/>
              </w:rPr>
            </w:pPr>
            <m:oMathPara>
              <m:oMath>
                <m:sSub>
                  <m:sSubPr>
                    <m:ctrlPr>
                      <w:rPr>
                        <w:rFonts w:ascii="Cambria Math" w:hAnsi="Cambria Math"/>
                        <w:i/>
                        <w:sz w:val="20"/>
                      </w:rPr>
                    </m:ctrlPr>
                  </m:sSubPr>
                  <m:e>
                    <m:r>
                      <w:rPr>
                        <w:rFonts w:ascii="Cambria Math" w:hAnsi="Cambria Math"/>
                        <w:sz w:val="20"/>
                      </w:rPr>
                      <m:t>δ</m:t>
                    </m:r>
                  </m:e>
                  <m:sub>
                    <m:r>
                      <w:rPr>
                        <w:rFonts w:ascii="Cambria Math" w:hAnsi="Cambria Math"/>
                        <w:sz w:val="20"/>
                      </w:rPr>
                      <m:t>mm</m:t>
                    </m:r>
                  </m:sub>
                </m:sSub>
                <m:r>
                  <w:rPr>
                    <w:rFonts w:ascii="Cambria Math" w:hAnsi="Cambria Math"/>
                    <w:sz w:val="20"/>
                  </w:rPr>
                  <m:t>=</m:t>
                </m:r>
                <m:f>
                  <m:fPr>
                    <m:ctrlPr>
                      <w:rPr>
                        <w:rFonts w:ascii="Cambria Math" w:hAnsi="Cambria Math"/>
                        <w:i/>
                        <w:sz w:val="20"/>
                      </w:rPr>
                    </m:ctrlPr>
                  </m:fPr>
                  <m:num>
                    <m:r>
                      <w:rPr>
                        <w:rFonts w:ascii="Cambria Math" w:hAnsi="Cambria Math"/>
                        <w:sz w:val="20"/>
                      </w:rPr>
                      <m:t>661</m:t>
                    </m:r>
                  </m:num>
                  <m:den>
                    <m:rad>
                      <m:radPr>
                        <m:degHide m:val="1"/>
                        <m:ctrlPr>
                          <w:rPr>
                            <w:rFonts w:ascii="Cambria Math" w:hAnsi="Cambria Math"/>
                            <w:i/>
                            <w:sz w:val="20"/>
                          </w:rPr>
                        </m:ctrlPr>
                      </m:radPr>
                      <m:deg/>
                      <m:e>
                        <m:r>
                          <w:rPr>
                            <w:rFonts w:ascii="Cambria Math" w:hAnsi="Cambria Math"/>
                            <w:sz w:val="20"/>
                          </w:rPr>
                          <m:t>(35.4×</m:t>
                        </m:r>
                        <m:sSup>
                          <m:sSupPr>
                            <m:ctrlPr>
                              <w:rPr>
                                <w:rFonts w:ascii="Cambria Math" w:hAnsi="Cambria Math"/>
                                <w:i/>
                                <w:sz w:val="20"/>
                              </w:rPr>
                            </m:ctrlPr>
                          </m:sSupPr>
                          <m:e>
                            <m:r>
                              <w:rPr>
                                <w:rFonts w:ascii="Cambria Math" w:hAnsi="Cambria Math"/>
                                <w:sz w:val="20"/>
                              </w:rPr>
                              <m:t>10</m:t>
                            </m:r>
                          </m:e>
                          <m:sup>
                            <m:r>
                              <w:rPr>
                                <w:rFonts w:ascii="Cambria Math" w:hAnsi="Cambria Math"/>
                                <w:sz w:val="20"/>
                              </w:rPr>
                              <m:t>3</m:t>
                            </m:r>
                          </m:sup>
                        </m:sSup>
                        <m:r>
                          <w:rPr>
                            <w:rFonts w:ascii="Cambria Math" w:hAnsi="Cambria Math"/>
                            <w:sz w:val="20"/>
                          </w:rPr>
                          <m:t>)×98.6</m:t>
                        </m:r>
                      </m:e>
                    </m:rad>
                  </m:den>
                </m:f>
              </m:oMath>
            </m:oMathPara>
          </w:p>
          <w:p w:rsidR="00133084" w:rsidRPr="00745D51" w:rsidRDefault="00C002B9" w:rsidP="00133084">
            <w:pPr>
              <w:pStyle w:val="ListParagraph"/>
              <w:ind w:left="1440"/>
              <w:rPr>
                <w:rFonts w:eastAsiaTheme="minorEastAsia"/>
                <w:i/>
                <w:sz w:val="20"/>
              </w:rPr>
            </w:pPr>
            <m:oMathPara>
              <m:oMath>
                <m:sSub>
                  <m:sSubPr>
                    <m:ctrlPr>
                      <w:rPr>
                        <w:rFonts w:ascii="Cambria Math" w:hAnsi="Cambria Math"/>
                        <w:i/>
                        <w:sz w:val="20"/>
                      </w:rPr>
                    </m:ctrlPr>
                  </m:sSubPr>
                  <m:e>
                    <m:r>
                      <w:rPr>
                        <w:rFonts w:ascii="Cambria Math" w:hAnsi="Cambria Math"/>
                        <w:sz w:val="20"/>
                      </w:rPr>
                      <m:t>δ</m:t>
                    </m:r>
                  </m:e>
                  <m:sub>
                    <m:r>
                      <w:rPr>
                        <w:rFonts w:ascii="Cambria Math" w:hAnsi="Cambria Math"/>
                        <w:sz w:val="20"/>
                      </w:rPr>
                      <m:t>mm</m:t>
                    </m:r>
                  </m:sub>
                </m:sSub>
                <m:r>
                  <w:rPr>
                    <w:rFonts w:ascii="Cambria Math" w:hAnsi="Cambria Math"/>
                    <w:sz w:val="20"/>
                  </w:rPr>
                  <m:t>=0.354mm to 3 dec.places</m:t>
                </m:r>
              </m:oMath>
            </m:oMathPara>
          </w:p>
          <w:p w:rsidR="00133084" w:rsidRPr="00745D51" w:rsidRDefault="00133084" w:rsidP="00133084">
            <w:pPr>
              <w:pStyle w:val="ListParagraph"/>
              <w:ind w:left="1440"/>
              <w:rPr>
                <w:rFonts w:eastAsiaTheme="minorEastAsia"/>
                <w:i/>
                <w:sz w:val="20"/>
              </w:rPr>
            </w:pPr>
          </w:p>
          <w:p w:rsidR="00133084" w:rsidRPr="00745D51" w:rsidRDefault="00133084" w:rsidP="00133084">
            <w:pPr>
              <w:pStyle w:val="ListParagraph"/>
              <w:ind w:left="1440"/>
              <w:rPr>
                <w:rFonts w:eastAsiaTheme="minorEastAsia"/>
                <w:sz w:val="20"/>
              </w:rPr>
            </w:pPr>
            <w:r w:rsidRPr="00745D51">
              <w:rPr>
                <w:rFonts w:eastAsiaTheme="minorEastAsia"/>
                <w:i/>
                <w:sz w:val="20"/>
              </w:rPr>
              <w:t>At the near surface there is still a 0</w:t>
            </w:r>
            <w:r w:rsidRPr="00745D51">
              <w:rPr>
                <w:rFonts w:eastAsiaTheme="minorEastAsia"/>
                <w:i/>
                <w:sz w:val="20"/>
                <w:vertAlign w:val="superscript"/>
              </w:rPr>
              <w:t>o</w:t>
            </w:r>
            <w:r w:rsidRPr="00745D51">
              <w:rPr>
                <w:rFonts w:eastAsiaTheme="minorEastAsia"/>
                <w:i/>
                <w:sz w:val="20"/>
              </w:rPr>
              <w:t>phase shift, however, at the far surface the phase shift is calculated as:</w:t>
            </w:r>
            <w:r w:rsidRPr="00745D51">
              <w:rPr>
                <w:rFonts w:ascii="Cambria Math" w:hAnsi="Cambria Math"/>
                <w:sz w:val="20"/>
              </w:rPr>
              <w:br/>
            </w:r>
            <m:oMathPara>
              <m:oMath>
                <m:r>
                  <w:rPr>
                    <w:rFonts w:ascii="Cambria Math" w:hAnsi="Cambria Math"/>
                    <w:sz w:val="20"/>
                  </w:rPr>
                  <m:t>θ=</m:t>
                </m:r>
                <m:f>
                  <m:fPr>
                    <m:ctrlPr>
                      <w:rPr>
                        <w:rFonts w:ascii="Cambria Math" w:hAnsi="Cambria Math"/>
                        <w:i/>
                        <w:sz w:val="20"/>
                      </w:rPr>
                    </m:ctrlPr>
                  </m:fPr>
                  <m:num>
                    <m:r>
                      <w:rPr>
                        <w:rFonts w:ascii="Cambria Math" w:hAnsi="Cambria Math"/>
                        <w:sz w:val="20"/>
                      </w:rPr>
                      <m:t>1</m:t>
                    </m:r>
                  </m:num>
                  <m:den>
                    <m:r>
                      <w:rPr>
                        <w:rFonts w:ascii="Cambria Math" w:hAnsi="Cambria Math"/>
                        <w:sz w:val="20"/>
                      </w:rPr>
                      <m:t>0.354</m:t>
                    </m:r>
                  </m:den>
                </m:f>
                <m:r>
                  <w:rPr>
                    <w:rFonts w:ascii="Cambria Math" w:hAnsi="Cambria Math"/>
                    <w:sz w:val="20"/>
                  </w:rPr>
                  <m:t>×57.3</m:t>
                </m:r>
              </m:oMath>
            </m:oMathPara>
          </w:p>
          <w:p w:rsidR="00133084" w:rsidRPr="00745D51" w:rsidRDefault="00133084" w:rsidP="00133084">
            <w:pPr>
              <w:pStyle w:val="ListParagraph"/>
              <w:ind w:left="1440"/>
              <w:rPr>
                <w:rFonts w:eastAsiaTheme="minorEastAsia"/>
                <w:sz w:val="20"/>
              </w:rPr>
            </w:pPr>
            <m:oMathPara>
              <m:oMath>
                <m:r>
                  <w:rPr>
                    <w:rFonts w:ascii="Cambria Math" w:hAnsi="Cambria Math"/>
                    <w:sz w:val="20"/>
                  </w:rPr>
                  <m:t>θ=</m:t>
                </m:r>
                <m:sSup>
                  <m:sSupPr>
                    <m:ctrlPr>
                      <w:rPr>
                        <w:rFonts w:ascii="Cambria Math" w:hAnsi="Cambria Math"/>
                        <w:i/>
                        <w:sz w:val="20"/>
                      </w:rPr>
                    </m:ctrlPr>
                  </m:sSupPr>
                  <m:e>
                    <m:r>
                      <w:rPr>
                        <w:rFonts w:ascii="Cambria Math" w:hAnsi="Cambria Math"/>
                        <w:sz w:val="20"/>
                      </w:rPr>
                      <m:t>162</m:t>
                    </m:r>
                  </m:e>
                  <m:sup>
                    <m:r>
                      <w:rPr>
                        <w:rFonts w:ascii="Cambria Math" w:hAnsi="Cambria Math"/>
                        <w:sz w:val="20"/>
                      </w:rPr>
                      <m:t>o</m:t>
                    </m:r>
                  </m:sup>
                </m:sSup>
                <m:r>
                  <w:rPr>
                    <w:rFonts w:ascii="Cambria Math" w:hAnsi="Cambria Math"/>
                    <w:sz w:val="20"/>
                  </w:rPr>
                  <m:t xml:space="preserve"> to 3 sig.figures</m:t>
                </m:r>
              </m:oMath>
            </m:oMathPara>
          </w:p>
          <w:p w:rsidR="00133084" w:rsidRPr="00745D51" w:rsidRDefault="00133084" w:rsidP="00133084">
            <w:pPr>
              <w:pStyle w:val="ListParagraph"/>
              <w:ind w:left="1440"/>
              <w:rPr>
                <w:rFonts w:eastAsiaTheme="minorEastAsia"/>
                <w:sz w:val="20"/>
              </w:rPr>
            </w:pPr>
          </w:p>
          <w:p w:rsidR="00133084" w:rsidRPr="00745D51" w:rsidRDefault="00133084" w:rsidP="00F07AE3">
            <w:pPr>
              <w:pStyle w:val="ListParagraph"/>
              <w:ind w:left="1440"/>
              <w:rPr>
                <w:rFonts w:eastAsiaTheme="minorEastAsia"/>
                <w:i/>
                <w:sz w:val="20"/>
              </w:rPr>
            </w:pPr>
            <w:r w:rsidRPr="00745D51">
              <w:rPr>
                <w:rFonts w:eastAsiaTheme="minorEastAsia"/>
                <w:i/>
                <w:sz w:val="20"/>
              </w:rPr>
              <w:t>By increasing the test frequency by 2, we have increased the phase difference from 114.6</w:t>
            </w:r>
            <w:r w:rsidRPr="00745D51">
              <w:rPr>
                <w:rFonts w:eastAsiaTheme="minorEastAsia"/>
                <w:i/>
                <w:sz w:val="20"/>
                <w:vertAlign w:val="superscript"/>
              </w:rPr>
              <w:t>o</w:t>
            </w:r>
            <w:r w:rsidRPr="00745D51">
              <w:rPr>
                <w:rFonts w:eastAsiaTheme="minorEastAsia"/>
                <w:i/>
                <w:sz w:val="20"/>
              </w:rPr>
              <w:t xml:space="preserve"> to 162</w:t>
            </w:r>
            <w:r w:rsidRPr="00745D51">
              <w:rPr>
                <w:rFonts w:eastAsiaTheme="minorEastAsia"/>
                <w:i/>
                <w:sz w:val="20"/>
                <w:vertAlign w:val="superscript"/>
              </w:rPr>
              <w:t>o</w:t>
            </w:r>
            <w:r w:rsidRPr="00745D51">
              <w:rPr>
                <w:rFonts w:eastAsiaTheme="minorEastAsia"/>
                <w:i/>
                <w:sz w:val="20"/>
              </w:rPr>
              <w:t>.  However, by reducing the depth of penetration from 0.5mm to 0.354mm we have reduced our sensitivity to far surface indications exponentially.</w:t>
            </w:r>
          </w:p>
          <w:p w:rsidR="00133084" w:rsidRDefault="00133084" w:rsidP="00F07AE3">
            <w:pPr>
              <w:pStyle w:val="ListParagraph"/>
              <w:ind w:left="1440"/>
              <w:rPr>
                <w:rFonts w:eastAsiaTheme="minorEastAsia"/>
                <w:i/>
                <w:sz w:val="20"/>
              </w:rPr>
            </w:pPr>
          </w:p>
          <w:p w:rsidR="00133084" w:rsidRDefault="00133084" w:rsidP="00F07AE3">
            <w:pPr>
              <w:pStyle w:val="ListParagraph"/>
              <w:ind w:left="1440"/>
              <w:rPr>
                <w:rFonts w:eastAsiaTheme="minorEastAsia"/>
                <w:i/>
                <w:sz w:val="20"/>
              </w:rPr>
            </w:pPr>
            <w:r>
              <w:rPr>
                <w:rFonts w:eastAsiaTheme="minorEastAsia"/>
                <w:i/>
                <w:sz w:val="20"/>
              </w:rPr>
              <w:t>For example, for the first case where we have a test frequency of 17.7kHz, and δ=0.5mm. Then 1mm is 2 x δ, and therefore the eddy currents at this depth are approx. 13.5% of those at the surface.</w:t>
            </w:r>
          </w:p>
          <w:p w:rsidR="00133084" w:rsidRDefault="00133084" w:rsidP="00F07AE3">
            <w:pPr>
              <w:pStyle w:val="ListParagraph"/>
              <w:ind w:left="1440"/>
              <w:rPr>
                <w:rFonts w:eastAsiaTheme="minorEastAsia"/>
                <w:i/>
                <w:sz w:val="20"/>
              </w:rPr>
            </w:pPr>
          </w:p>
          <w:p w:rsidR="00133084" w:rsidRPr="003C0AE8" w:rsidRDefault="00133084" w:rsidP="00F07AE3">
            <w:pPr>
              <w:pStyle w:val="ListParagraph"/>
              <w:ind w:left="1440"/>
            </w:pPr>
            <w:r>
              <w:rPr>
                <w:rFonts w:eastAsiaTheme="minorEastAsia"/>
                <w:i/>
                <w:sz w:val="20"/>
              </w:rPr>
              <w:t>In the second case, where the test frequency is 35.4kHz, we have δ=0.354mm.  This very roughly ⅓ x 1mm, and therefore the eddy currents at the far surface are approx. 5% of those at the surface.</w:t>
            </w:r>
          </w:p>
          <w:p w:rsidR="00133084" w:rsidRDefault="00133084" w:rsidP="00133084"/>
        </w:tc>
        <w:tc>
          <w:tcPr>
            <w:tcW w:w="1175" w:type="dxa"/>
            <w:tcBorders>
              <w:top w:val="single" w:sz="4" w:space="0" w:color="000000"/>
              <w:left w:val="single" w:sz="4" w:space="0" w:color="000000"/>
              <w:bottom w:val="single" w:sz="4" w:space="0" w:color="000000"/>
              <w:right w:val="single" w:sz="4" w:space="0" w:color="000000"/>
            </w:tcBorders>
            <w:shd w:val="clear" w:color="auto" w:fill="auto"/>
          </w:tcPr>
          <w:p w:rsidR="00133084" w:rsidRDefault="008972B7">
            <w:pPr>
              <w:jc w:val="both"/>
              <w:rPr>
                <w:sz w:val="24"/>
              </w:rPr>
            </w:pPr>
            <w:r>
              <w:rPr>
                <w:sz w:val="24"/>
              </w:rPr>
              <w:lastRenderedPageBreak/>
              <w:t>10</w:t>
            </w:r>
          </w:p>
        </w:tc>
      </w:tr>
      <w:tr w:rsidR="00133084" w:rsidTr="00AC6C26">
        <w:trPr>
          <w:trHeight w:val="9449"/>
        </w:trPr>
        <w:tc>
          <w:tcPr>
            <w:tcW w:w="1188" w:type="dxa"/>
            <w:tcBorders>
              <w:top w:val="single" w:sz="4" w:space="0" w:color="000000"/>
              <w:left w:val="single" w:sz="4" w:space="0" w:color="000000"/>
              <w:bottom w:val="single" w:sz="4" w:space="0" w:color="000000"/>
            </w:tcBorders>
            <w:shd w:val="clear" w:color="auto" w:fill="auto"/>
          </w:tcPr>
          <w:p w:rsidR="00133084" w:rsidRDefault="00133084">
            <w:pPr>
              <w:rPr>
                <w:sz w:val="24"/>
              </w:rPr>
            </w:pPr>
            <w:r>
              <w:rPr>
                <w:sz w:val="24"/>
              </w:rPr>
              <w:lastRenderedPageBreak/>
              <w:t>4</w:t>
            </w:r>
          </w:p>
        </w:tc>
        <w:tc>
          <w:tcPr>
            <w:tcW w:w="8370" w:type="dxa"/>
            <w:tcBorders>
              <w:top w:val="single" w:sz="4" w:space="0" w:color="000000"/>
              <w:left w:val="single" w:sz="4" w:space="0" w:color="000000"/>
              <w:bottom w:val="single" w:sz="4" w:space="0" w:color="000000"/>
            </w:tcBorders>
            <w:shd w:val="clear" w:color="auto" w:fill="auto"/>
          </w:tcPr>
          <w:p w:rsidR="00133084" w:rsidRDefault="0046380B" w:rsidP="00133084">
            <w:r w:rsidRPr="0046380B">
              <w:rPr>
                <w:noProof/>
                <w:lang w:eastAsia="en-GB"/>
              </w:rPr>
              <w:drawing>
                <wp:inline distT="0" distB="0" distL="0" distR="0">
                  <wp:extent cx="5041900" cy="6743700"/>
                  <wp:effectExtent l="0" t="0" r="6350" b="0"/>
                  <wp:docPr id="1" name="Picture 1" descr="C:\Users\fad-pc\AppData\Local\Microsoft\Windows\Temporary Internet Files\Content.Outlook\JKXSM4ED\SKMBT_C28016052316410_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d-pc\AppData\Local\Microsoft\Windows\Temporary Internet Files\Content.Outlook\JKXSM4ED\SKMBT_C28016052316410_0001.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5348"/>
                          <a:stretch/>
                        </pic:blipFill>
                        <pic:spPr bwMode="auto">
                          <a:xfrm>
                            <a:off x="0" y="0"/>
                            <a:ext cx="5047602" cy="6751327"/>
                          </a:xfrm>
                          <a:prstGeom prst="rect">
                            <a:avLst/>
                          </a:prstGeom>
                          <a:noFill/>
                          <a:ln>
                            <a:noFill/>
                          </a:ln>
                          <a:extLst>
                            <a:ext uri="{53640926-AAD7-44D8-BBD7-CCE9431645EC}">
                              <a14:shadowObscured xmlns:a14="http://schemas.microsoft.com/office/drawing/2010/main"/>
                            </a:ext>
                          </a:extLst>
                        </pic:spPr>
                      </pic:pic>
                    </a:graphicData>
                  </a:graphic>
                </wp:inline>
              </w:drawing>
            </w:r>
          </w:p>
          <w:p w:rsidR="0046380B" w:rsidRDefault="0046380B" w:rsidP="00133084"/>
        </w:tc>
        <w:tc>
          <w:tcPr>
            <w:tcW w:w="1175" w:type="dxa"/>
            <w:tcBorders>
              <w:top w:val="single" w:sz="4" w:space="0" w:color="000000"/>
              <w:left w:val="single" w:sz="4" w:space="0" w:color="000000"/>
              <w:bottom w:val="single" w:sz="4" w:space="0" w:color="000000"/>
              <w:right w:val="single" w:sz="4" w:space="0" w:color="000000"/>
            </w:tcBorders>
            <w:shd w:val="clear" w:color="auto" w:fill="auto"/>
          </w:tcPr>
          <w:p w:rsidR="00133084" w:rsidRDefault="008972B7">
            <w:pPr>
              <w:jc w:val="both"/>
              <w:rPr>
                <w:sz w:val="24"/>
              </w:rPr>
            </w:pPr>
            <w:r>
              <w:rPr>
                <w:sz w:val="24"/>
              </w:rPr>
              <w:t>10</w:t>
            </w:r>
          </w:p>
        </w:tc>
      </w:tr>
      <w:tr w:rsidR="00133084" w:rsidTr="00AC6C26">
        <w:trPr>
          <w:trHeight w:val="9449"/>
        </w:trPr>
        <w:tc>
          <w:tcPr>
            <w:tcW w:w="1188" w:type="dxa"/>
            <w:tcBorders>
              <w:top w:val="single" w:sz="4" w:space="0" w:color="000000"/>
              <w:left w:val="single" w:sz="4" w:space="0" w:color="000000"/>
              <w:bottom w:val="single" w:sz="4" w:space="0" w:color="000000"/>
            </w:tcBorders>
            <w:shd w:val="clear" w:color="auto" w:fill="auto"/>
          </w:tcPr>
          <w:p w:rsidR="00133084" w:rsidRDefault="00133084">
            <w:pPr>
              <w:rPr>
                <w:sz w:val="24"/>
              </w:rPr>
            </w:pPr>
            <w:r>
              <w:rPr>
                <w:sz w:val="24"/>
              </w:rPr>
              <w:lastRenderedPageBreak/>
              <w:t>5</w:t>
            </w:r>
          </w:p>
        </w:tc>
        <w:tc>
          <w:tcPr>
            <w:tcW w:w="8370" w:type="dxa"/>
            <w:tcBorders>
              <w:top w:val="single" w:sz="4" w:space="0" w:color="000000"/>
              <w:left w:val="single" w:sz="4" w:space="0" w:color="000000"/>
              <w:bottom w:val="single" w:sz="4" w:space="0" w:color="000000"/>
            </w:tcBorders>
            <w:shd w:val="clear" w:color="auto" w:fill="auto"/>
          </w:tcPr>
          <w:p w:rsidR="00133084" w:rsidRDefault="0046380B" w:rsidP="00133084">
            <w:r w:rsidRPr="0046380B">
              <w:rPr>
                <w:noProof/>
                <w:lang w:eastAsia="en-GB"/>
              </w:rPr>
              <w:drawing>
                <wp:inline distT="0" distB="0" distL="0" distR="0">
                  <wp:extent cx="3905250" cy="5217980"/>
                  <wp:effectExtent l="0" t="0" r="0" b="1905"/>
                  <wp:docPr id="2" name="Picture 2" descr="C:\Users\fad-pc\AppData\Local\Microsoft\Windows\Temporary Internet Files\Content.Outlook\JKXSM4ED\SKMBT_C28016052316410_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ad-pc\AppData\Local\Microsoft\Windows\Temporary Internet Files\Content.Outlook\JKXSM4ED\SKMBT_C28016052316410_0002.jp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5446"/>
                          <a:stretch/>
                        </pic:blipFill>
                        <pic:spPr bwMode="auto">
                          <a:xfrm>
                            <a:off x="0" y="0"/>
                            <a:ext cx="3916412" cy="5232895"/>
                          </a:xfrm>
                          <a:prstGeom prst="rect">
                            <a:avLst/>
                          </a:prstGeom>
                          <a:noFill/>
                          <a:ln>
                            <a:noFill/>
                          </a:ln>
                          <a:extLst>
                            <a:ext uri="{53640926-AAD7-44D8-BBD7-CCE9431645EC}">
                              <a14:shadowObscured xmlns:a14="http://schemas.microsoft.com/office/drawing/2010/main"/>
                            </a:ext>
                          </a:extLst>
                        </pic:spPr>
                      </pic:pic>
                    </a:graphicData>
                  </a:graphic>
                </wp:inline>
              </w:drawing>
            </w:r>
          </w:p>
          <w:p w:rsidR="0046380B" w:rsidRDefault="0046380B" w:rsidP="00133084"/>
          <w:p w:rsidR="0046380B" w:rsidRDefault="0046380B" w:rsidP="00133084">
            <w:r w:rsidRPr="0046380B">
              <w:rPr>
                <w:noProof/>
                <w:lang w:eastAsia="en-GB"/>
              </w:rPr>
              <w:drawing>
                <wp:inline distT="0" distB="0" distL="0" distR="0">
                  <wp:extent cx="3882390" cy="3633903"/>
                  <wp:effectExtent l="0" t="0" r="3810" b="5080"/>
                  <wp:docPr id="3" name="Picture 3" descr="C:\Users\fad-pc\AppData\Local\Microsoft\Windows\Temporary Internet Files\Content.Outlook\JKXSM4ED\SKMBT_C28016052316410_0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ad-pc\AppData\Local\Microsoft\Windows\Temporary Internet Files\Content.Outlook\JKXSM4ED\SKMBT_C28016052316410_0003.jp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4862" b="28902"/>
                          <a:stretch/>
                        </pic:blipFill>
                        <pic:spPr bwMode="auto">
                          <a:xfrm>
                            <a:off x="0" y="0"/>
                            <a:ext cx="3889351" cy="3640418"/>
                          </a:xfrm>
                          <a:prstGeom prst="rect">
                            <a:avLst/>
                          </a:prstGeom>
                          <a:noFill/>
                          <a:ln>
                            <a:noFill/>
                          </a:ln>
                          <a:extLst>
                            <a:ext uri="{53640926-AAD7-44D8-BBD7-CCE9431645EC}">
                              <a14:shadowObscured xmlns:a14="http://schemas.microsoft.com/office/drawing/2010/main"/>
                            </a:ext>
                          </a:extLst>
                        </pic:spPr>
                      </pic:pic>
                    </a:graphicData>
                  </a:graphic>
                </wp:inline>
              </w:drawing>
            </w:r>
          </w:p>
          <w:p w:rsidR="0046380B" w:rsidRDefault="0046380B" w:rsidP="00133084"/>
        </w:tc>
        <w:tc>
          <w:tcPr>
            <w:tcW w:w="1175" w:type="dxa"/>
            <w:tcBorders>
              <w:top w:val="single" w:sz="4" w:space="0" w:color="000000"/>
              <w:left w:val="single" w:sz="4" w:space="0" w:color="000000"/>
              <w:bottom w:val="single" w:sz="4" w:space="0" w:color="000000"/>
              <w:right w:val="single" w:sz="4" w:space="0" w:color="000000"/>
            </w:tcBorders>
            <w:shd w:val="clear" w:color="auto" w:fill="auto"/>
          </w:tcPr>
          <w:p w:rsidR="00133084" w:rsidRDefault="008972B7">
            <w:pPr>
              <w:jc w:val="both"/>
              <w:rPr>
                <w:sz w:val="24"/>
              </w:rPr>
            </w:pPr>
            <w:r>
              <w:rPr>
                <w:sz w:val="24"/>
              </w:rPr>
              <w:t>10</w:t>
            </w:r>
          </w:p>
        </w:tc>
      </w:tr>
    </w:tbl>
    <w:p w:rsidR="00AA58B9" w:rsidRDefault="00AA58B9" w:rsidP="00816839">
      <w:pPr>
        <w:pStyle w:val="Heading5"/>
      </w:pPr>
    </w:p>
    <w:sectPr w:rsidR="00AA58B9" w:rsidSect="00291782">
      <w:footerReference w:type="default" r:id="rId14"/>
      <w:pgSz w:w="11894" w:h="16838"/>
      <w:pgMar w:top="720" w:right="720" w:bottom="762" w:left="720" w:header="720" w:footer="706"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002B9" w:rsidRDefault="00C002B9">
      <w:r>
        <w:separator/>
      </w:r>
    </w:p>
  </w:endnote>
  <w:endnote w:type="continuationSeparator" w:id="0">
    <w:p w:rsidR="00C002B9" w:rsidRDefault="00C002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Mangal">
    <w:panose1 w:val="02040503050203030202"/>
    <w:charset w:val="00"/>
    <w:family w:val="roman"/>
    <w:pitch w:val="variable"/>
    <w:sig w:usb0="00008003" w:usb1="00000000" w:usb2="00000000" w:usb3="00000000" w:csb0="00000001" w:csb1="00000000"/>
  </w:font>
  <w:font w:name="Monotype Corsiva">
    <w:panose1 w:val="03010101010201010101"/>
    <w:charset w:val="00"/>
    <w:family w:val="script"/>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28587074"/>
      <w:docPartObj>
        <w:docPartGallery w:val="Page Numbers (Bottom of Page)"/>
        <w:docPartUnique/>
      </w:docPartObj>
    </w:sdtPr>
    <w:sdtEndPr>
      <w:rPr>
        <w:noProof/>
      </w:rPr>
    </w:sdtEndPr>
    <w:sdtContent>
      <w:p w:rsidR="00816839" w:rsidRDefault="00816839">
        <w:pPr>
          <w:pStyle w:val="Footer"/>
          <w:jc w:val="right"/>
        </w:pPr>
        <w:r>
          <w:fldChar w:fldCharType="begin"/>
        </w:r>
        <w:r>
          <w:instrText xml:space="preserve"> PAGE   \* MERGEFORMAT </w:instrText>
        </w:r>
        <w:r>
          <w:fldChar w:fldCharType="separate"/>
        </w:r>
        <w:r w:rsidR="00F07AE3">
          <w:rPr>
            <w:noProof/>
          </w:rPr>
          <w:t>6</w:t>
        </w:r>
        <w:r>
          <w:rPr>
            <w:noProof/>
          </w:rPr>
          <w:fldChar w:fldCharType="end"/>
        </w:r>
      </w:p>
    </w:sdtContent>
  </w:sdt>
  <w:p w:rsidR="00AA58B9" w:rsidRDefault="00AA58B9">
    <w:pPr>
      <w:pStyle w:val="Foote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002B9" w:rsidRDefault="00C002B9">
      <w:r>
        <w:separator/>
      </w:r>
    </w:p>
  </w:footnote>
  <w:footnote w:type="continuationSeparator" w:id="0">
    <w:p w:rsidR="00C002B9" w:rsidRDefault="00C002B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811360C"/>
    <w:multiLevelType w:val="hybridMultilevel"/>
    <w:tmpl w:val="68C004A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5311FC"/>
    <w:multiLevelType w:val="hybridMultilevel"/>
    <w:tmpl w:val="B8A05836"/>
    <w:lvl w:ilvl="0" w:tplc="3C68DE88">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embedSystemFonts/>
  <w:proofState w:spelling="clean" w:grammar="clean"/>
  <w:attachedTemplate r:id="rId1"/>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46E0"/>
    <w:rsid w:val="000175AB"/>
    <w:rsid w:val="00034860"/>
    <w:rsid w:val="0006761C"/>
    <w:rsid w:val="00133084"/>
    <w:rsid w:val="001C4F4A"/>
    <w:rsid w:val="00291782"/>
    <w:rsid w:val="002E7141"/>
    <w:rsid w:val="003879D9"/>
    <w:rsid w:val="003C3B54"/>
    <w:rsid w:val="0046380B"/>
    <w:rsid w:val="006F38BC"/>
    <w:rsid w:val="00816839"/>
    <w:rsid w:val="008867DB"/>
    <w:rsid w:val="008972B7"/>
    <w:rsid w:val="008B38F4"/>
    <w:rsid w:val="00AA58B9"/>
    <w:rsid w:val="00AB1014"/>
    <w:rsid w:val="00AC4BF1"/>
    <w:rsid w:val="00AC6C26"/>
    <w:rsid w:val="00B230DF"/>
    <w:rsid w:val="00BA1644"/>
    <w:rsid w:val="00C002B9"/>
    <w:rsid w:val="00C06C88"/>
    <w:rsid w:val="00C93A2E"/>
    <w:rsid w:val="00D17C20"/>
    <w:rsid w:val="00D26D51"/>
    <w:rsid w:val="00EE46E0"/>
    <w:rsid w:val="00F07AE3"/>
    <w:rsid w:val="00F74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5:docId w15:val="{984BCB39-B91E-47FC-8A88-71C73248D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1782"/>
    <w:pPr>
      <w:suppressAutoHyphens/>
    </w:pPr>
    <w:rPr>
      <w:lang w:eastAsia="ar-SA"/>
    </w:rPr>
  </w:style>
  <w:style w:type="paragraph" w:styleId="Heading1">
    <w:name w:val="heading 1"/>
    <w:basedOn w:val="Normal"/>
    <w:next w:val="Normal"/>
    <w:qFormat/>
    <w:rsid w:val="00291782"/>
    <w:pPr>
      <w:keepNext/>
      <w:numPr>
        <w:numId w:val="1"/>
      </w:numPr>
      <w:pBdr>
        <w:top w:val="single" w:sz="8" w:space="1" w:color="000000"/>
        <w:left w:val="single" w:sz="8" w:space="1" w:color="000000"/>
        <w:bottom w:val="single" w:sz="8" w:space="1" w:color="000000"/>
        <w:right w:val="single" w:sz="8" w:space="1" w:color="000000"/>
      </w:pBdr>
      <w:shd w:val="clear" w:color="auto" w:fill="D8D8D8"/>
      <w:jc w:val="center"/>
      <w:outlineLvl w:val="0"/>
    </w:pPr>
    <w:rPr>
      <w:b/>
      <w:sz w:val="36"/>
    </w:rPr>
  </w:style>
  <w:style w:type="paragraph" w:styleId="Heading2">
    <w:name w:val="heading 2"/>
    <w:basedOn w:val="Normal"/>
    <w:next w:val="Normal"/>
    <w:qFormat/>
    <w:rsid w:val="00291782"/>
    <w:pPr>
      <w:keepNext/>
      <w:numPr>
        <w:ilvl w:val="1"/>
        <w:numId w:val="1"/>
      </w:numPr>
      <w:jc w:val="both"/>
      <w:outlineLvl w:val="1"/>
    </w:pPr>
    <w:rPr>
      <w:b/>
      <w:sz w:val="24"/>
    </w:rPr>
  </w:style>
  <w:style w:type="paragraph" w:styleId="Heading3">
    <w:name w:val="heading 3"/>
    <w:basedOn w:val="Normal"/>
    <w:next w:val="Normal"/>
    <w:qFormat/>
    <w:rsid w:val="00291782"/>
    <w:pPr>
      <w:keepNext/>
      <w:numPr>
        <w:ilvl w:val="2"/>
        <w:numId w:val="1"/>
      </w:numPr>
      <w:jc w:val="center"/>
      <w:outlineLvl w:val="2"/>
    </w:pPr>
    <w:rPr>
      <w:b/>
      <w:sz w:val="24"/>
    </w:rPr>
  </w:style>
  <w:style w:type="paragraph" w:styleId="Heading4">
    <w:name w:val="heading 4"/>
    <w:basedOn w:val="Normal"/>
    <w:next w:val="Normal"/>
    <w:qFormat/>
    <w:rsid w:val="00291782"/>
    <w:pPr>
      <w:keepNext/>
      <w:numPr>
        <w:ilvl w:val="3"/>
        <w:numId w:val="1"/>
      </w:numPr>
      <w:spacing w:before="120" w:after="120"/>
      <w:jc w:val="center"/>
      <w:outlineLvl w:val="3"/>
    </w:pPr>
    <w:rPr>
      <w:sz w:val="40"/>
    </w:rPr>
  </w:style>
  <w:style w:type="paragraph" w:styleId="Heading5">
    <w:name w:val="heading 5"/>
    <w:basedOn w:val="Normal"/>
    <w:next w:val="Normal"/>
    <w:qFormat/>
    <w:rsid w:val="00291782"/>
    <w:pPr>
      <w:keepNext/>
      <w:numPr>
        <w:ilvl w:val="4"/>
        <w:numId w:val="1"/>
      </w:numPr>
      <w:jc w:val="center"/>
      <w:outlineLvl w:val="4"/>
    </w:pPr>
    <w:rPr>
      <w:b/>
      <w:sz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bsatz-Standardschriftart">
    <w:name w:val="Absatz-Standardschriftart"/>
    <w:rsid w:val="00291782"/>
  </w:style>
  <w:style w:type="character" w:customStyle="1" w:styleId="WW-Absatz-Standardschriftart">
    <w:name w:val="WW-Absatz-Standardschriftart"/>
    <w:rsid w:val="00291782"/>
  </w:style>
  <w:style w:type="character" w:customStyle="1" w:styleId="WW-Absatz-Standardschriftart1">
    <w:name w:val="WW-Absatz-Standardschriftart1"/>
    <w:rsid w:val="00291782"/>
  </w:style>
  <w:style w:type="character" w:customStyle="1" w:styleId="WW-Absatz-Standardschriftart11">
    <w:name w:val="WW-Absatz-Standardschriftart11"/>
    <w:rsid w:val="00291782"/>
  </w:style>
  <w:style w:type="character" w:customStyle="1" w:styleId="WW-Absatz-Standardschriftart111">
    <w:name w:val="WW-Absatz-Standardschriftart111"/>
    <w:rsid w:val="00291782"/>
  </w:style>
  <w:style w:type="character" w:customStyle="1" w:styleId="WW-Absatz-Standardschriftart1111">
    <w:name w:val="WW-Absatz-Standardschriftart1111"/>
    <w:rsid w:val="00291782"/>
  </w:style>
  <w:style w:type="character" w:customStyle="1" w:styleId="WW-Absatz-Standardschriftart11111">
    <w:name w:val="WW-Absatz-Standardschriftart11111"/>
    <w:rsid w:val="00291782"/>
  </w:style>
  <w:style w:type="character" w:customStyle="1" w:styleId="WW-Absatz-Standardschriftart111111">
    <w:name w:val="WW-Absatz-Standardschriftart111111"/>
    <w:rsid w:val="00291782"/>
  </w:style>
  <w:style w:type="character" w:customStyle="1" w:styleId="WW8Num7z0">
    <w:name w:val="WW8Num7z0"/>
    <w:rsid w:val="00291782"/>
    <w:rPr>
      <w:rFonts w:ascii="Symbol" w:hAnsi="Symbol"/>
    </w:rPr>
  </w:style>
  <w:style w:type="character" w:customStyle="1" w:styleId="WW8Num7z1">
    <w:name w:val="WW8Num7z1"/>
    <w:rsid w:val="00291782"/>
    <w:rPr>
      <w:rFonts w:ascii="Courier New" w:hAnsi="Courier New"/>
    </w:rPr>
  </w:style>
  <w:style w:type="character" w:customStyle="1" w:styleId="WW8Num7z2">
    <w:name w:val="WW8Num7z2"/>
    <w:rsid w:val="00291782"/>
    <w:rPr>
      <w:rFonts w:ascii="Wingdings" w:hAnsi="Wingdings"/>
    </w:rPr>
  </w:style>
  <w:style w:type="character" w:customStyle="1" w:styleId="WW8Num9z0">
    <w:name w:val="WW8Num9z0"/>
    <w:rsid w:val="00291782"/>
    <w:rPr>
      <w:rFonts w:ascii="Symbol" w:hAnsi="Symbol"/>
    </w:rPr>
  </w:style>
  <w:style w:type="character" w:customStyle="1" w:styleId="WW8Num9z1">
    <w:name w:val="WW8Num9z1"/>
    <w:rsid w:val="00291782"/>
    <w:rPr>
      <w:rFonts w:ascii="Courier New" w:hAnsi="Courier New"/>
    </w:rPr>
  </w:style>
  <w:style w:type="character" w:customStyle="1" w:styleId="WW8Num9z2">
    <w:name w:val="WW8Num9z2"/>
    <w:rsid w:val="00291782"/>
    <w:rPr>
      <w:rFonts w:ascii="Wingdings" w:hAnsi="Wingdings"/>
    </w:rPr>
  </w:style>
  <w:style w:type="character" w:customStyle="1" w:styleId="NumberingSymbols">
    <w:name w:val="Numbering Symbols"/>
    <w:rsid w:val="00291782"/>
  </w:style>
  <w:style w:type="paragraph" w:customStyle="1" w:styleId="Heading">
    <w:name w:val="Heading"/>
    <w:basedOn w:val="Normal"/>
    <w:next w:val="BodyText"/>
    <w:rsid w:val="00291782"/>
    <w:pPr>
      <w:keepNext/>
      <w:spacing w:before="240" w:after="120"/>
    </w:pPr>
    <w:rPr>
      <w:rFonts w:ascii="Arial" w:eastAsia="SimSun" w:hAnsi="Arial" w:cs="Mangal"/>
      <w:sz w:val="28"/>
      <w:szCs w:val="28"/>
    </w:rPr>
  </w:style>
  <w:style w:type="paragraph" w:styleId="BodyText">
    <w:name w:val="Body Text"/>
    <w:basedOn w:val="Normal"/>
    <w:rsid w:val="00291782"/>
    <w:rPr>
      <w:bCs/>
      <w:sz w:val="24"/>
    </w:rPr>
  </w:style>
  <w:style w:type="paragraph" w:styleId="List">
    <w:name w:val="List"/>
    <w:basedOn w:val="BodyText"/>
    <w:rsid w:val="00291782"/>
    <w:rPr>
      <w:rFonts w:cs="Mangal"/>
    </w:rPr>
  </w:style>
  <w:style w:type="paragraph" w:styleId="Caption">
    <w:name w:val="caption"/>
    <w:basedOn w:val="Normal"/>
    <w:qFormat/>
    <w:rsid w:val="00291782"/>
    <w:pPr>
      <w:suppressLineNumbers/>
      <w:spacing w:before="120" w:after="120"/>
    </w:pPr>
    <w:rPr>
      <w:rFonts w:cs="Mangal"/>
      <w:i/>
      <w:iCs/>
      <w:sz w:val="24"/>
      <w:szCs w:val="24"/>
    </w:rPr>
  </w:style>
  <w:style w:type="paragraph" w:customStyle="1" w:styleId="Index">
    <w:name w:val="Index"/>
    <w:basedOn w:val="Normal"/>
    <w:rsid w:val="00291782"/>
    <w:pPr>
      <w:suppressLineNumbers/>
    </w:pPr>
    <w:rPr>
      <w:rFonts w:cs="Mangal"/>
    </w:rPr>
  </w:style>
  <w:style w:type="paragraph" w:styleId="Header">
    <w:name w:val="header"/>
    <w:basedOn w:val="Normal"/>
    <w:rsid w:val="00291782"/>
    <w:pPr>
      <w:tabs>
        <w:tab w:val="center" w:pos="4153"/>
        <w:tab w:val="right" w:pos="8306"/>
      </w:tabs>
    </w:pPr>
  </w:style>
  <w:style w:type="paragraph" w:styleId="Footer">
    <w:name w:val="footer"/>
    <w:basedOn w:val="Normal"/>
    <w:link w:val="FooterChar"/>
    <w:uiPriority w:val="99"/>
    <w:rsid w:val="00291782"/>
    <w:pPr>
      <w:tabs>
        <w:tab w:val="center" w:pos="4153"/>
        <w:tab w:val="right" w:pos="8306"/>
      </w:tabs>
    </w:pPr>
  </w:style>
  <w:style w:type="paragraph" w:styleId="BodyText2">
    <w:name w:val="Body Text 2"/>
    <w:basedOn w:val="Normal"/>
    <w:rsid w:val="00291782"/>
    <w:pPr>
      <w:jc w:val="both"/>
    </w:pPr>
    <w:rPr>
      <w:bCs/>
      <w:sz w:val="24"/>
    </w:rPr>
  </w:style>
  <w:style w:type="paragraph" w:customStyle="1" w:styleId="TableContents">
    <w:name w:val="Table Contents"/>
    <w:basedOn w:val="Normal"/>
    <w:rsid w:val="00291782"/>
    <w:pPr>
      <w:suppressLineNumbers/>
    </w:pPr>
  </w:style>
  <w:style w:type="paragraph" w:customStyle="1" w:styleId="TableHeading">
    <w:name w:val="Table Heading"/>
    <w:basedOn w:val="TableContents"/>
    <w:rsid w:val="00291782"/>
    <w:pPr>
      <w:jc w:val="center"/>
    </w:pPr>
    <w:rPr>
      <w:b/>
      <w:bCs/>
    </w:rPr>
  </w:style>
  <w:style w:type="paragraph" w:styleId="ListParagraph">
    <w:name w:val="List Paragraph"/>
    <w:basedOn w:val="Normal"/>
    <w:uiPriority w:val="34"/>
    <w:qFormat/>
    <w:rsid w:val="00133084"/>
    <w:pPr>
      <w:suppressAutoHyphens w:val="0"/>
      <w:ind w:left="720"/>
      <w:contextualSpacing/>
    </w:pPr>
    <w:rPr>
      <w:sz w:val="24"/>
      <w:lang w:eastAsia="en-GB"/>
    </w:rPr>
  </w:style>
  <w:style w:type="character" w:customStyle="1" w:styleId="FooterChar">
    <w:name w:val="Footer Char"/>
    <w:basedOn w:val="DefaultParagraphFont"/>
    <w:link w:val="Footer"/>
    <w:uiPriority w:val="99"/>
    <w:rsid w:val="00816839"/>
    <w:rPr>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4456397">
      <w:bodyDiv w:val="1"/>
      <w:marLeft w:val="0"/>
      <w:marRight w:val="0"/>
      <w:marTop w:val="0"/>
      <w:marBottom w:val="0"/>
      <w:divBdr>
        <w:top w:val="none" w:sz="0" w:space="0" w:color="auto"/>
        <w:left w:val="none" w:sz="0" w:space="0" w:color="auto"/>
        <w:bottom w:val="none" w:sz="0" w:space="0" w:color="auto"/>
        <w:right w:val="none" w:sz="0" w:space="0" w:color="auto"/>
      </w:divBdr>
    </w:div>
    <w:div w:id="581526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bj\Local%20Settings\Temporary%20Internet%20Files\OLK38\ExamSol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ExamSolFrm</Template>
  <TotalTime>6</TotalTime>
  <Pages>7</Pages>
  <Words>810</Words>
  <Characters>4623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fad-bj</dc:creator>
  <cp:lastModifiedBy>Peter Charlton</cp:lastModifiedBy>
  <cp:revision>3</cp:revision>
  <cp:lastPrinted>2016-03-16T15:12:00Z</cp:lastPrinted>
  <dcterms:created xsi:type="dcterms:W3CDTF">2016-11-01T09:38:00Z</dcterms:created>
  <dcterms:modified xsi:type="dcterms:W3CDTF">2016-11-01T09:44:00Z</dcterms:modified>
</cp:coreProperties>
</file>