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0DAE40" w14:textId="77777777" w:rsidR="00440374" w:rsidRDefault="00440374" w:rsidP="00440374">
      <w:pPr>
        <w:jc w:val="center"/>
        <w:rPr>
          <w:sz w:val="28"/>
          <w:szCs w:val="28"/>
          <w:u w:val="single"/>
        </w:rPr>
      </w:pPr>
      <w:r>
        <w:rPr>
          <w:sz w:val="28"/>
          <w:szCs w:val="28"/>
          <w:u w:val="single"/>
        </w:rPr>
        <w:t>Assessment One – Secondary Source</w:t>
      </w:r>
    </w:p>
    <w:p w14:paraId="63E2B7DF" w14:textId="77777777" w:rsidR="009A12AF" w:rsidRDefault="004E1F69" w:rsidP="004E1F69">
      <w:pPr>
        <w:jc w:val="center"/>
        <w:rPr>
          <w:sz w:val="28"/>
          <w:szCs w:val="28"/>
          <w:u w:val="single"/>
        </w:rPr>
      </w:pPr>
      <w:r>
        <w:rPr>
          <w:sz w:val="28"/>
          <w:szCs w:val="28"/>
          <w:u w:val="single"/>
        </w:rPr>
        <w:t xml:space="preserve"> What does Paul Gilroy identify as the defining characteristics of ‘the Black Atlantic’? And why does Gilroy place importance of ships in his analysis?</w:t>
      </w:r>
    </w:p>
    <w:p w14:paraId="0BB4D223" w14:textId="77777777" w:rsidR="004E1F69" w:rsidRDefault="006657B6" w:rsidP="00440374">
      <w:pPr>
        <w:jc w:val="both"/>
        <w:rPr>
          <w:sz w:val="24"/>
          <w:szCs w:val="24"/>
        </w:rPr>
      </w:pPr>
      <w:r>
        <w:rPr>
          <w:sz w:val="24"/>
          <w:szCs w:val="24"/>
        </w:rPr>
        <w:t>The first chapter of Paul Gilroy’s ‘the Black Atlantic’ will be the focus of this gobbet. Th</w:t>
      </w:r>
      <w:r w:rsidR="009B487A">
        <w:rPr>
          <w:sz w:val="24"/>
          <w:szCs w:val="24"/>
        </w:rPr>
        <w:t>is gobbet will attempt to address how Gilroy defines the characteristics of ‘the Black Atlantic’</w:t>
      </w:r>
      <w:r w:rsidR="007546FF">
        <w:rPr>
          <w:sz w:val="24"/>
          <w:szCs w:val="24"/>
        </w:rPr>
        <w:t>.</w:t>
      </w:r>
      <w:r w:rsidR="009B487A">
        <w:rPr>
          <w:sz w:val="24"/>
          <w:szCs w:val="24"/>
        </w:rPr>
        <w:t xml:space="preserve"> </w:t>
      </w:r>
      <w:r w:rsidR="007546FF">
        <w:rPr>
          <w:sz w:val="24"/>
          <w:szCs w:val="24"/>
        </w:rPr>
        <w:t>T</w:t>
      </w:r>
      <w:r w:rsidR="009B487A">
        <w:rPr>
          <w:sz w:val="24"/>
          <w:szCs w:val="24"/>
        </w:rPr>
        <w:t xml:space="preserve">his will be completed through examining the content’s key features by putting them into context and highlighting  their significance. </w:t>
      </w:r>
    </w:p>
    <w:p w14:paraId="32EE4050" w14:textId="77777777" w:rsidR="007546FF" w:rsidRDefault="00514B86" w:rsidP="00440374">
      <w:pPr>
        <w:jc w:val="both"/>
        <w:rPr>
          <w:sz w:val="24"/>
          <w:szCs w:val="24"/>
        </w:rPr>
      </w:pPr>
      <w:r>
        <w:rPr>
          <w:sz w:val="24"/>
          <w:szCs w:val="24"/>
        </w:rPr>
        <w:t>Paul Gilroy is a celebrated historian, academic and writer; specialising in Cultural Studies and Black Atlantic diasporic culture. He was born in London in February 1956 to scientist Patrick and novelist Beryl Gilroy. Paul Gilroy’s mother</w:t>
      </w:r>
      <w:r w:rsidR="007163A0">
        <w:rPr>
          <w:sz w:val="24"/>
          <w:szCs w:val="24"/>
        </w:rPr>
        <w:t xml:space="preserve"> originally</w:t>
      </w:r>
      <w:r>
        <w:rPr>
          <w:sz w:val="24"/>
          <w:szCs w:val="24"/>
        </w:rPr>
        <w:t xml:space="preserve"> hailed from </w:t>
      </w:r>
      <w:r w:rsidR="007163A0">
        <w:rPr>
          <w:sz w:val="24"/>
          <w:szCs w:val="24"/>
        </w:rPr>
        <w:t>Guiana in the Caribbean. Beryl became a qualified teacher in Guiana and arrived in London in the 1950’s as part of the mass post war Caribbean migrants</w:t>
      </w:r>
      <w:r w:rsidR="007546FF">
        <w:rPr>
          <w:sz w:val="24"/>
          <w:szCs w:val="24"/>
        </w:rPr>
        <w:t xml:space="preserve"> rush</w:t>
      </w:r>
      <w:r w:rsidR="00AC159E">
        <w:rPr>
          <w:sz w:val="24"/>
          <w:szCs w:val="24"/>
        </w:rPr>
        <w:t xml:space="preserve"> to the United Kingdom</w:t>
      </w:r>
      <w:r w:rsidR="007163A0">
        <w:rPr>
          <w:sz w:val="24"/>
          <w:szCs w:val="24"/>
        </w:rPr>
        <w:t>.</w:t>
      </w:r>
      <w:r w:rsidR="00AC159E">
        <w:rPr>
          <w:sz w:val="24"/>
          <w:szCs w:val="24"/>
        </w:rPr>
        <w:t xml:space="preserve"> </w:t>
      </w:r>
      <w:r w:rsidR="000D0BBC">
        <w:rPr>
          <w:sz w:val="24"/>
          <w:szCs w:val="24"/>
        </w:rPr>
        <w:t>However, she</w:t>
      </w:r>
      <w:r w:rsidR="007546FF">
        <w:rPr>
          <w:sz w:val="24"/>
          <w:szCs w:val="24"/>
        </w:rPr>
        <w:t xml:space="preserve"> was</w:t>
      </w:r>
      <w:r w:rsidR="000D0BBC">
        <w:rPr>
          <w:sz w:val="24"/>
          <w:szCs w:val="24"/>
        </w:rPr>
        <w:t xml:space="preserve"> refused teaching position because of her ethnicity and was unable to return to teaching until the sixties as a result. She continued to face racism as a black woman teacher and details her difficulties and experiences in her 1976 novel </w:t>
      </w:r>
      <w:r w:rsidR="000D0BBC">
        <w:rPr>
          <w:i/>
          <w:iCs/>
          <w:sz w:val="24"/>
          <w:szCs w:val="24"/>
        </w:rPr>
        <w:t>Black Teacher</w:t>
      </w:r>
      <w:r w:rsidR="000D0BBC">
        <w:rPr>
          <w:sz w:val="24"/>
          <w:szCs w:val="24"/>
        </w:rPr>
        <w:t xml:space="preserve">. The experiences of Beryl would have had a strong impact on Paul Gilroy and would have possibly served as a </w:t>
      </w:r>
      <w:r w:rsidR="007546FF">
        <w:rPr>
          <w:sz w:val="24"/>
          <w:szCs w:val="24"/>
        </w:rPr>
        <w:t>an</w:t>
      </w:r>
      <w:r w:rsidR="000D0BBC">
        <w:rPr>
          <w:sz w:val="24"/>
          <w:szCs w:val="24"/>
        </w:rPr>
        <w:t xml:space="preserve"> inspiration for him to pursue the</w:t>
      </w:r>
      <w:r w:rsidR="001B1895">
        <w:rPr>
          <w:sz w:val="24"/>
          <w:szCs w:val="24"/>
        </w:rPr>
        <w:t xml:space="preserve"> study of the</w:t>
      </w:r>
      <w:r w:rsidR="000D0BBC">
        <w:rPr>
          <w:sz w:val="24"/>
          <w:szCs w:val="24"/>
        </w:rPr>
        <w:t xml:space="preserve"> Black Atlantic diasporic culture</w:t>
      </w:r>
      <w:r w:rsidR="001B1895">
        <w:rPr>
          <w:sz w:val="24"/>
          <w:szCs w:val="24"/>
        </w:rPr>
        <w:t xml:space="preserve">. </w:t>
      </w:r>
    </w:p>
    <w:p w14:paraId="79260E5B" w14:textId="77777777" w:rsidR="009B487A" w:rsidRDefault="007546FF" w:rsidP="00440374">
      <w:pPr>
        <w:jc w:val="both"/>
        <w:rPr>
          <w:sz w:val="24"/>
          <w:szCs w:val="24"/>
        </w:rPr>
      </w:pPr>
      <w:r>
        <w:rPr>
          <w:sz w:val="24"/>
          <w:szCs w:val="24"/>
        </w:rPr>
        <w:t>Slavery is a defining characteristic mentioned by Gilroy and a crucial argument in his belief that it is the root cause of transnational black identity. Gilroy is unwavering in his belief that at the heart of the black diasporic communities, there is a shared experience of terror due to their slavery in the West, and it is this that binds them together. Gilroy disregards the development of capitalist modernity put forward by Eurocentric accounts, he argues that slavery played a crucial role in its development, he even states that he believes slavery was “capitalism with its clothes off”.</w:t>
      </w:r>
      <w:r>
        <w:rPr>
          <w:rStyle w:val="FootnoteReference"/>
          <w:sz w:val="24"/>
          <w:szCs w:val="24"/>
        </w:rPr>
        <w:footnoteReference w:id="1"/>
      </w:r>
      <w:r>
        <w:rPr>
          <w:sz w:val="24"/>
          <w:szCs w:val="24"/>
        </w:rPr>
        <w:t xml:space="preserve"> Gilroy also argues that the descendants of slaves will have an anti-capitalistic outlook as a result of the black diasporas experiences as slaves. Gilroy states; “For the descendants of slaves, work signifies only servitude, misery, and subordination”.</w:t>
      </w:r>
      <w:r>
        <w:rPr>
          <w:rStyle w:val="FootnoteReference"/>
          <w:sz w:val="24"/>
          <w:szCs w:val="24"/>
        </w:rPr>
        <w:footnoteReference w:id="2"/>
      </w:r>
      <w:r>
        <w:rPr>
          <w:sz w:val="24"/>
          <w:szCs w:val="24"/>
        </w:rPr>
        <w:t xml:space="preserve">  Gilroy argues that the idea of working becomes a form of artistic expression, as the black Atlantic community would have associated the term “work” with forced labour their slave ancestors were subjected to. However, despite arguing that artistic expression is the “means towards both individual and self-fashioning and communal liberation”,</w:t>
      </w:r>
      <w:r>
        <w:rPr>
          <w:rStyle w:val="FootnoteReference"/>
          <w:sz w:val="24"/>
          <w:szCs w:val="24"/>
        </w:rPr>
        <w:footnoteReference w:id="3"/>
      </w:r>
      <w:r>
        <w:rPr>
          <w:sz w:val="24"/>
          <w:szCs w:val="24"/>
        </w:rPr>
        <w:t xml:space="preserve"> he believes that free work under capitalism is just another form of domination.</w:t>
      </w:r>
    </w:p>
    <w:p w14:paraId="4401BC55" w14:textId="77777777" w:rsidR="00AF3D73" w:rsidRDefault="00982BAB" w:rsidP="00440374">
      <w:pPr>
        <w:jc w:val="both"/>
        <w:rPr>
          <w:sz w:val="24"/>
          <w:szCs w:val="24"/>
        </w:rPr>
      </w:pPr>
      <w:r>
        <w:rPr>
          <w:sz w:val="24"/>
          <w:szCs w:val="24"/>
        </w:rPr>
        <w:t xml:space="preserve">Paul Gilroy places a particular importance on ships during his work, as they are often </w:t>
      </w:r>
      <w:r w:rsidR="009F1027">
        <w:rPr>
          <w:sz w:val="24"/>
          <w:szCs w:val="24"/>
        </w:rPr>
        <w:t>mentioned</w:t>
      </w:r>
      <w:r>
        <w:rPr>
          <w:sz w:val="24"/>
          <w:szCs w:val="24"/>
        </w:rPr>
        <w:t xml:space="preserve"> </w:t>
      </w:r>
      <w:r w:rsidR="009F1027">
        <w:rPr>
          <w:sz w:val="24"/>
          <w:szCs w:val="24"/>
        </w:rPr>
        <w:t xml:space="preserve">throughout the chapter. </w:t>
      </w:r>
      <w:r w:rsidR="00CD12EC">
        <w:rPr>
          <w:sz w:val="24"/>
          <w:szCs w:val="24"/>
        </w:rPr>
        <w:t>On the subject of ships, Gilroy states; “They were mobile elements that stood for shifting spaces in between the fixed places that they connected”.</w:t>
      </w:r>
      <w:r w:rsidR="00CD12EC">
        <w:rPr>
          <w:rStyle w:val="FootnoteReference"/>
          <w:sz w:val="24"/>
          <w:szCs w:val="24"/>
        </w:rPr>
        <w:footnoteReference w:id="4"/>
      </w:r>
      <w:r w:rsidR="00CD12EC">
        <w:rPr>
          <w:sz w:val="24"/>
          <w:szCs w:val="24"/>
        </w:rPr>
        <w:t xml:space="preserve"> Gilroy further states that he believes that the ships should not be thought of abstract embodiment of the triangular trade but rather as political cultural units.</w:t>
      </w:r>
      <w:r w:rsidR="00CD12EC">
        <w:rPr>
          <w:rStyle w:val="FootnoteReference"/>
          <w:sz w:val="24"/>
          <w:szCs w:val="24"/>
        </w:rPr>
        <w:footnoteReference w:id="5"/>
      </w:r>
      <w:r w:rsidR="00FC7938">
        <w:rPr>
          <w:sz w:val="24"/>
          <w:szCs w:val="24"/>
        </w:rPr>
        <w:t xml:space="preserve"> </w:t>
      </w:r>
      <w:r w:rsidR="00873D3F">
        <w:rPr>
          <w:sz w:val="24"/>
          <w:szCs w:val="24"/>
        </w:rPr>
        <w:t xml:space="preserve">Gilroy uses the </w:t>
      </w:r>
      <w:r w:rsidR="00873D3F">
        <w:rPr>
          <w:sz w:val="24"/>
          <w:szCs w:val="24"/>
        </w:rPr>
        <w:lastRenderedPageBreak/>
        <w:t xml:space="preserve">analogy of ships to explain his idea of blackness existing as a mixed identity. He believes blackness exists between two spaces, like </w:t>
      </w:r>
      <w:r w:rsidR="0090428C">
        <w:rPr>
          <w:sz w:val="24"/>
          <w:szCs w:val="24"/>
        </w:rPr>
        <w:t>a ship mid voyage is not bound to one nation</w:t>
      </w:r>
      <w:r w:rsidR="00873D3F">
        <w:rPr>
          <w:sz w:val="24"/>
          <w:szCs w:val="24"/>
        </w:rPr>
        <w:t>.</w:t>
      </w:r>
      <w:r w:rsidR="00A72A38">
        <w:rPr>
          <w:sz w:val="24"/>
          <w:szCs w:val="24"/>
        </w:rPr>
        <w:t xml:space="preserve"> Gilroy furthers the concept of a hybrid identity by using the </w:t>
      </w:r>
      <w:r w:rsidR="004920AD">
        <w:rPr>
          <w:sz w:val="24"/>
          <w:szCs w:val="24"/>
        </w:rPr>
        <w:t xml:space="preserve">idea of “double consciousness” (an argument originally put forward by W. E. B. Du </w:t>
      </w:r>
      <w:proofErr w:type="spellStart"/>
      <w:r w:rsidR="004920AD">
        <w:rPr>
          <w:sz w:val="24"/>
          <w:szCs w:val="24"/>
        </w:rPr>
        <w:t>Bois</w:t>
      </w:r>
      <w:proofErr w:type="spellEnd"/>
      <w:r w:rsidR="004920AD">
        <w:rPr>
          <w:sz w:val="24"/>
          <w:szCs w:val="24"/>
        </w:rPr>
        <w:t xml:space="preserve">). </w:t>
      </w:r>
      <w:r w:rsidR="00C675F1">
        <w:rPr>
          <w:sz w:val="24"/>
          <w:szCs w:val="24"/>
        </w:rPr>
        <w:t>Gilroy believes that “double consciousness” is vital in studying the people of the black diaspora, as</w:t>
      </w:r>
      <w:r w:rsidR="00AF5502">
        <w:rPr>
          <w:sz w:val="24"/>
          <w:szCs w:val="24"/>
        </w:rPr>
        <w:t xml:space="preserve"> it aids in understating their transnational experiences. </w:t>
      </w:r>
      <w:r w:rsidR="00B9144C">
        <w:rPr>
          <w:sz w:val="24"/>
          <w:szCs w:val="24"/>
        </w:rPr>
        <w:t>Black’s arriving at their respective destinations would have been expected to conform to their new nation</w:t>
      </w:r>
      <w:r w:rsidR="004E6168">
        <w:rPr>
          <w:sz w:val="24"/>
          <w:szCs w:val="24"/>
        </w:rPr>
        <w:t xml:space="preserve">, whilst also being alienated from their new national identity due to their slave status. </w:t>
      </w:r>
    </w:p>
    <w:p w14:paraId="11A2EBB6" w14:textId="77777777" w:rsidR="00A72A38" w:rsidRDefault="004E6168" w:rsidP="00440374">
      <w:pPr>
        <w:jc w:val="both"/>
        <w:rPr>
          <w:sz w:val="24"/>
          <w:szCs w:val="24"/>
        </w:rPr>
      </w:pPr>
      <w:r>
        <w:rPr>
          <w:sz w:val="24"/>
          <w:szCs w:val="24"/>
        </w:rPr>
        <w:t>Gilroy’s analysis and imagery of ship’s is once again used, he states; “The image of the ship – a living, micro-cultural, micro-political system in motion – is especially important for historical and theoretical reasons”.</w:t>
      </w:r>
      <w:r>
        <w:rPr>
          <w:rStyle w:val="FootnoteReference"/>
          <w:sz w:val="24"/>
          <w:szCs w:val="24"/>
        </w:rPr>
        <w:footnoteReference w:id="6"/>
      </w:r>
      <w:r w:rsidR="00C675F1">
        <w:rPr>
          <w:sz w:val="24"/>
          <w:szCs w:val="24"/>
        </w:rPr>
        <w:t xml:space="preserve"> </w:t>
      </w:r>
      <w:r w:rsidR="00CF3EE0">
        <w:rPr>
          <w:sz w:val="24"/>
          <w:szCs w:val="24"/>
        </w:rPr>
        <w:t>To</w:t>
      </w:r>
      <w:r w:rsidR="004920AD">
        <w:rPr>
          <w:sz w:val="24"/>
          <w:szCs w:val="24"/>
        </w:rPr>
        <w:t xml:space="preserve"> </w:t>
      </w:r>
      <w:r w:rsidR="00CF3EE0">
        <w:rPr>
          <w:sz w:val="24"/>
          <w:szCs w:val="24"/>
        </w:rPr>
        <w:t xml:space="preserve">Gilroy, the ships represent the culture and politics of the place it has departed, he uses it demonstrate the passage of ideas and people across the Atlantic and how the motion represents its constant movement towards new places of politics and culture. </w:t>
      </w:r>
      <w:r w:rsidR="00A72A38">
        <w:rPr>
          <w:sz w:val="24"/>
          <w:szCs w:val="24"/>
        </w:rPr>
        <w:t xml:space="preserve"> </w:t>
      </w:r>
      <w:r w:rsidR="00873D3F">
        <w:rPr>
          <w:sz w:val="24"/>
          <w:szCs w:val="24"/>
        </w:rPr>
        <w:t xml:space="preserve"> </w:t>
      </w:r>
    </w:p>
    <w:p w14:paraId="32396EFF" w14:textId="77777777" w:rsidR="001B1895" w:rsidRDefault="003E4AE7" w:rsidP="00440374">
      <w:pPr>
        <w:jc w:val="both"/>
        <w:rPr>
          <w:sz w:val="24"/>
          <w:szCs w:val="24"/>
        </w:rPr>
      </w:pPr>
      <w:r>
        <w:rPr>
          <w:sz w:val="24"/>
          <w:szCs w:val="24"/>
        </w:rPr>
        <w:t xml:space="preserve">Gilroy identifies music as another defining characteristic of ‘the Black Atlantic’, Gilroy argues that music allowed the black Atlantic community to express their identity. </w:t>
      </w:r>
      <w:r w:rsidR="000D503C">
        <w:rPr>
          <w:sz w:val="24"/>
          <w:szCs w:val="24"/>
        </w:rPr>
        <w:t>Gilroy uses a quote from Toni Morrison to further his argument; “Black Americans were sustained and healed and nurtured by the translation of their experience into art above all music”.</w:t>
      </w:r>
      <w:r w:rsidR="000D503C">
        <w:rPr>
          <w:rStyle w:val="FootnoteReference"/>
          <w:sz w:val="24"/>
          <w:szCs w:val="24"/>
        </w:rPr>
        <w:footnoteReference w:id="7"/>
      </w:r>
      <w:r w:rsidR="009D314F">
        <w:rPr>
          <w:sz w:val="24"/>
          <w:szCs w:val="24"/>
        </w:rPr>
        <w:t xml:space="preserve"> He argues that through music, the black communities were able to say the unsayable and express the psychological and physical pain they had experienced as slaves.</w:t>
      </w:r>
    </w:p>
    <w:p w14:paraId="60640A38" w14:textId="083B8FED" w:rsidR="009D314F" w:rsidRDefault="00E37E0D" w:rsidP="00440374">
      <w:pPr>
        <w:jc w:val="both"/>
        <w:rPr>
          <w:sz w:val="24"/>
          <w:szCs w:val="24"/>
        </w:rPr>
      </w:pPr>
      <w:r>
        <w:rPr>
          <w:sz w:val="24"/>
          <w:szCs w:val="24"/>
        </w:rPr>
        <w:t xml:space="preserve">In conclusion, through his work, Gilroy has created a new way of understating the identity of the black communities and highlights. We are led to think of black identity as something that cannot be defined by one nation, but rather a transnational community without borders. </w:t>
      </w:r>
    </w:p>
    <w:p w14:paraId="700D1BA9" w14:textId="41EB14CF" w:rsidR="00E757FA" w:rsidRDefault="00E757FA" w:rsidP="00440374">
      <w:pPr>
        <w:jc w:val="both"/>
        <w:rPr>
          <w:sz w:val="24"/>
          <w:szCs w:val="24"/>
        </w:rPr>
      </w:pPr>
    </w:p>
    <w:p w14:paraId="728A311F" w14:textId="3A8B6FFE" w:rsidR="00E757FA" w:rsidRDefault="00E757FA" w:rsidP="00440374">
      <w:pPr>
        <w:jc w:val="both"/>
        <w:rPr>
          <w:sz w:val="24"/>
          <w:szCs w:val="24"/>
        </w:rPr>
      </w:pPr>
    </w:p>
    <w:p w14:paraId="12543553" w14:textId="438E60A8" w:rsidR="00E757FA" w:rsidRDefault="00E757FA" w:rsidP="00440374">
      <w:pPr>
        <w:jc w:val="both"/>
        <w:rPr>
          <w:sz w:val="24"/>
          <w:szCs w:val="24"/>
        </w:rPr>
      </w:pPr>
    </w:p>
    <w:p w14:paraId="481EED04" w14:textId="65778014" w:rsidR="00E757FA" w:rsidRDefault="00E757FA" w:rsidP="00440374">
      <w:pPr>
        <w:jc w:val="both"/>
        <w:rPr>
          <w:sz w:val="24"/>
          <w:szCs w:val="24"/>
        </w:rPr>
      </w:pPr>
    </w:p>
    <w:p w14:paraId="34796000" w14:textId="2F64A695" w:rsidR="00E757FA" w:rsidRDefault="00E757FA" w:rsidP="00440374">
      <w:pPr>
        <w:jc w:val="both"/>
        <w:rPr>
          <w:sz w:val="24"/>
          <w:szCs w:val="24"/>
        </w:rPr>
      </w:pPr>
    </w:p>
    <w:p w14:paraId="43578004" w14:textId="0ED6E3C9" w:rsidR="00E757FA" w:rsidRDefault="00E757FA" w:rsidP="00440374">
      <w:pPr>
        <w:jc w:val="both"/>
        <w:rPr>
          <w:sz w:val="24"/>
          <w:szCs w:val="24"/>
        </w:rPr>
      </w:pPr>
    </w:p>
    <w:p w14:paraId="64ED50B0" w14:textId="7F3D5264" w:rsidR="00E757FA" w:rsidRDefault="00E757FA" w:rsidP="00440374">
      <w:pPr>
        <w:jc w:val="both"/>
        <w:rPr>
          <w:sz w:val="24"/>
          <w:szCs w:val="24"/>
        </w:rPr>
      </w:pPr>
    </w:p>
    <w:p w14:paraId="6E8EBA17" w14:textId="7485F69E" w:rsidR="00E757FA" w:rsidRDefault="00E757FA" w:rsidP="00440374">
      <w:pPr>
        <w:jc w:val="both"/>
        <w:rPr>
          <w:sz w:val="24"/>
          <w:szCs w:val="24"/>
        </w:rPr>
      </w:pPr>
    </w:p>
    <w:p w14:paraId="52530BC0" w14:textId="56F6A46F" w:rsidR="00E757FA" w:rsidRDefault="00E757FA" w:rsidP="00440374">
      <w:pPr>
        <w:jc w:val="both"/>
        <w:rPr>
          <w:sz w:val="24"/>
          <w:szCs w:val="24"/>
        </w:rPr>
      </w:pPr>
    </w:p>
    <w:p w14:paraId="4F0F0E70" w14:textId="0FA9CFE8" w:rsidR="00E757FA" w:rsidRDefault="00E757FA" w:rsidP="00440374">
      <w:pPr>
        <w:jc w:val="both"/>
        <w:rPr>
          <w:sz w:val="24"/>
          <w:szCs w:val="24"/>
        </w:rPr>
      </w:pPr>
    </w:p>
    <w:p w14:paraId="0099BC5F" w14:textId="24DC27C2" w:rsidR="00E757FA" w:rsidRDefault="00E757FA" w:rsidP="00440374">
      <w:pPr>
        <w:jc w:val="both"/>
        <w:rPr>
          <w:sz w:val="24"/>
          <w:szCs w:val="24"/>
        </w:rPr>
      </w:pPr>
    </w:p>
    <w:p w14:paraId="2CEE0D81" w14:textId="3768013E" w:rsidR="00E757FA" w:rsidRDefault="00E757FA" w:rsidP="00E757FA">
      <w:pPr>
        <w:jc w:val="center"/>
        <w:rPr>
          <w:sz w:val="28"/>
          <w:szCs w:val="28"/>
          <w:u w:val="single"/>
        </w:rPr>
      </w:pPr>
      <w:r>
        <w:rPr>
          <w:sz w:val="28"/>
          <w:szCs w:val="28"/>
          <w:u w:val="single"/>
        </w:rPr>
        <w:lastRenderedPageBreak/>
        <w:t xml:space="preserve">Bibliography </w:t>
      </w:r>
    </w:p>
    <w:p w14:paraId="7F114893" w14:textId="3AFE74CB" w:rsidR="0046556D" w:rsidRPr="0046556D" w:rsidRDefault="0046556D" w:rsidP="00E757FA">
      <w:pPr>
        <w:rPr>
          <w:sz w:val="24"/>
          <w:szCs w:val="24"/>
          <w:u w:val="single"/>
        </w:rPr>
      </w:pPr>
      <w:r w:rsidRPr="0046556D">
        <w:rPr>
          <w:sz w:val="24"/>
          <w:szCs w:val="24"/>
          <w:u w:val="single"/>
        </w:rPr>
        <w:t>Secondary Source</w:t>
      </w:r>
    </w:p>
    <w:p w14:paraId="2C047B12" w14:textId="256E3B97" w:rsidR="00E757FA" w:rsidRPr="00E757FA" w:rsidRDefault="0046556D" w:rsidP="00E757FA">
      <w:pPr>
        <w:rPr>
          <w:sz w:val="24"/>
          <w:szCs w:val="24"/>
        </w:rPr>
      </w:pPr>
      <w:r w:rsidRPr="0046556D">
        <w:rPr>
          <w:sz w:val="24"/>
          <w:szCs w:val="24"/>
        </w:rPr>
        <w:t>Gilroy</w:t>
      </w:r>
      <w:r>
        <w:rPr>
          <w:sz w:val="24"/>
          <w:szCs w:val="24"/>
        </w:rPr>
        <w:t>. P,</w:t>
      </w:r>
      <w:r w:rsidRPr="0046556D">
        <w:rPr>
          <w:sz w:val="24"/>
          <w:szCs w:val="24"/>
        </w:rPr>
        <w:t xml:space="preserve"> </w:t>
      </w:r>
      <w:r w:rsidRPr="0046556D">
        <w:rPr>
          <w:i/>
          <w:iCs/>
          <w:sz w:val="24"/>
          <w:szCs w:val="24"/>
        </w:rPr>
        <w:t>The Black Atlantic: Modernity and Double Consciousness (London: Verso, 1993)</w:t>
      </w:r>
      <w:r>
        <w:rPr>
          <w:i/>
          <w:iCs/>
          <w:sz w:val="24"/>
          <w:szCs w:val="24"/>
        </w:rPr>
        <w:t>.</w:t>
      </w:r>
      <w:bookmarkStart w:id="3" w:name="_GoBack"/>
      <w:bookmarkEnd w:id="3"/>
    </w:p>
    <w:sectPr w:rsidR="00E757FA" w:rsidRPr="00E757F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26B7A0" w14:textId="77777777" w:rsidR="00136FB5" w:rsidRDefault="00136FB5" w:rsidP="00CD12EC">
      <w:pPr>
        <w:spacing w:after="0" w:line="240" w:lineRule="auto"/>
      </w:pPr>
      <w:r>
        <w:separator/>
      </w:r>
    </w:p>
  </w:endnote>
  <w:endnote w:type="continuationSeparator" w:id="0">
    <w:p w14:paraId="6BE3D138" w14:textId="77777777" w:rsidR="00136FB5" w:rsidRDefault="00136FB5" w:rsidP="00CD12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F58B0F" w14:textId="77777777" w:rsidR="00136FB5" w:rsidRDefault="00136FB5" w:rsidP="00CD12EC">
      <w:pPr>
        <w:spacing w:after="0" w:line="240" w:lineRule="auto"/>
      </w:pPr>
      <w:r>
        <w:separator/>
      </w:r>
    </w:p>
  </w:footnote>
  <w:footnote w:type="continuationSeparator" w:id="0">
    <w:p w14:paraId="183A0EF8" w14:textId="77777777" w:rsidR="00136FB5" w:rsidRDefault="00136FB5" w:rsidP="00CD12EC">
      <w:pPr>
        <w:spacing w:after="0" w:line="240" w:lineRule="auto"/>
      </w:pPr>
      <w:r>
        <w:continuationSeparator/>
      </w:r>
    </w:p>
  </w:footnote>
  <w:footnote w:id="1">
    <w:p w14:paraId="17C7CC8B" w14:textId="10115E8B" w:rsidR="007546FF" w:rsidRDefault="007546FF" w:rsidP="007546FF">
      <w:pPr>
        <w:pStyle w:val="FootnoteText"/>
      </w:pPr>
      <w:r>
        <w:rPr>
          <w:rStyle w:val="FootnoteReference"/>
        </w:rPr>
        <w:footnoteRef/>
      </w:r>
      <w:r>
        <w:t xml:space="preserve"> </w:t>
      </w:r>
      <w:r w:rsidR="00E757FA">
        <w:t xml:space="preserve">Paul </w:t>
      </w:r>
      <w:r w:rsidRPr="004F3525">
        <w:t xml:space="preserve">Gilroy, </w:t>
      </w:r>
      <w:r w:rsidR="00E757FA" w:rsidRPr="00E757FA">
        <w:rPr>
          <w:i/>
          <w:iCs/>
        </w:rPr>
        <w:t>The Black Atlantic: Modernity and Double Consciousness (London: Verso, 1993</w:t>
      </w:r>
      <w:r w:rsidR="00E757FA">
        <w:rPr>
          <w:i/>
          <w:iCs/>
        </w:rPr>
        <w:t>)</w:t>
      </w:r>
      <w:r w:rsidRPr="004F3525">
        <w:t>, p.</w:t>
      </w:r>
      <w:r>
        <w:t xml:space="preserve"> 15.</w:t>
      </w:r>
    </w:p>
  </w:footnote>
  <w:footnote w:id="2">
    <w:p w14:paraId="66FEA6F8" w14:textId="77777777" w:rsidR="007546FF" w:rsidRDefault="007546FF" w:rsidP="007546FF">
      <w:pPr>
        <w:pStyle w:val="FootnoteText"/>
      </w:pPr>
      <w:r>
        <w:rPr>
          <w:rStyle w:val="FootnoteReference"/>
        </w:rPr>
        <w:footnoteRef/>
      </w:r>
      <w:r>
        <w:t xml:space="preserve"> </w:t>
      </w:r>
      <w:r w:rsidRPr="00D674FC">
        <w:t xml:space="preserve">Gilroy, </w:t>
      </w:r>
      <w:r w:rsidRPr="00D674FC">
        <w:rPr>
          <w:i/>
          <w:iCs/>
        </w:rPr>
        <w:t>The Black Atlantic</w:t>
      </w:r>
      <w:r w:rsidRPr="00D674FC">
        <w:t>, p.</w:t>
      </w:r>
      <w:r>
        <w:t xml:space="preserve"> 40.</w:t>
      </w:r>
    </w:p>
  </w:footnote>
  <w:footnote w:id="3">
    <w:p w14:paraId="525853F4" w14:textId="77777777" w:rsidR="007546FF" w:rsidRDefault="007546FF" w:rsidP="007546FF">
      <w:pPr>
        <w:pStyle w:val="FootnoteText"/>
      </w:pPr>
      <w:r>
        <w:rPr>
          <w:rStyle w:val="FootnoteReference"/>
        </w:rPr>
        <w:footnoteRef/>
      </w:r>
      <w:r>
        <w:t xml:space="preserve"> </w:t>
      </w:r>
      <w:r w:rsidRPr="000957DA">
        <w:t xml:space="preserve">Gilroy, </w:t>
      </w:r>
      <w:r w:rsidRPr="000957DA">
        <w:rPr>
          <w:i/>
          <w:iCs/>
        </w:rPr>
        <w:t>The Black Atlantic</w:t>
      </w:r>
      <w:r w:rsidRPr="000957DA">
        <w:t>, p. 40.</w:t>
      </w:r>
    </w:p>
  </w:footnote>
  <w:footnote w:id="4">
    <w:p w14:paraId="2199AC02" w14:textId="7004A14B" w:rsidR="00CD12EC" w:rsidRDefault="00CD12EC">
      <w:pPr>
        <w:pStyle w:val="FootnoteText"/>
      </w:pPr>
      <w:r>
        <w:rPr>
          <w:rStyle w:val="FootnoteReference"/>
        </w:rPr>
        <w:footnoteRef/>
      </w:r>
      <w:r>
        <w:t xml:space="preserve"> </w:t>
      </w:r>
      <w:r w:rsidRPr="00CD12EC">
        <w:t xml:space="preserve">Gilroy, </w:t>
      </w:r>
      <w:bookmarkStart w:id="0" w:name="_Hlk30062867"/>
      <w:r w:rsidRPr="00CD12EC">
        <w:rPr>
          <w:i/>
          <w:iCs/>
        </w:rPr>
        <w:t>The Black Atlantic</w:t>
      </w:r>
      <w:bookmarkEnd w:id="0"/>
      <w:r w:rsidR="00E757FA">
        <w:rPr>
          <w:i/>
          <w:iCs/>
        </w:rPr>
        <w:t xml:space="preserve">, </w:t>
      </w:r>
      <w:r w:rsidRPr="00CD12EC">
        <w:t>p. 16.</w:t>
      </w:r>
    </w:p>
  </w:footnote>
  <w:footnote w:id="5">
    <w:p w14:paraId="1F687F94" w14:textId="77777777" w:rsidR="00CD12EC" w:rsidRPr="00CD12EC" w:rsidRDefault="00CD12EC">
      <w:pPr>
        <w:pStyle w:val="FootnoteText"/>
      </w:pPr>
      <w:r>
        <w:rPr>
          <w:rStyle w:val="FootnoteReference"/>
        </w:rPr>
        <w:footnoteRef/>
      </w:r>
      <w:r>
        <w:t xml:space="preserve"> </w:t>
      </w:r>
      <w:bookmarkStart w:id="1" w:name="_Hlk30059334"/>
      <w:bookmarkStart w:id="2" w:name="_Hlk30010154"/>
      <w:r>
        <w:t xml:space="preserve">Gilroy, </w:t>
      </w:r>
      <w:r w:rsidRPr="00CD12EC">
        <w:rPr>
          <w:i/>
          <w:iCs/>
        </w:rPr>
        <w:t>The Black Atlantic</w:t>
      </w:r>
      <w:r>
        <w:t>, p.</w:t>
      </w:r>
      <w:bookmarkEnd w:id="1"/>
      <w:r>
        <w:t xml:space="preserve"> </w:t>
      </w:r>
      <w:bookmarkEnd w:id="2"/>
      <w:r>
        <w:t>17.</w:t>
      </w:r>
    </w:p>
  </w:footnote>
  <w:footnote w:id="6">
    <w:p w14:paraId="06F302BF" w14:textId="77777777" w:rsidR="004E6168" w:rsidRDefault="004E6168">
      <w:pPr>
        <w:pStyle w:val="FootnoteText"/>
      </w:pPr>
      <w:r>
        <w:rPr>
          <w:rStyle w:val="FootnoteReference"/>
        </w:rPr>
        <w:footnoteRef/>
      </w:r>
      <w:r>
        <w:t xml:space="preserve"> </w:t>
      </w:r>
      <w:r w:rsidRPr="004E6168">
        <w:t xml:space="preserve">Gilroy, </w:t>
      </w:r>
      <w:r w:rsidRPr="004E6168">
        <w:rPr>
          <w:i/>
          <w:iCs/>
        </w:rPr>
        <w:t>The Black Atlantic</w:t>
      </w:r>
      <w:r w:rsidRPr="004E6168">
        <w:t>, p.</w:t>
      </w:r>
      <w:r>
        <w:t xml:space="preserve"> 4.</w:t>
      </w:r>
    </w:p>
  </w:footnote>
  <w:footnote w:id="7">
    <w:p w14:paraId="33BD12C8" w14:textId="77777777" w:rsidR="000D503C" w:rsidRDefault="000D503C">
      <w:pPr>
        <w:pStyle w:val="FootnoteText"/>
      </w:pPr>
      <w:r>
        <w:rPr>
          <w:rStyle w:val="FootnoteReference"/>
        </w:rPr>
        <w:footnoteRef/>
      </w:r>
      <w:r>
        <w:t xml:space="preserve"> </w:t>
      </w:r>
      <w:r w:rsidRPr="000D503C">
        <w:t xml:space="preserve">Gilroy, </w:t>
      </w:r>
      <w:r w:rsidRPr="000D503C">
        <w:rPr>
          <w:i/>
          <w:iCs/>
        </w:rPr>
        <w:t>The Black Atlantic</w:t>
      </w:r>
      <w:r w:rsidRPr="000D503C">
        <w:t xml:space="preserve">, p. </w:t>
      </w:r>
      <w:r>
        <w:t>78.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F69"/>
    <w:rsid w:val="00023201"/>
    <w:rsid w:val="000957DA"/>
    <w:rsid w:val="000D0BBC"/>
    <w:rsid w:val="000D503C"/>
    <w:rsid w:val="00136FB5"/>
    <w:rsid w:val="001B1895"/>
    <w:rsid w:val="003D578C"/>
    <w:rsid w:val="003E4AE7"/>
    <w:rsid w:val="00410416"/>
    <w:rsid w:val="00440374"/>
    <w:rsid w:val="0046556D"/>
    <w:rsid w:val="004920AD"/>
    <w:rsid w:val="004E1F69"/>
    <w:rsid w:val="004E6168"/>
    <w:rsid w:val="004F3525"/>
    <w:rsid w:val="00501853"/>
    <w:rsid w:val="00514B86"/>
    <w:rsid w:val="005F26BA"/>
    <w:rsid w:val="006657B6"/>
    <w:rsid w:val="007163A0"/>
    <w:rsid w:val="007546FF"/>
    <w:rsid w:val="00755D5A"/>
    <w:rsid w:val="00873D3F"/>
    <w:rsid w:val="0090428C"/>
    <w:rsid w:val="00915A3D"/>
    <w:rsid w:val="00982BAB"/>
    <w:rsid w:val="009A12AF"/>
    <w:rsid w:val="009B487A"/>
    <w:rsid w:val="009D314F"/>
    <w:rsid w:val="009F1027"/>
    <w:rsid w:val="00A15BDD"/>
    <w:rsid w:val="00A72A38"/>
    <w:rsid w:val="00AC159E"/>
    <w:rsid w:val="00AF3D73"/>
    <w:rsid w:val="00AF5502"/>
    <w:rsid w:val="00B06594"/>
    <w:rsid w:val="00B9144C"/>
    <w:rsid w:val="00C44E5D"/>
    <w:rsid w:val="00C675F1"/>
    <w:rsid w:val="00CD12EC"/>
    <w:rsid w:val="00CF3EE0"/>
    <w:rsid w:val="00D34045"/>
    <w:rsid w:val="00D674FC"/>
    <w:rsid w:val="00DF7CAB"/>
    <w:rsid w:val="00E2503E"/>
    <w:rsid w:val="00E37E0D"/>
    <w:rsid w:val="00E757FA"/>
    <w:rsid w:val="00F83E46"/>
    <w:rsid w:val="00FC79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EE3F0"/>
  <w15:chartTrackingRefBased/>
  <w15:docId w15:val="{3D9E8099-6179-4B88-86F3-41F2F5E5F6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D12E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D12EC"/>
    <w:rPr>
      <w:sz w:val="20"/>
      <w:szCs w:val="20"/>
    </w:rPr>
  </w:style>
  <w:style w:type="character" w:styleId="FootnoteReference">
    <w:name w:val="footnote reference"/>
    <w:basedOn w:val="DefaultParagraphFont"/>
    <w:uiPriority w:val="99"/>
    <w:semiHidden/>
    <w:unhideWhenUsed/>
    <w:rsid w:val="00CD12E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2DA7B61-D703-4F7A-8C2D-F1D9D5BF3A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781</Words>
  <Characters>4456</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Griffiths</dc:creator>
  <cp:keywords/>
  <dc:description/>
  <cp:lastModifiedBy>Chris Griffiths</cp:lastModifiedBy>
  <cp:revision>47</cp:revision>
  <dcterms:created xsi:type="dcterms:W3CDTF">2020-01-14T15:48:00Z</dcterms:created>
  <dcterms:modified xsi:type="dcterms:W3CDTF">2020-01-16T10:28:00Z</dcterms:modified>
</cp:coreProperties>
</file>