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68E75F2A"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8D5061">
              <w:rPr>
                <w:rFonts w:asciiTheme="minorHAnsi" w:hAnsiTheme="minorHAnsi" w:cs="Calibri"/>
                <w:lang w:val="de-DE"/>
              </w:rPr>
              <w:t xml:space="preserve"> JiaM</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9D6A693"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LCMB70</w:t>
            </w:r>
            <w:r w:rsidR="008D5061">
              <w:rPr>
                <w:rFonts w:asciiTheme="minorHAnsi" w:hAnsiTheme="minorHAnsi" w:cs="Calibri"/>
              </w:rPr>
              <w:t>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2EA97DDB"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FC19EB">
              <w:t xml:space="preserve"> </w:t>
            </w:r>
            <w:r w:rsidR="00FC19EB" w:rsidRPr="00FC19EB">
              <w:rPr>
                <w:rFonts w:asciiTheme="minorHAnsi" w:hAnsiTheme="minorHAnsi" w:cs="Calibri"/>
              </w:rPr>
              <w:t>2334877</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04A17675"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8D5061">
              <w:rPr>
                <w:rFonts w:asciiTheme="minorHAnsi" w:hAnsiTheme="minorHAnsi" w:cs="Calibri"/>
                <w:b/>
                <w:bCs/>
              </w:rPr>
              <w:t xml:space="preserve">   </w:t>
            </w:r>
            <w:r w:rsidR="008A404E">
              <w:rPr>
                <w:rFonts w:asciiTheme="minorHAnsi" w:hAnsiTheme="minorHAnsi" w:cs="Calibri"/>
                <w:b/>
                <w:bCs/>
              </w:rPr>
              <w:t>Kunj</w:t>
            </w:r>
            <w:r w:rsidR="00FC19EB">
              <w:rPr>
                <w:rFonts w:asciiTheme="minorHAnsi" w:hAnsiTheme="minorHAnsi" w:cs="Calibri"/>
                <w:b/>
                <w:bCs/>
              </w:rPr>
              <w:t xml:space="preserve"> </w:t>
            </w:r>
            <w:r w:rsidR="00FC19EB" w:rsidRPr="00FC19EB">
              <w:rPr>
                <w:rFonts w:asciiTheme="minorHAnsi" w:hAnsiTheme="minorHAnsi" w:cs="Calibri"/>
                <w:b/>
                <w:bCs/>
              </w:rPr>
              <w:t>PATEL</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66A70366" w:rsidR="00160509" w:rsidRPr="00844DE4" w:rsidRDefault="002B1ADA"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497D61CE" w:rsidR="00160509" w:rsidRPr="00844DE4" w:rsidRDefault="00DC6F09" w:rsidP="00A30926">
            <w:pPr>
              <w:pStyle w:val="Header"/>
              <w:jc w:val="center"/>
              <w:rPr>
                <w:rFonts w:cs="Calibri"/>
              </w:rPr>
            </w:pPr>
            <w:r>
              <w:rPr>
                <w:rFonts w:cs="Calibri"/>
              </w:rPr>
              <w:t>1</w:t>
            </w:r>
            <w:r w:rsidR="002B1ADA">
              <w:rPr>
                <w:rFonts w:cs="Calibri"/>
              </w:rPr>
              <w:t>0</w:t>
            </w:r>
          </w:p>
        </w:tc>
        <w:tc>
          <w:tcPr>
            <w:tcW w:w="6521" w:type="dxa"/>
            <w:vAlign w:val="bottom"/>
          </w:tcPr>
          <w:p w14:paraId="7561FE91" w14:textId="26E5F261" w:rsidR="00E00361" w:rsidRPr="00E00361" w:rsidRDefault="00E00361" w:rsidP="00E00361">
            <w:pPr>
              <w:rPr>
                <w:rFonts w:asciiTheme="minorHAnsi" w:hAnsiTheme="minorHAnsi" w:cs="Calibri"/>
                <w:color w:val="000000"/>
                <w:lang w:eastAsia="zh-CN"/>
              </w:rPr>
            </w:pPr>
            <w:r w:rsidRPr="00E00361">
              <w:rPr>
                <w:rFonts w:asciiTheme="minorHAnsi" w:hAnsiTheme="minorHAnsi" w:cs="Calibri"/>
                <w:b/>
                <w:bCs/>
                <w:color w:val="000000"/>
                <w:lang w:eastAsia="zh-CN"/>
              </w:rPr>
              <w:t>What is done well:</w:t>
            </w:r>
            <w:r w:rsidRPr="00E00361">
              <w:rPr>
                <w:rFonts w:asciiTheme="minorHAnsi" w:hAnsiTheme="minorHAnsi" w:cs="Calibri"/>
                <w:color w:val="000000"/>
                <w:lang w:eastAsia="zh-CN"/>
              </w:rPr>
              <w:br/>
              <w:t xml:space="preserve">The student engages </w:t>
            </w:r>
            <w:r w:rsidR="00F862EE">
              <w:rPr>
                <w:rFonts w:asciiTheme="minorHAnsi" w:hAnsiTheme="minorHAnsi" w:cs="Calibri"/>
                <w:color w:val="000000"/>
                <w:lang w:eastAsia="zh-CN"/>
              </w:rPr>
              <w:t>a wide range of</w:t>
            </w:r>
            <w:r w:rsidRPr="00E00361">
              <w:rPr>
                <w:rFonts w:asciiTheme="minorHAnsi" w:hAnsiTheme="minorHAnsi" w:cs="Calibri"/>
                <w:color w:val="000000"/>
                <w:lang w:eastAsia="zh-CN"/>
              </w:rPr>
              <w:t xml:space="preserve"> sources, </w:t>
            </w:r>
            <w:r w:rsidR="00F862EE">
              <w:rPr>
                <w:rFonts w:asciiTheme="minorHAnsi" w:hAnsiTheme="minorHAnsi" w:cs="Calibri"/>
                <w:color w:val="000000"/>
                <w:lang w:eastAsia="zh-CN"/>
              </w:rPr>
              <w:t>many of which are recent</w:t>
            </w:r>
            <w:r w:rsidRPr="00E00361">
              <w:rPr>
                <w:rFonts w:asciiTheme="minorHAnsi" w:hAnsiTheme="minorHAnsi" w:cs="Calibri"/>
                <w:color w:val="000000"/>
                <w:lang w:eastAsia="zh-CN"/>
              </w:rPr>
              <w:t xml:space="preserve">. The literature </w:t>
            </w:r>
            <w:r w:rsidR="00F862EE">
              <w:rPr>
                <w:rFonts w:asciiTheme="minorHAnsi" w:hAnsiTheme="minorHAnsi" w:cs="Calibri"/>
                <w:color w:val="000000"/>
                <w:lang w:eastAsia="zh-CN"/>
              </w:rPr>
              <w:t>covers</w:t>
            </w:r>
            <w:r w:rsidRPr="00E00361">
              <w:rPr>
                <w:rFonts w:asciiTheme="minorHAnsi" w:hAnsiTheme="minorHAnsi" w:cs="Calibri"/>
                <w:color w:val="000000"/>
                <w:lang w:eastAsia="zh-CN"/>
              </w:rPr>
              <w:t xml:space="preserve"> globalisation in </w:t>
            </w:r>
            <w:r w:rsidR="00F862EE" w:rsidRPr="00E00361">
              <w:rPr>
                <w:rFonts w:asciiTheme="minorHAnsi" w:hAnsiTheme="minorHAnsi" w:cs="Calibri"/>
                <w:color w:val="000000"/>
                <w:lang w:eastAsia="zh-CN"/>
              </w:rPr>
              <w:t>pharma</w:t>
            </w:r>
            <w:r w:rsidR="00F862EE">
              <w:rPr>
                <w:rFonts w:asciiTheme="minorHAnsi" w:hAnsiTheme="minorHAnsi" w:cs="Calibri"/>
                <w:color w:val="000000"/>
                <w:lang w:eastAsia="zh-CN"/>
              </w:rPr>
              <w:t>ceutical</w:t>
            </w:r>
            <w:r w:rsidRPr="00E00361">
              <w:rPr>
                <w:rFonts w:asciiTheme="minorHAnsi" w:hAnsiTheme="minorHAnsi" w:cs="Calibri"/>
                <w:color w:val="000000"/>
                <w:lang w:eastAsia="zh-CN"/>
              </w:rPr>
              <w:t xml:space="preserve">, regulatory compliance, risk, IP law, and digital transformation. </w:t>
            </w:r>
            <w:r w:rsidR="00F862EE">
              <w:rPr>
                <w:rFonts w:asciiTheme="minorHAnsi" w:hAnsiTheme="minorHAnsi" w:cs="Calibri"/>
                <w:color w:val="000000"/>
                <w:lang w:eastAsia="zh-CN"/>
              </w:rPr>
              <w:t>Coverage of</w:t>
            </w:r>
            <w:r w:rsidRPr="00E00361">
              <w:rPr>
                <w:rFonts w:asciiTheme="minorHAnsi" w:hAnsiTheme="minorHAnsi" w:cs="Calibri"/>
                <w:color w:val="000000"/>
                <w:lang w:eastAsia="zh-CN"/>
              </w:rPr>
              <w:t xml:space="preserve"> country</w:t>
            </w:r>
            <w:r w:rsidR="00F862EE">
              <w:rPr>
                <w:rFonts w:asciiTheme="minorHAnsi" w:hAnsiTheme="minorHAnsi" w:cs="Calibri"/>
                <w:color w:val="000000"/>
                <w:lang w:eastAsia="zh-CN"/>
              </w:rPr>
              <w:t xml:space="preserve"> </w:t>
            </w:r>
            <w:r w:rsidRPr="00E00361">
              <w:rPr>
                <w:rFonts w:asciiTheme="minorHAnsi" w:hAnsiTheme="minorHAnsi" w:cs="Calibri"/>
                <w:color w:val="000000"/>
                <w:lang w:eastAsia="zh-CN"/>
              </w:rPr>
              <w:t xml:space="preserve">specific regulatory challenges are </w:t>
            </w:r>
            <w:r w:rsidR="00F862EE">
              <w:rPr>
                <w:rFonts w:asciiTheme="minorHAnsi" w:hAnsiTheme="minorHAnsi" w:cs="Calibri"/>
                <w:color w:val="000000"/>
                <w:lang w:eastAsia="zh-CN"/>
              </w:rPr>
              <w:t>clear</w:t>
            </w:r>
            <w:r w:rsidRPr="00E00361">
              <w:rPr>
                <w:rFonts w:asciiTheme="minorHAnsi" w:hAnsiTheme="minorHAnsi" w:cs="Calibri"/>
                <w:color w:val="000000"/>
                <w:lang w:eastAsia="zh-CN"/>
              </w:rPr>
              <w:t>.</w:t>
            </w:r>
          </w:p>
          <w:p w14:paraId="4B6FF078" w14:textId="6E7DB950" w:rsidR="00E00361" w:rsidRPr="00E00361" w:rsidRDefault="00E00361" w:rsidP="00E00361">
            <w:pPr>
              <w:rPr>
                <w:rFonts w:asciiTheme="minorHAnsi" w:hAnsiTheme="minorHAnsi" w:cs="Calibri"/>
                <w:color w:val="000000"/>
                <w:lang w:eastAsia="zh-CN"/>
              </w:rPr>
            </w:pPr>
            <w:r w:rsidRPr="00E00361">
              <w:rPr>
                <w:rFonts w:asciiTheme="minorHAnsi" w:hAnsiTheme="minorHAnsi" w:cs="Calibri"/>
                <w:b/>
                <w:bCs/>
                <w:color w:val="000000"/>
                <w:lang w:eastAsia="zh-CN"/>
              </w:rPr>
              <w:t>What could have been done differently:</w:t>
            </w:r>
            <w:r w:rsidRPr="00E00361">
              <w:rPr>
                <w:rFonts w:asciiTheme="minorHAnsi" w:hAnsiTheme="minorHAnsi" w:cs="Calibri"/>
                <w:color w:val="000000"/>
                <w:lang w:eastAsia="zh-CN"/>
              </w:rPr>
              <w:br/>
            </w:r>
            <w:r w:rsidR="00F862EE">
              <w:rPr>
                <w:rFonts w:asciiTheme="minorHAnsi" w:hAnsiTheme="minorHAnsi" w:cs="Calibri"/>
                <w:color w:val="000000"/>
                <w:lang w:eastAsia="zh-CN"/>
              </w:rPr>
              <w:t>The</w:t>
            </w:r>
            <w:r w:rsidRPr="00E00361">
              <w:rPr>
                <w:rFonts w:asciiTheme="minorHAnsi" w:hAnsiTheme="minorHAnsi" w:cs="Calibri"/>
                <w:color w:val="000000"/>
                <w:lang w:eastAsia="zh-CN"/>
              </w:rPr>
              <w:t xml:space="preserve"> review </w:t>
            </w:r>
            <w:r w:rsidR="00F862EE">
              <w:rPr>
                <w:rFonts w:asciiTheme="minorHAnsi" w:hAnsiTheme="minorHAnsi" w:cs="Calibri"/>
                <w:color w:val="000000"/>
                <w:lang w:eastAsia="zh-CN"/>
              </w:rPr>
              <w:t>could be more</w:t>
            </w:r>
            <w:r w:rsidRPr="00E00361">
              <w:rPr>
                <w:rFonts w:asciiTheme="minorHAnsi" w:hAnsiTheme="minorHAnsi" w:cs="Calibri"/>
                <w:color w:val="000000"/>
                <w:lang w:eastAsia="zh-CN"/>
              </w:rPr>
              <w:t xml:space="preserve"> critique. </w:t>
            </w:r>
            <w:r w:rsidR="00F862EE" w:rsidRPr="00F862EE">
              <w:rPr>
                <w:rFonts w:asciiTheme="minorHAnsi" w:hAnsiTheme="minorHAnsi" w:cs="Calibri"/>
                <w:color w:val="000000"/>
                <w:lang w:eastAsia="zh-CN"/>
              </w:rPr>
              <w:t>Create a</w:t>
            </w:r>
            <w:r w:rsidR="00F862EE">
              <w:rPr>
                <w:rFonts w:asciiTheme="minorHAnsi" w:hAnsiTheme="minorHAnsi" w:cs="Calibri"/>
                <w:color w:val="000000"/>
                <w:lang w:eastAsia="zh-CN"/>
              </w:rPr>
              <w:t xml:space="preserve"> theorectical</w:t>
            </w:r>
            <w:r w:rsidR="00F862EE" w:rsidRPr="00F862EE">
              <w:rPr>
                <w:rFonts w:asciiTheme="minorHAnsi" w:hAnsiTheme="minorHAnsi" w:cs="Calibri"/>
                <w:color w:val="000000"/>
                <w:lang w:eastAsia="zh-CN"/>
              </w:rPr>
              <w:t xml:space="preserve"> model</w:t>
            </w:r>
            <w:r w:rsidR="00F862EE">
              <w:rPr>
                <w:rFonts w:asciiTheme="minorHAnsi" w:hAnsiTheme="minorHAnsi" w:cs="Calibri"/>
                <w:color w:val="000000"/>
                <w:lang w:eastAsia="zh-CN"/>
              </w:rPr>
              <w:t>, consolidating relevant theories to show how it</w:t>
            </w:r>
            <w:r w:rsidR="00F862EE" w:rsidRPr="00F862EE">
              <w:rPr>
                <w:rFonts w:asciiTheme="minorHAnsi" w:hAnsiTheme="minorHAnsi" w:cs="Calibri"/>
                <w:color w:val="000000"/>
                <w:lang w:eastAsia="zh-CN"/>
              </w:rPr>
              <w:t xml:space="preserve"> supports the research questions </w:t>
            </w:r>
            <w:r w:rsidR="00F862EE">
              <w:rPr>
                <w:rFonts w:asciiTheme="minorHAnsi" w:hAnsiTheme="minorHAnsi" w:cs="Calibri"/>
                <w:color w:val="000000"/>
                <w:lang w:eastAsia="zh-CN"/>
              </w:rPr>
              <w:t>and objectives</w:t>
            </w:r>
            <w:r w:rsidRPr="00E00361">
              <w:rPr>
                <w:rFonts w:asciiTheme="minorHAnsi" w:hAnsiTheme="minorHAnsi" w:cs="Calibri"/>
                <w:color w:val="000000"/>
                <w:lang w:eastAsia="zh-CN"/>
              </w:rPr>
              <w:t>.</w:t>
            </w:r>
          </w:p>
          <w:p w14:paraId="2AB8EBAE" w14:textId="6197E1B1" w:rsidR="0031574F" w:rsidRPr="006824F1" w:rsidRDefault="00E00361" w:rsidP="00F862EE">
            <w:pPr>
              <w:rPr>
                <w:rFonts w:asciiTheme="minorHAnsi" w:hAnsiTheme="minorHAnsi" w:cs="Calibri"/>
                <w:color w:val="000000"/>
                <w:lang w:eastAsia="zh-CN"/>
              </w:rPr>
            </w:pPr>
            <w:r w:rsidRPr="00E00361">
              <w:rPr>
                <w:rFonts w:asciiTheme="minorHAnsi" w:hAnsiTheme="minorHAnsi" w:cs="Calibri"/>
                <w:b/>
                <w:bCs/>
                <w:color w:val="000000"/>
                <w:lang w:eastAsia="zh-CN"/>
              </w:rPr>
              <w:t>How to do better next time:</w:t>
            </w:r>
            <w:r w:rsidRPr="00E00361">
              <w:rPr>
                <w:rFonts w:asciiTheme="minorHAnsi" w:hAnsiTheme="minorHAnsi" w:cs="Calibri"/>
                <w:color w:val="000000"/>
                <w:lang w:eastAsia="zh-CN"/>
              </w:rPr>
              <w:br/>
              <w:t>Engage more critically with the literature</w:t>
            </w:r>
            <w:r w:rsidR="00F862EE">
              <w:rPr>
                <w:rFonts w:asciiTheme="minorHAnsi" w:hAnsiTheme="minorHAnsi" w:cs="Calibri"/>
                <w:color w:val="000000"/>
                <w:lang w:eastAsia="zh-CN"/>
              </w:rPr>
              <w:t xml:space="preserve">: for instance the student can further </w:t>
            </w:r>
            <w:r w:rsidRPr="00E00361">
              <w:rPr>
                <w:rFonts w:asciiTheme="minorHAnsi" w:hAnsiTheme="minorHAnsi" w:cs="Calibri"/>
                <w:color w:val="000000"/>
                <w:lang w:eastAsia="zh-CN"/>
              </w:rPr>
              <w:t xml:space="preserve">compare different authors’ views on regulatory compliance </w:t>
            </w:r>
            <w:r w:rsidR="00F862EE">
              <w:rPr>
                <w:rFonts w:asciiTheme="minorHAnsi" w:hAnsiTheme="minorHAnsi" w:cs="Calibri"/>
                <w:color w:val="000000"/>
                <w:lang w:eastAsia="zh-CN"/>
              </w:rPr>
              <w:t>and</w:t>
            </w:r>
            <w:r w:rsidRPr="00E00361">
              <w:rPr>
                <w:rFonts w:asciiTheme="minorHAnsi" w:hAnsiTheme="minorHAnsi" w:cs="Calibri"/>
                <w:color w:val="000000"/>
                <w:lang w:eastAsia="zh-CN"/>
              </w:rPr>
              <w:t xml:space="preserve"> innovation strategy. </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7C3A3DC4" w:rsidR="00160509" w:rsidRPr="00844DE4" w:rsidRDefault="005D1610" w:rsidP="00366927">
            <w:pPr>
              <w:pStyle w:val="Header"/>
              <w:jc w:val="center"/>
              <w:rPr>
                <w:rFonts w:cs="Calibri"/>
              </w:rPr>
            </w:pPr>
            <w:r>
              <w:rPr>
                <w:rFonts w:cs="Calibri"/>
              </w:rPr>
              <w:t>2</w:t>
            </w:r>
            <w:r w:rsidR="00160509" w:rsidRPr="00844DE4">
              <w:rPr>
                <w:rFonts w:cs="Calibri"/>
              </w:rPr>
              <w:t>0%</w:t>
            </w:r>
          </w:p>
        </w:tc>
        <w:tc>
          <w:tcPr>
            <w:tcW w:w="1276" w:type="dxa"/>
            <w:vAlign w:val="center"/>
          </w:tcPr>
          <w:p w14:paraId="36995689" w14:textId="372CDD4D" w:rsidR="00160509" w:rsidRPr="00844DE4" w:rsidRDefault="005D1610" w:rsidP="00A30926">
            <w:pPr>
              <w:pStyle w:val="Header"/>
              <w:jc w:val="center"/>
              <w:rPr>
                <w:rFonts w:cs="Calibri"/>
              </w:rPr>
            </w:pPr>
            <w:r>
              <w:rPr>
                <w:rFonts w:cs="Calibri"/>
              </w:rPr>
              <w:t>1</w:t>
            </w:r>
            <w:r w:rsidR="00881483">
              <w:rPr>
                <w:rFonts w:cs="Calibri"/>
              </w:rPr>
              <w:t>3</w:t>
            </w:r>
          </w:p>
        </w:tc>
        <w:tc>
          <w:tcPr>
            <w:tcW w:w="6521" w:type="dxa"/>
            <w:vAlign w:val="bottom"/>
          </w:tcPr>
          <w:p w14:paraId="73D2278B" w14:textId="2BE6FAA8"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is done well:</w:t>
            </w:r>
            <w:r w:rsidRPr="00E00361">
              <w:rPr>
                <w:rFonts w:asciiTheme="minorHAnsi" w:hAnsiTheme="minorHAnsi"/>
              </w:rPr>
              <w:br/>
              <w:t>There is strong and detailed knowledge of the pharmaceutical sector, especially in the context of Indian companies expanding globally. Key theories (e.g., Porter’s Five Forces, PESTEL, risk management frameworks) are explained well and linked to Alembic’s case.</w:t>
            </w:r>
          </w:p>
          <w:p w14:paraId="60440085" w14:textId="0FF2B155"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could have been done differently:</w:t>
            </w:r>
            <w:r w:rsidRPr="00E00361">
              <w:rPr>
                <w:rFonts w:asciiTheme="minorHAnsi" w:hAnsiTheme="minorHAnsi"/>
              </w:rPr>
              <w:br/>
              <w:t xml:space="preserve">Although </w:t>
            </w:r>
            <w:r w:rsidR="001544D4">
              <w:rPr>
                <w:rFonts w:asciiTheme="minorHAnsi" w:hAnsiTheme="minorHAnsi"/>
              </w:rPr>
              <w:t>well reviewed</w:t>
            </w:r>
            <w:r w:rsidRPr="00E00361">
              <w:rPr>
                <w:rFonts w:asciiTheme="minorHAnsi" w:hAnsiTheme="minorHAnsi"/>
              </w:rPr>
              <w:t xml:space="preserve">, theoretical frameworks </w:t>
            </w:r>
            <w:r w:rsidR="001544D4">
              <w:rPr>
                <w:rFonts w:asciiTheme="minorHAnsi" w:hAnsiTheme="minorHAnsi"/>
              </w:rPr>
              <w:t>should be</w:t>
            </w:r>
            <w:r w:rsidRPr="00E00361">
              <w:rPr>
                <w:rFonts w:asciiTheme="minorHAnsi" w:hAnsiTheme="minorHAnsi"/>
              </w:rPr>
              <w:t xml:space="preserve"> used to interpret the data findings. For example, PESTEL or Porter’s analysis introduced early is not connected to results later.</w:t>
            </w:r>
          </w:p>
          <w:p w14:paraId="2BD4E66E" w14:textId="1D6060D3" w:rsidR="00E00361" w:rsidRPr="00E00361" w:rsidRDefault="00E00361" w:rsidP="00E00361">
            <w:pPr>
              <w:spacing w:after="160" w:line="278" w:lineRule="auto"/>
              <w:rPr>
                <w:rFonts w:asciiTheme="minorHAnsi" w:hAnsiTheme="minorHAnsi"/>
              </w:rPr>
            </w:pPr>
            <w:r w:rsidRPr="00E00361">
              <w:rPr>
                <w:rFonts w:asciiTheme="minorHAnsi" w:hAnsiTheme="minorHAnsi"/>
                <w:b/>
                <w:bCs/>
              </w:rPr>
              <w:t>How to do better next time:</w:t>
            </w:r>
            <w:r w:rsidRPr="00E00361">
              <w:rPr>
                <w:rFonts w:asciiTheme="minorHAnsi" w:hAnsiTheme="minorHAnsi"/>
              </w:rPr>
              <w:br/>
            </w:r>
            <w:r w:rsidR="001544D4">
              <w:rPr>
                <w:rFonts w:asciiTheme="minorHAnsi" w:hAnsiTheme="minorHAnsi"/>
              </w:rPr>
              <w:t>Apply the</w:t>
            </w:r>
            <w:r w:rsidRPr="00E00361">
              <w:rPr>
                <w:rFonts w:asciiTheme="minorHAnsi" w:hAnsiTheme="minorHAnsi"/>
              </w:rPr>
              <w:t xml:space="preserve"> theoretical </w:t>
            </w:r>
            <w:r w:rsidR="001544D4">
              <w:rPr>
                <w:rFonts w:asciiTheme="minorHAnsi" w:hAnsiTheme="minorHAnsi"/>
              </w:rPr>
              <w:t>framework</w:t>
            </w:r>
            <w:r w:rsidRPr="00E00361">
              <w:rPr>
                <w:rFonts w:asciiTheme="minorHAnsi" w:hAnsiTheme="minorHAnsi"/>
              </w:rPr>
              <w:t xml:space="preserve"> throughout the dissertation</w:t>
            </w:r>
            <w:r w:rsidR="001544D4">
              <w:rPr>
                <w:rFonts w:asciiTheme="minorHAnsi" w:hAnsiTheme="minorHAnsi"/>
              </w:rPr>
              <w:t xml:space="preserve">, </w:t>
            </w:r>
            <w:r w:rsidRPr="00E00361">
              <w:rPr>
                <w:rFonts w:asciiTheme="minorHAnsi" w:hAnsiTheme="minorHAnsi"/>
              </w:rPr>
              <w:t xml:space="preserve">especially in the analysis and discussion chapters. </w:t>
            </w:r>
            <w:r w:rsidR="001544D4">
              <w:rPr>
                <w:rFonts w:asciiTheme="minorHAnsi" w:hAnsiTheme="minorHAnsi"/>
              </w:rPr>
              <w:t>This is the whole purpose of introducing them in the first place</w:t>
            </w:r>
            <w:r w:rsidRPr="00E00361">
              <w:rPr>
                <w:rFonts w:asciiTheme="minorHAnsi" w:hAnsiTheme="minorHAnsi"/>
              </w:rPr>
              <w:t>.</w:t>
            </w:r>
          </w:p>
          <w:p w14:paraId="33999233" w14:textId="5BF432AC" w:rsidR="00E91D2C" w:rsidRPr="006824F1" w:rsidRDefault="00E91D2C" w:rsidP="00B00182">
            <w:pPr>
              <w:spacing w:after="160" w:line="278" w:lineRule="auto"/>
              <w:rPr>
                <w:rFonts w:asciiTheme="minorHAnsi" w:hAnsiTheme="minorHAnsi"/>
              </w:rPr>
            </w:pP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1AE539D5" w:rsidR="00160509" w:rsidRPr="00844DE4" w:rsidRDefault="002B1ADA" w:rsidP="00A30926">
            <w:pPr>
              <w:pStyle w:val="Header"/>
              <w:jc w:val="center"/>
              <w:rPr>
                <w:rFonts w:cs="Calibri"/>
              </w:rPr>
            </w:pPr>
            <w:r>
              <w:rPr>
                <w:rFonts w:cs="Calibri"/>
              </w:rPr>
              <w:t>3</w:t>
            </w:r>
            <w:r w:rsidR="005D1610">
              <w:rPr>
                <w:rFonts w:cs="Calibri"/>
              </w:rPr>
              <w:t>0</w:t>
            </w:r>
            <w:r w:rsidR="00160509" w:rsidRPr="00844DE4">
              <w:rPr>
                <w:rFonts w:cs="Calibri"/>
              </w:rPr>
              <w:t>%</w:t>
            </w:r>
          </w:p>
        </w:tc>
        <w:tc>
          <w:tcPr>
            <w:tcW w:w="1276" w:type="dxa"/>
            <w:vAlign w:val="center"/>
          </w:tcPr>
          <w:p w14:paraId="340C02D5" w14:textId="75ACF21F" w:rsidR="00160509" w:rsidRPr="00844DE4" w:rsidRDefault="002B1ADA" w:rsidP="00A30926">
            <w:pPr>
              <w:pStyle w:val="Header"/>
              <w:jc w:val="center"/>
              <w:rPr>
                <w:rFonts w:cs="Calibri"/>
              </w:rPr>
            </w:pPr>
            <w:r>
              <w:rPr>
                <w:rFonts w:cs="Calibri"/>
              </w:rPr>
              <w:t>20</w:t>
            </w:r>
          </w:p>
        </w:tc>
        <w:tc>
          <w:tcPr>
            <w:tcW w:w="6521" w:type="dxa"/>
            <w:vAlign w:val="bottom"/>
          </w:tcPr>
          <w:p w14:paraId="41E81876" w14:textId="50EBF794"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is done well:</w:t>
            </w:r>
            <w:r w:rsidRPr="00E00361">
              <w:rPr>
                <w:rFonts w:asciiTheme="minorHAnsi" w:hAnsiTheme="minorHAnsi"/>
              </w:rPr>
              <w:br/>
            </w:r>
            <w:r w:rsidR="00F862EE">
              <w:rPr>
                <w:rFonts w:asciiTheme="minorHAnsi" w:hAnsiTheme="minorHAnsi"/>
              </w:rPr>
              <w:t>Good to see that f</w:t>
            </w:r>
            <w:r w:rsidRPr="00E00361">
              <w:rPr>
                <w:rFonts w:asciiTheme="minorHAnsi" w:hAnsiTheme="minorHAnsi"/>
              </w:rPr>
              <w:t xml:space="preserve">indings are interpreted </w:t>
            </w:r>
            <w:r w:rsidR="00F862EE">
              <w:rPr>
                <w:rFonts w:asciiTheme="minorHAnsi" w:hAnsiTheme="minorHAnsi"/>
              </w:rPr>
              <w:t>linking to</w:t>
            </w:r>
            <w:r w:rsidRPr="00E00361">
              <w:rPr>
                <w:rFonts w:asciiTheme="minorHAnsi" w:hAnsiTheme="minorHAnsi"/>
              </w:rPr>
              <w:t xml:space="preserve"> broader business trends (e.g., biosimilar markets, digitalisation). The </w:t>
            </w:r>
            <w:r w:rsidRPr="00E00361">
              <w:rPr>
                <w:rFonts w:asciiTheme="minorHAnsi" w:hAnsiTheme="minorHAnsi"/>
              </w:rPr>
              <w:lastRenderedPageBreak/>
              <w:t xml:space="preserve">student </w:t>
            </w:r>
            <w:r w:rsidR="00F862EE">
              <w:rPr>
                <w:rFonts w:asciiTheme="minorHAnsi" w:hAnsiTheme="minorHAnsi"/>
              </w:rPr>
              <w:t>provides good insights</w:t>
            </w:r>
            <w:r w:rsidRPr="00E00361">
              <w:rPr>
                <w:rFonts w:asciiTheme="minorHAnsi" w:hAnsiTheme="minorHAnsi"/>
              </w:rPr>
              <w:t xml:space="preserve"> on both strengths and weaknesses of Alembic’s internationalisation.</w:t>
            </w:r>
          </w:p>
          <w:p w14:paraId="7FFF4EF0" w14:textId="21D570F6"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could have been done differently:</w:t>
            </w:r>
            <w:r w:rsidRPr="00E00361">
              <w:rPr>
                <w:rFonts w:asciiTheme="minorHAnsi" w:hAnsiTheme="minorHAnsi"/>
              </w:rPr>
              <w:br/>
              <w:t xml:space="preserve">More critical </w:t>
            </w:r>
            <w:r w:rsidR="0019066F">
              <w:rPr>
                <w:rFonts w:asciiTheme="minorHAnsi" w:hAnsiTheme="minorHAnsi"/>
              </w:rPr>
              <w:t>analysis to improve the</w:t>
            </w:r>
            <w:r w:rsidRPr="00E00361">
              <w:rPr>
                <w:rFonts w:asciiTheme="minorHAnsi" w:hAnsiTheme="minorHAnsi"/>
              </w:rPr>
              <w:t xml:space="preserve"> depth</w:t>
            </w:r>
            <w:r w:rsidR="0019066F">
              <w:rPr>
                <w:rFonts w:asciiTheme="minorHAnsi" w:hAnsiTheme="minorHAnsi"/>
              </w:rPr>
              <w:t xml:space="preserve"> of the study</w:t>
            </w:r>
            <w:r w:rsidRPr="00E00361">
              <w:rPr>
                <w:rFonts w:asciiTheme="minorHAnsi" w:hAnsiTheme="minorHAnsi"/>
              </w:rPr>
              <w:t xml:space="preserve">. For instance, </w:t>
            </w:r>
            <w:r w:rsidR="0019066F">
              <w:rPr>
                <w:rFonts w:asciiTheme="minorHAnsi" w:hAnsiTheme="minorHAnsi"/>
              </w:rPr>
              <w:t xml:space="preserve">expand the discussion on </w:t>
            </w:r>
            <w:r w:rsidRPr="00E00361">
              <w:rPr>
                <w:rFonts w:asciiTheme="minorHAnsi" w:hAnsiTheme="minorHAnsi"/>
              </w:rPr>
              <w:t>the challenges of localising production or competing in IP-heavy markets</w:t>
            </w:r>
            <w:r w:rsidR="0019066F">
              <w:rPr>
                <w:rFonts w:asciiTheme="minorHAnsi" w:hAnsiTheme="minorHAnsi"/>
              </w:rPr>
              <w:t>.</w:t>
            </w:r>
          </w:p>
          <w:p w14:paraId="008458DC" w14:textId="7C655D8E" w:rsidR="00E00361" w:rsidRPr="00E00361" w:rsidRDefault="00E00361" w:rsidP="00E00361">
            <w:pPr>
              <w:spacing w:after="160" w:line="278" w:lineRule="auto"/>
              <w:rPr>
                <w:rFonts w:asciiTheme="minorHAnsi" w:hAnsiTheme="minorHAnsi"/>
              </w:rPr>
            </w:pPr>
            <w:r w:rsidRPr="00E00361">
              <w:rPr>
                <w:rFonts w:asciiTheme="minorHAnsi" w:hAnsiTheme="minorHAnsi"/>
                <w:b/>
                <w:bCs/>
              </w:rPr>
              <w:t>How to do better next time:</w:t>
            </w:r>
            <w:r w:rsidRPr="00E00361">
              <w:rPr>
                <w:rFonts w:asciiTheme="minorHAnsi" w:hAnsiTheme="minorHAnsi"/>
              </w:rPr>
              <w:br/>
            </w:r>
            <w:r w:rsidR="0019066F">
              <w:rPr>
                <w:rFonts w:asciiTheme="minorHAnsi" w:hAnsiTheme="minorHAnsi"/>
              </w:rPr>
              <w:t>Bring up more “questions” that could be answered critically. For instance: w</w:t>
            </w:r>
            <w:r w:rsidRPr="00E00361">
              <w:rPr>
                <w:rFonts w:asciiTheme="minorHAnsi" w:hAnsiTheme="minorHAnsi"/>
              </w:rPr>
              <w:t xml:space="preserve">hy did Alembic succeed in some regions but not others? </w:t>
            </w:r>
            <w:r w:rsidR="0019066F">
              <w:rPr>
                <w:rFonts w:asciiTheme="minorHAnsi" w:hAnsiTheme="minorHAnsi"/>
              </w:rPr>
              <w:t>w</w:t>
            </w:r>
            <w:r w:rsidRPr="00E00361">
              <w:rPr>
                <w:rFonts w:asciiTheme="minorHAnsi" w:hAnsiTheme="minorHAnsi"/>
              </w:rPr>
              <w:t>hy might R&amp;D spending not always correlate with market share?</w:t>
            </w:r>
          </w:p>
          <w:p w14:paraId="4BD5801E" w14:textId="4248D15E" w:rsidR="00E91D2C" w:rsidRPr="001D4880" w:rsidRDefault="00E91D2C" w:rsidP="00B00182">
            <w:pPr>
              <w:spacing w:after="160" w:line="278" w:lineRule="auto"/>
              <w:rPr>
                <w:rFonts w:asciiTheme="minorHAnsi" w:hAnsiTheme="minorHAns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00FD8CB5" w:rsidR="00160509" w:rsidRPr="00844DE4" w:rsidRDefault="005D1610"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41D9C172" w:rsidR="00160509" w:rsidRPr="00844DE4" w:rsidRDefault="00537CEF" w:rsidP="00A30926">
            <w:pPr>
              <w:pStyle w:val="Header"/>
              <w:jc w:val="center"/>
              <w:rPr>
                <w:rFonts w:cs="Calibri"/>
              </w:rPr>
            </w:pPr>
            <w:r>
              <w:rPr>
                <w:rFonts w:cs="Calibri"/>
              </w:rPr>
              <w:t>14</w:t>
            </w:r>
          </w:p>
        </w:tc>
        <w:tc>
          <w:tcPr>
            <w:tcW w:w="6521" w:type="dxa"/>
            <w:vAlign w:val="bottom"/>
          </w:tcPr>
          <w:p w14:paraId="28C80F79" w14:textId="67C59327" w:rsidR="00E00361" w:rsidRPr="0019066F" w:rsidRDefault="00E00361" w:rsidP="0019066F">
            <w:pPr>
              <w:spacing w:after="160" w:line="278" w:lineRule="auto"/>
              <w:rPr>
                <w:rFonts w:asciiTheme="minorHAnsi" w:hAnsiTheme="minorHAnsi"/>
              </w:rPr>
            </w:pPr>
            <w:r w:rsidRPr="00FE79F7">
              <w:rPr>
                <w:rFonts w:asciiTheme="minorHAnsi" w:hAnsiTheme="minorHAnsi"/>
                <w:b/>
                <w:bCs/>
              </w:rPr>
              <w:t>What is done well:</w:t>
            </w:r>
            <w:r w:rsidRPr="00E00361">
              <w:rPr>
                <w:rFonts w:asciiTheme="minorHAnsi" w:hAnsiTheme="minorHAnsi"/>
              </w:rPr>
              <w:br/>
            </w:r>
            <w:r w:rsidRPr="0019066F">
              <w:rPr>
                <w:rFonts w:asciiTheme="minorHAnsi" w:hAnsiTheme="minorHAnsi"/>
              </w:rPr>
              <w:t xml:space="preserve">The dissertation is based </w:t>
            </w:r>
            <w:r w:rsidR="00FE79F7" w:rsidRPr="0019066F">
              <w:rPr>
                <w:rFonts w:asciiTheme="minorHAnsi" w:hAnsiTheme="minorHAnsi"/>
              </w:rPr>
              <w:t>on secondary</w:t>
            </w:r>
            <w:r w:rsidRPr="0019066F">
              <w:rPr>
                <w:rFonts w:asciiTheme="minorHAnsi" w:hAnsiTheme="minorHAnsi"/>
              </w:rPr>
              <w:t xml:space="preserve"> </w:t>
            </w:r>
            <w:r w:rsidR="0019066F">
              <w:rPr>
                <w:rFonts w:asciiTheme="minorHAnsi" w:hAnsiTheme="minorHAnsi"/>
              </w:rPr>
              <w:t>data</w:t>
            </w:r>
            <w:r w:rsidRPr="0019066F">
              <w:rPr>
                <w:rFonts w:asciiTheme="minorHAnsi" w:hAnsiTheme="minorHAnsi"/>
              </w:rPr>
              <w:t xml:space="preserve">, </w:t>
            </w:r>
            <w:r w:rsidR="0019066F">
              <w:rPr>
                <w:rFonts w:asciiTheme="minorHAnsi" w:hAnsiTheme="minorHAnsi"/>
              </w:rPr>
              <w:t>including a</w:t>
            </w:r>
            <w:r w:rsidRPr="0019066F">
              <w:rPr>
                <w:rFonts w:asciiTheme="minorHAnsi" w:hAnsiTheme="minorHAnsi"/>
              </w:rPr>
              <w:t xml:space="preserve">nnual </w:t>
            </w:r>
            <w:r w:rsidR="0019066F">
              <w:rPr>
                <w:rFonts w:asciiTheme="minorHAnsi" w:hAnsiTheme="minorHAnsi"/>
              </w:rPr>
              <w:t>r</w:t>
            </w:r>
            <w:r w:rsidRPr="0019066F">
              <w:rPr>
                <w:rFonts w:asciiTheme="minorHAnsi" w:hAnsiTheme="minorHAnsi"/>
              </w:rPr>
              <w:t>eports,</w:t>
            </w:r>
            <w:r w:rsidR="0019066F">
              <w:rPr>
                <w:rFonts w:asciiTheme="minorHAnsi" w:hAnsiTheme="minorHAnsi"/>
              </w:rPr>
              <w:t xml:space="preserve"> r</w:t>
            </w:r>
            <w:r w:rsidRPr="0019066F">
              <w:rPr>
                <w:rFonts w:asciiTheme="minorHAnsi" w:hAnsiTheme="minorHAnsi"/>
              </w:rPr>
              <w:t>egulatory data (FDA, EMA, PMDA),</w:t>
            </w:r>
            <w:r w:rsidR="0019066F">
              <w:rPr>
                <w:rFonts w:asciiTheme="minorHAnsi" w:hAnsiTheme="minorHAnsi"/>
              </w:rPr>
              <w:t xml:space="preserve"> </w:t>
            </w:r>
            <w:r w:rsidRPr="0019066F">
              <w:rPr>
                <w:rFonts w:asciiTheme="minorHAnsi" w:hAnsiTheme="minorHAnsi"/>
              </w:rPr>
              <w:t xml:space="preserve">and industry </w:t>
            </w:r>
            <w:r w:rsidR="0019066F">
              <w:rPr>
                <w:rFonts w:asciiTheme="minorHAnsi" w:hAnsiTheme="minorHAnsi"/>
              </w:rPr>
              <w:t>reports</w:t>
            </w:r>
            <w:r w:rsidRPr="0019066F">
              <w:rPr>
                <w:rFonts w:asciiTheme="minorHAnsi" w:hAnsiTheme="minorHAnsi"/>
              </w:rPr>
              <w:t>,</w:t>
            </w:r>
            <w:r w:rsidR="0019066F">
              <w:rPr>
                <w:rFonts w:asciiTheme="minorHAnsi" w:hAnsiTheme="minorHAnsi"/>
              </w:rPr>
              <w:t xml:space="preserve"> as well as other financial metrics from Bloomberg.</w:t>
            </w:r>
          </w:p>
          <w:p w14:paraId="1E065553" w14:textId="77777777" w:rsidR="00E00361" w:rsidRPr="00E00361" w:rsidRDefault="00E00361" w:rsidP="00E00361">
            <w:pPr>
              <w:spacing w:after="160" w:line="278" w:lineRule="auto"/>
              <w:rPr>
                <w:rFonts w:asciiTheme="minorHAnsi" w:hAnsiTheme="minorHAnsi"/>
              </w:rPr>
            </w:pPr>
            <w:r w:rsidRPr="0019066F">
              <w:rPr>
                <w:rFonts w:asciiTheme="minorHAnsi" w:hAnsiTheme="minorHAnsi"/>
              </w:rPr>
              <w:t>The data is used for descriptive statistics, regression analysis, panel data models, and risk simulations. The selection of variables (R&amp;D, regulatory delay, local manufacturing index, revenue) is well justified</w:t>
            </w:r>
            <w:r w:rsidRPr="00E00361">
              <w:rPr>
                <w:rFonts w:asciiTheme="minorHAnsi" w:hAnsiTheme="minorHAnsi"/>
              </w:rPr>
              <w:t>.</w:t>
            </w:r>
          </w:p>
          <w:p w14:paraId="595D8438" w14:textId="0B2D2C2D" w:rsidR="00E00361" w:rsidRPr="0019066F" w:rsidRDefault="00E00361" w:rsidP="00E00361">
            <w:pPr>
              <w:spacing w:after="160" w:line="278" w:lineRule="auto"/>
              <w:rPr>
                <w:rFonts w:asciiTheme="minorHAnsi" w:hAnsiTheme="minorHAnsi"/>
              </w:rPr>
            </w:pPr>
            <w:r w:rsidRPr="00FE79F7">
              <w:rPr>
                <w:rFonts w:asciiTheme="minorHAnsi" w:hAnsiTheme="minorHAnsi"/>
                <w:b/>
                <w:bCs/>
              </w:rPr>
              <w:t>What could have been done differently:</w:t>
            </w:r>
            <w:r w:rsidRPr="00E00361">
              <w:rPr>
                <w:rFonts w:asciiTheme="minorHAnsi" w:hAnsiTheme="minorHAnsi"/>
              </w:rPr>
              <w:br/>
            </w:r>
            <w:r w:rsidRPr="0019066F">
              <w:rPr>
                <w:rFonts w:asciiTheme="minorHAnsi" w:hAnsiTheme="minorHAnsi"/>
              </w:rPr>
              <w:t xml:space="preserve">While the use of secondary data is appropriate, </w:t>
            </w:r>
            <w:r w:rsidR="00FE79F7">
              <w:rPr>
                <w:rFonts w:asciiTheme="minorHAnsi" w:hAnsiTheme="minorHAnsi"/>
              </w:rPr>
              <w:t>the student could provide a</w:t>
            </w:r>
            <w:r w:rsidRPr="0019066F">
              <w:rPr>
                <w:rFonts w:asciiTheme="minorHAnsi" w:hAnsiTheme="minorHAnsi"/>
              </w:rPr>
              <w:t xml:space="preserve"> summary table showing source and type of ea</w:t>
            </w:r>
            <w:r w:rsidR="00FE79F7">
              <w:rPr>
                <w:rFonts w:asciiTheme="minorHAnsi" w:hAnsiTheme="minorHAnsi"/>
              </w:rPr>
              <w:t>c</w:t>
            </w:r>
            <w:r w:rsidRPr="0019066F">
              <w:rPr>
                <w:rFonts w:asciiTheme="minorHAnsi" w:hAnsiTheme="minorHAnsi"/>
              </w:rPr>
              <w:t>h variable</w:t>
            </w:r>
            <w:r w:rsidR="00FE79F7">
              <w:rPr>
                <w:rFonts w:asciiTheme="minorHAnsi" w:hAnsiTheme="minorHAnsi"/>
              </w:rPr>
              <w:t xml:space="preserve">. You could also explained well </w:t>
            </w:r>
            <w:r w:rsidRPr="0019066F">
              <w:rPr>
                <w:rFonts w:asciiTheme="minorHAnsi" w:hAnsiTheme="minorHAnsi"/>
              </w:rPr>
              <w:t xml:space="preserve">the method of panel </w:t>
            </w:r>
            <w:r w:rsidR="00FE79F7">
              <w:rPr>
                <w:rFonts w:asciiTheme="minorHAnsi" w:hAnsiTheme="minorHAnsi"/>
              </w:rPr>
              <w:t>data in regression and the limitations of the model in methodology chapter.</w:t>
            </w:r>
          </w:p>
          <w:p w14:paraId="73A640B7" w14:textId="77777777" w:rsidR="00E00361" w:rsidRPr="00FE79F7" w:rsidRDefault="00E00361" w:rsidP="00E00361">
            <w:pPr>
              <w:spacing w:after="160" w:line="278" w:lineRule="auto"/>
              <w:rPr>
                <w:rFonts w:asciiTheme="minorHAnsi" w:hAnsiTheme="minorHAnsi"/>
                <w:b/>
                <w:bCs/>
              </w:rPr>
            </w:pPr>
            <w:r w:rsidRPr="00FE79F7">
              <w:rPr>
                <w:rFonts w:asciiTheme="minorHAnsi" w:hAnsiTheme="minorHAnsi"/>
                <w:b/>
                <w:bCs/>
              </w:rPr>
              <w:t>How to do better next time:</w:t>
            </w:r>
          </w:p>
          <w:p w14:paraId="0D721715" w14:textId="384492FF" w:rsidR="00E91D2C" w:rsidRPr="003C4C5B" w:rsidRDefault="00E00361" w:rsidP="00E5217A">
            <w:pPr>
              <w:spacing w:after="160" w:line="278" w:lineRule="auto"/>
              <w:rPr>
                <w:rFonts w:asciiTheme="minorHAnsi" w:hAnsiTheme="minorHAnsi"/>
              </w:rPr>
            </w:pPr>
            <w:r w:rsidRPr="0019066F">
              <w:rPr>
                <w:rFonts w:asciiTheme="minorHAnsi" w:hAnsiTheme="minorHAnsi"/>
              </w:rPr>
              <w:t xml:space="preserve">Include a data </w:t>
            </w:r>
            <w:r w:rsidR="00E5217A">
              <w:rPr>
                <w:rFonts w:asciiTheme="minorHAnsi" w:hAnsiTheme="minorHAnsi"/>
              </w:rPr>
              <w:t>source table</w:t>
            </w:r>
            <w:r w:rsidRPr="0019066F">
              <w:rPr>
                <w:rFonts w:asciiTheme="minorHAnsi" w:hAnsiTheme="minorHAnsi"/>
              </w:rPr>
              <w:t xml:space="preserve"> with all sources and types of data used.</w:t>
            </w:r>
            <w:r w:rsidR="00E5217A">
              <w:rPr>
                <w:rFonts w:asciiTheme="minorHAnsi" w:hAnsiTheme="minorHAnsi"/>
              </w:rPr>
              <w:t xml:space="preserve"> Are their any</w:t>
            </w:r>
            <w:r w:rsidRPr="0019066F">
              <w:rPr>
                <w:rFonts w:asciiTheme="minorHAnsi" w:hAnsiTheme="minorHAnsi"/>
              </w:rPr>
              <w:t xml:space="preserve"> missing data </w:t>
            </w:r>
            <w:r w:rsidR="00E5217A">
              <w:rPr>
                <w:rFonts w:asciiTheme="minorHAnsi" w:hAnsiTheme="minorHAnsi"/>
              </w:rPr>
              <w:t>if panel data is used? Any limitations of your model spec?</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AC1D238" w:rsidR="00160509" w:rsidRPr="00844DE4" w:rsidRDefault="002B1ADA"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6E65D0B5" w:rsidR="00160509" w:rsidRPr="00844DE4" w:rsidRDefault="004C7ED3" w:rsidP="00A30926">
            <w:pPr>
              <w:pStyle w:val="Header"/>
              <w:jc w:val="center"/>
              <w:rPr>
                <w:rFonts w:cs="Calibri"/>
              </w:rPr>
            </w:pPr>
            <w:r>
              <w:rPr>
                <w:rFonts w:cs="Calibri"/>
              </w:rPr>
              <w:t>1</w:t>
            </w:r>
            <w:r w:rsidR="002B1ADA">
              <w:rPr>
                <w:rFonts w:cs="Calibri"/>
              </w:rPr>
              <w:t>1</w:t>
            </w:r>
          </w:p>
        </w:tc>
        <w:tc>
          <w:tcPr>
            <w:tcW w:w="6521" w:type="dxa"/>
            <w:vAlign w:val="bottom"/>
          </w:tcPr>
          <w:p w14:paraId="0443CBF5" w14:textId="378F3443"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is done well:</w:t>
            </w:r>
            <w:r w:rsidRPr="00E00361">
              <w:rPr>
                <w:rFonts w:asciiTheme="minorHAnsi" w:hAnsiTheme="minorHAnsi"/>
              </w:rPr>
              <w:br/>
            </w:r>
            <w:r w:rsidR="00537CEF">
              <w:rPr>
                <w:rFonts w:asciiTheme="minorHAnsi" w:hAnsiTheme="minorHAnsi"/>
              </w:rPr>
              <w:t>The presentation is very clear with good</w:t>
            </w:r>
            <w:r w:rsidRPr="00E00361">
              <w:rPr>
                <w:rFonts w:asciiTheme="minorHAnsi" w:hAnsiTheme="minorHAnsi"/>
              </w:rPr>
              <w:t xml:space="preserve"> use of financial/statistical </w:t>
            </w:r>
            <w:r w:rsidR="00537CEF">
              <w:rPr>
                <w:rFonts w:asciiTheme="minorHAnsi" w:hAnsiTheme="minorHAnsi"/>
              </w:rPr>
              <w:t>data</w:t>
            </w:r>
            <w:r w:rsidRPr="00E00361">
              <w:rPr>
                <w:rFonts w:asciiTheme="minorHAnsi" w:hAnsiTheme="minorHAnsi"/>
              </w:rPr>
              <w:t xml:space="preserve">. Writing is mostly </w:t>
            </w:r>
            <w:r w:rsidR="00537CEF">
              <w:rPr>
                <w:rFonts w:asciiTheme="minorHAnsi" w:hAnsiTheme="minorHAnsi"/>
              </w:rPr>
              <w:t>fine</w:t>
            </w:r>
            <w:r w:rsidRPr="00E00361">
              <w:rPr>
                <w:rFonts w:asciiTheme="minorHAnsi" w:hAnsiTheme="minorHAnsi"/>
              </w:rPr>
              <w:t xml:space="preserve">. </w:t>
            </w:r>
            <w:r w:rsidR="00537CEF">
              <w:rPr>
                <w:rFonts w:asciiTheme="minorHAnsi" w:hAnsiTheme="minorHAnsi"/>
              </w:rPr>
              <w:t>Harvard r</w:t>
            </w:r>
            <w:r w:rsidRPr="00E00361">
              <w:rPr>
                <w:rFonts w:asciiTheme="minorHAnsi" w:hAnsiTheme="minorHAnsi"/>
              </w:rPr>
              <w:t>eferencing is consistent.</w:t>
            </w:r>
          </w:p>
          <w:p w14:paraId="37F41686" w14:textId="240BAC7F" w:rsidR="00E00361" w:rsidRPr="00E00361" w:rsidRDefault="00E00361" w:rsidP="00E00361">
            <w:pPr>
              <w:spacing w:after="160" w:line="278" w:lineRule="auto"/>
              <w:rPr>
                <w:rFonts w:asciiTheme="minorHAnsi" w:hAnsiTheme="minorHAnsi"/>
              </w:rPr>
            </w:pPr>
            <w:r w:rsidRPr="00E00361">
              <w:rPr>
                <w:rFonts w:asciiTheme="minorHAnsi" w:hAnsiTheme="minorHAnsi"/>
                <w:b/>
                <w:bCs/>
              </w:rPr>
              <w:t>What could have been done differently:</w:t>
            </w:r>
            <w:r w:rsidRPr="00E00361">
              <w:rPr>
                <w:rFonts w:asciiTheme="minorHAnsi" w:hAnsiTheme="minorHAnsi"/>
              </w:rPr>
              <w:br/>
              <w:t xml:space="preserve">Some grammar issues. The appendices are </w:t>
            </w:r>
            <w:r w:rsidR="00537CEF">
              <w:rPr>
                <w:rFonts w:asciiTheme="minorHAnsi" w:hAnsiTheme="minorHAnsi"/>
              </w:rPr>
              <w:t>not well</w:t>
            </w:r>
            <w:r w:rsidRPr="00E00361">
              <w:rPr>
                <w:rFonts w:asciiTheme="minorHAnsi" w:hAnsiTheme="minorHAnsi"/>
              </w:rPr>
              <w:t xml:space="preserve"> organised (e.g., clearer labelling, cross-referencing with main chapters).</w:t>
            </w:r>
          </w:p>
          <w:p w14:paraId="2A10E614" w14:textId="49B289C8" w:rsidR="00E00361" w:rsidRPr="00E00361" w:rsidRDefault="00E00361" w:rsidP="00E00361">
            <w:pPr>
              <w:spacing w:after="160" w:line="278" w:lineRule="auto"/>
              <w:rPr>
                <w:rFonts w:asciiTheme="minorHAnsi" w:hAnsiTheme="minorHAnsi"/>
              </w:rPr>
            </w:pPr>
            <w:r w:rsidRPr="00E00361">
              <w:rPr>
                <w:rFonts w:asciiTheme="minorHAnsi" w:hAnsiTheme="minorHAnsi"/>
                <w:b/>
                <w:bCs/>
              </w:rPr>
              <w:lastRenderedPageBreak/>
              <w:t>How to do better next time:</w:t>
            </w:r>
            <w:r w:rsidRPr="00E00361">
              <w:rPr>
                <w:rFonts w:asciiTheme="minorHAnsi" w:hAnsiTheme="minorHAnsi"/>
              </w:rPr>
              <w:br/>
              <w:t xml:space="preserve">Proofread </w:t>
            </w:r>
            <w:r w:rsidR="00537CEF">
              <w:rPr>
                <w:rFonts w:asciiTheme="minorHAnsi" w:hAnsiTheme="minorHAnsi"/>
              </w:rPr>
              <w:t>before submission</w:t>
            </w:r>
            <w:r w:rsidRPr="00E00361">
              <w:rPr>
                <w:rFonts w:asciiTheme="minorHAnsi" w:hAnsiTheme="minorHAnsi"/>
              </w:rPr>
              <w:t>. Use appendices with clear labels (e.g., Appendix A: Revenue Data).</w:t>
            </w:r>
          </w:p>
          <w:p w14:paraId="0CB3F9B1" w14:textId="2F2290C4" w:rsidR="00E91D2C" w:rsidRPr="00ED727B" w:rsidRDefault="00E91D2C" w:rsidP="00B00182">
            <w:pPr>
              <w:spacing w:after="160" w:line="278" w:lineRule="auto"/>
              <w:rPr>
                <w:rFonts w:asciiTheme="minorHAnsi" w:hAnsiTheme="minorHAnsi"/>
              </w:rPr>
            </w:pP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605F3723" w:rsidR="00160509" w:rsidRPr="00844DE4" w:rsidRDefault="00881483" w:rsidP="00A30926">
            <w:pPr>
              <w:pStyle w:val="Header"/>
              <w:jc w:val="center"/>
              <w:rPr>
                <w:rFonts w:cs="Calibri"/>
              </w:rPr>
            </w:pPr>
            <w:r>
              <w:rPr>
                <w:rFonts w:cs="Calibri"/>
              </w:rPr>
              <w:t>6</w:t>
            </w:r>
            <w:r w:rsidR="00537CEF">
              <w:rPr>
                <w:rFonts w:cs="Calibri"/>
              </w:rPr>
              <w:t>8</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8117E"/>
    <w:multiLevelType w:val="multilevel"/>
    <w:tmpl w:val="95EAD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976D83"/>
    <w:multiLevelType w:val="multilevel"/>
    <w:tmpl w:val="ED2EA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6280308">
    <w:abstractNumId w:val="1"/>
  </w:num>
  <w:num w:numId="2" w16cid:durableId="1192256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7344"/>
    <w:rsid w:val="00071F61"/>
    <w:rsid w:val="000975BB"/>
    <w:rsid w:val="000A1F4C"/>
    <w:rsid w:val="000B4B03"/>
    <w:rsid w:val="000B7AED"/>
    <w:rsid w:val="00127072"/>
    <w:rsid w:val="001544D4"/>
    <w:rsid w:val="00160509"/>
    <w:rsid w:val="00167936"/>
    <w:rsid w:val="0019066F"/>
    <w:rsid w:val="00191892"/>
    <w:rsid w:val="00197DE6"/>
    <w:rsid w:val="001B0DAA"/>
    <w:rsid w:val="001C20BE"/>
    <w:rsid w:val="001D4880"/>
    <w:rsid w:val="001E0F87"/>
    <w:rsid w:val="00202681"/>
    <w:rsid w:val="00232DEB"/>
    <w:rsid w:val="00245033"/>
    <w:rsid w:val="002644D2"/>
    <w:rsid w:val="002677E0"/>
    <w:rsid w:val="002833BF"/>
    <w:rsid w:val="002B1ADA"/>
    <w:rsid w:val="002F4751"/>
    <w:rsid w:val="0031574F"/>
    <w:rsid w:val="0035292C"/>
    <w:rsid w:val="00366927"/>
    <w:rsid w:val="00370ABE"/>
    <w:rsid w:val="00377CEF"/>
    <w:rsid w:val="00387F4E"/>
    <w:rsid w:val="003956F5"/>
    <w:rsid w:val="003A44D5"/>
    <w:rsid w:val="003C4C5B"/>
    <w:rsid w:val="003C6608"/>
    <w:rsid w:val="003E76A2"/>
    <w:rsid w:val="00406570"/>
    <w:rsid w:val="004221C5"/>
    <w:rsid w:val="004326F5"/>
    <w:rsid w:val="0044103B"/>
    <w:rsid w:val="00445423"/>
    <w:rsid w:val="00470D19"/>
    <w:rsid w:val="004B56B6"/>
    <w:rsid w:val="004C415A"/>
    <w:rsid w:val="004C7ED3"/>
    <w:rsid w:val="004D4062"/>
    <w:rsid w:val="00500ADE"/>
    <w:rsid w:val="00513ECD"/>
    <w:rsid w:val="00514597"/>
    <w:rsid w:val="00536DC9"/>
    <w:rsid w:val="00537CEF"/>
    <w:rsid w:val="00554B46"/>
    <w:rsid w:val="005605F8"/>
    <w:rsid w:val="00591C7F"/>
    <w:rsid w:val="00596DE8"/>
    <w:rsid w:val="005A30F2"/>
    <w:rsid w:val="005B06E9"/>
    <w:rsid w:val="005D1610"/>
    <w:rsid w:val="005F55F0"/>
    <w:rsid w:val="00603D8C"/>
    <w:rsid w:val="00604486"/>
    <w:rsid w:val="00604D26"/>
    <w:rsid w:val="00627077"/>
    <w:rsid w:val="00630DF8"/>
    <w:rsid w:val="006656D0"/>
    <w:rsid w:val="006824F1"/>
    <w:rsid w:val="006F3676"/>
    <w:rsid w:val="007015EE"/>
    <w:rsid w:val="00705127"/>
    <w:rsid w:val="00705C9C"/>
    <w:rsid w:val="007333A7"/>
    <w:rsid w:val="00762F3E"/>
    <w:rsid w:val="00767A9E"/>
    <w:rsid w:val="0078468A"/>
    <w:rsid w:val="00796053"/>
    <w:rsid w:val="0081063F"/>
    <w:rsid w:val="0081474E"/>
    <w:rsid w:val="0083216C"/>
    <w:rsid w:val="00834569"/>
    <w:rsid w:val="00844DE4"/>
    <w:rsid w:val="00875CDF"/>
    <w:rsid w:val="00881483"/>
    <w:rsid w:val="00887819"/>
    <w:rsid w:val="008A404E"/>
    <w:rsid w:val="008D5061"/>
    <w:rsid w:val="009166FC"/>
    <w:rsid w:val="0091712A"/>
    <w:rsid w:val="0092076B"/>
    <w:rsid w:val="009C1444"/>
    <w:rsid w:val="009C6514"/>
    <w:rsid w:val="009F030F"/>
    <w:rsid w:val="00A013CB"/>
    <w:rsid w:val="00A30926"/>
    <w:rsid w:val="00A5072F"/>
    <w:rsid w:val="00A74C26"/>
    <w:rsid w:val="00B00182"/>
    <w:rsid w:val="00B466BE"/>
    <w:rsid w:val="00B569D3"/>
    <w:rsid w:val="00B85B53"/>
    <w:rsid w:val="00BB1F33"/>
    <w:rsid w:val="00BB715C"/>
    <w:rsid w:val="00BE5E32"/>
    <w:rsid w:val="00C4635D"/>
    <w:rsid w:val="00C6285D"/>
    <w:rsid w:val="00D01F6D"/>
    <w:rsid w:val="00D12369"/>
    <w:rsid w:val="00D51F84"/>
    <w:rsid w:val="00D73F6A"/>
    <w:rsid w:val="00D92739"/>
    <w:rsid w:val="00D94415"/>
    <w:rsid w:val="00D97866"/>
    <w:rsid w:val="00DC65FF"/>
    <w:rsid w:val="00DC6F09"/>
    <w:rsid w:val="00DF64EA"/>
    <w:rsid w:val="00E00361"/>
    <w:rsid w:val="00E14B1E"/>
    <w:rsid w:val="00E155B9"/>
    <w:rsid w:val="00E17F43"/>
    <w:rsid w:val="00E5217A"/>
    <w:rsid w:val="00E57018"/>
    <w:rsid w:val="00E84456"/>
    <w:rsid w:val="00E91D2C"/>
    <w:rsid w:val="00ED727B"/>
    <w:rsid w:val="00EE759A"/>
    <w:rsid w:val="00F020A3"/>
    <w:rsid w:val="00F24D74"/>
    <w:rsid w:val="00F3380E"/>
    <w:rsid w:val="00F74168"/>
    <w:rsid w:val="00F862EE"/>
    <w:rsid w:val="00F91D59"/>
    <w:rsid w:val="00FC18FC"/>
    <w:rsid w:val="00FC19EB"/>
    <w:rsid w:val="00FE79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97155">
      <w:bodyDiv w:val="1"/>
      <w:marLeft w:val="0"/>
      <w:marRight w:val="0"/>
      <w:marTop w:val="0"/>
      <w:marBottom w:val="0"/>
      <w:divBdr>
        <w:top w:val="none" w:sz="0" w:space="0" w:color="auto"/>
        <w:left w:val="none" w:sz="0" w:space="0" w:color="auto"/>
        <w:bottom w:val="none" w:sz="0" w:space="0" w:color="auto"/>
        <w:right w:val="none" w:sz="0" w:space="0" w:color="auto"/>
      </w:divBdr>
    </w:div>
    <w:div w:id="175655262">
      <w:bodyDiv w:val="1"/>
      <w:marLeft w:val="0"/>
      <w:marRight w:val="0"/>
      <w:marTop w:val="0"/>
      <w:marBottom w:val="0"/>
      <w:divBdr>
        <w:top w:val="none" w:sz="0" w:space="0" w:color="auto"/>
        <w:left w:val="none" w:sz="0" w:space="0" w:color="auto"/>
        <w:bottom w:val="none" w:sz="0" w:space="0" w:color="auto"/>
        <w:right w:val="none" w:sz="0" w:space="0" w:color="auto"/>
      </w:divBdr>
    </w:div>
    <w:div w:id="209389603">
      <w:bodyDiv w:val="1"/>
      <w:marLeft w:val="0"/>
      <w:marRight w:val="0"/>
      <w:marTop w:val="0"/>
      <w:marBottom w:val="0"/>
      <w:divBdr>
        <w:top w:val="none" w:sz="0" w:space="0" w:color="auto"/>
        <w:left w:val="none" w:sz="0" w:space="0" w:color="auto"/>
        <w:bottom w:val="none" w:sz="0" w:space="0" w:color="auto"/>
        <w:right w:val="none" w:sz="0" w:space="0" w:color="auto"/>
      </w:divBdr>
    </w:div>
    <w:div w:id="251936935">
      <w:bodyDiv w:val="1"/>
      <w:marLeft w:val="0"/>
      <w:marRight w:val="0"/>
      <w:marTop w:val="0"/>
      <w:marBottom w:val="0"/>
      <w:divBdr>
        <w:top w:val="none" w:sz="0" w:space="0" w:color="auto"/>
        <w:left w:val="none" w:sz="0" w:space="0" w:color="auto"/>
        <w:bottom w:val="none" w:sz="0" w:space="0" w:color="auto"/>
        <w:right w:val="none" w:sz="0" w:space="0" w:color="auto"/>
      </w:divBdr>
    </w:div>
    <w:div w:id="276060887">
      <w:bodyDiv w:val="1"/>
      <w:marLeft w:val="0"/>
      <w:marRight w:val="0"/>
      <w:marTop w:val="0"/>
      <w:marBottom w:val="0"/>
      <w:divBdr>
        <w:top w:val="none" w:sz="0" w:space="0" w:color="auto"/>
        <w:left w:val="none" w:sz="0" w:space="0" w:color="auto"/>
        <w:bottom w:val="none" w:sz="0" w:space="0" w:color="auto"/>
        <w:right w:val="none" w:sz="0" w:space="0" w:color="auto"/>
      </w:divBdr>
    </w:div>
    <w:div w:id="325133355">
      <w:bodyDiv w:val="1"/>
      <w:marLeft w:val="0"/>
      <w:marRight w:val="0"/>
      <w:marTop w:val="0"/>
      <w:marBottom w:val="0"/>
      <w:divBdr>
        <w:top w:val="none" w:sz="0" w:space="0" w:color="auto"/>
        <w:left w:val="none" w:sz="0" w:space="0" w:color="auto"/>
        <w:bottom w:val="none" w:sz="0" w:space="0" w:color="auto"/>
        <w:right w:val="none" w:sz="0" w:space="0" w:color="auto"/>
      </w:divBdr>
    </w:div>
    <w:div w:id="341591215">
      <w:bodyDiv w:val="1"/>
      <w:marLeft w:val="0"/>
      <w:marRight w:val="0"/>
      <w:marTop w:val="0"/>
      <w:marBottom w:val="0"/>
      <w:divBdr>
        <w:top w:val="none" w:sz="0" w:space="0" w:color="auto"/>
        <w:left w:val="none" w:sz="0" w:space="0" w:color="auto"/>
        <w:bottom w:val="none" w:sz="0" w:space="0" w:color="auto"/>
        <w:right w:val="none" w:sz="0" w:space="0" w:color="auto"/>
      </w:divBdr>
    </w:div>
    <w:div w:id="515273868">
      <w:bodyDiv w:val="1"/>
      <w:marLeft w:val="0"/>
      <w:marRight w:val="0"/>
      <w:marTop w:val="0"/>
      <w:marBottom w:val="0"/>
      <w:divBdr>
        <w:top w:val="none" w:sz="0" w:space="0" w:color="auto"/>
        <w:left w:val="none" w:sz="0" w:space="0" w:color="auto"/>
        <w:bottom w:val="none" w:sz="0" w:space="0" w:color="auto"/>
        <w:right w:val="none" w:sz="0" w:space="0" w:color="auto"/>
      </w:divBdr>
    </w:div>
    <w:div w:id="561211331">
      <w:bodyDiv w:val="1"/>
      <w:marLeft w:val="0"/>
      <w:marRight w:val="0"/>
      <w:marTop w:val="0"/>
      <w:marBottom w:val="0"/>
      <w:divBdr>
        <w:top w:val="none" w:sz="0" w:space="0" w:color="auto"/>
        <w:left w:val="none" w:sz="0" w:space="0" w:color="auto"/>
        <w:bottom w:val="none" w:sz="0" w:space="0" w:color="auto"/>
        <w:right w:val="none" w:sz="0" w:space="0" w:color="auto"/>
      </w:divBdr>
    </w:div>
    <w:div w:id="588924935">
      <w:bodyDiv w:val="1"/>
      <w:marLeft w:val="0"/>
      <w:marRight w:val="0"/>
      <w:marTop w:val="0"/>
      <w:marBottom w:val="0"/>
      <w:divBdr>
        <w:top w:val="none" w:sz="0" w:space="0" w:color="auto"/>
        <w:left w:val="none" w:sz="0" w:space="0" w:color="auto"/>
        <w:bottom w:val="none" w:sz="0" w:space="0" w:color="auto"/>
        <w:right w:val="none" w:sz="0" w:space="0" w:color="auto"/>
      </w:divBdr>
    </w:div>
    <w:div w:id="702441513">
      <w:bodyDiv w:val="1"/>
      <w:marLeft w:val="0"/>
      <w:marRight w:val="0"/>
      <w:marTop w:val="0"/>
      <w:marBottom w:val="0"/>
      <w:divBdr>
        <w:top w:val="none" w:sz="0" w:space="0" w:color="auto"/>
        <w:left w:val="none" w:sz="0" w:space="0" w:color="auto"/>
        <w:bottom w:val="none" w:sz="0" w:space="0" w:color="auto"/>
        <w:right w:val="none" w:sz="0" w:space="0" w:color="auto"/>
      </w:divBdr>
    </w:div>
    <w:div w:id="752550721">
      <w:bodyDiv w:val="1"/>
      <w:marLeft w:val="0"/>
      <w:marRight w:val="0"/>
      <w:marTop w:val="0"/>
      <w:marBottom w:val="0"/>
      <w:divBdr>
        <w:top w:val="none" w:sz="0" w:space="0" w:color="auto"/>
        <w:left w:val="none" w:sz="0" w:space="0" w:color="auto"/>
        <w:bottom w:val="none" w:sz="0" w:space="0" w:color="auto"/>
        <w:right w:val="none" w:sz="0" w:space="0" w:color="auto"/>
      </w:divBdr>
    </w:div>
    <w:div w:id="804813598">
      <w:bodyDiv w:val="1"/>
      <w:marLeft w:val="0"/>
      <w:marRight w:val="0"/>
      <w:marTop w:val="0"/>
      <w:marBottom w:val="0"/>
      <w:divBdr>
        <w:top w:val="none" w:sz="0" w:space="0" w:color="auto"/>
        <w:left w:val="none" w:sz="0" w:space="0" w:color="auto"/>
        <w:bottom w:val="none" w:sz="0" w:space="0" w:color="auto"/>
        <w:right w:val="none" w:sz="0" w:space="0" w:color="auto"/>
      </w:divBdr>
    </w:div>
    <w:div w:id="849299136">
      <w:bodyDiv w:val="1"/>
      <w:marLeft w:val="0"/>
      <w:marRight w:val="0"/>
      <w:marTop w:val="0"/>
      <w:marBottom w:val="0"/>
      <w:divBdr>
        <w:top w:val="none" w:sz="0" w:space="0" w:color="auto"/>
        <w:left w:val="none" w:sz="0" w:space="0" w:color="auto"/>
        <w:bottom w:val="none" w:sz="0" w:space="0" w:color="auto"/>
        <w:right w:val="none" w:sz="0" w:space="0" w:color="auto"/>
      </w:divBdr>
    </w:div>
    <w:div w:id="885918361">
      <w:bodyDiv w:val="1"/>
      <w:marLeft w:val="0"/>
      <w:marRight w:val="0"/>
      <w:marTop w:val="0"/>
      <w:marBottom w:val="0"/>
      <w:divBdr>
        <w:top w:val="none" w:sz="0" w:space="0" w:color="auto"/>
        <w:left w:val="none" w:sz="0" w:space="0" w:color="auto"/>
        <w:bottom w:val="none" w:sz="0" w:space="0" w:color="auto"/>
        <w:right w:val="none" w:sz="0" w:space="0" w:color="auto"/>
      </w:divBdr>
    </w:div>
    <w:div w:id="992179544">
      <w:bodyDiv w:val="1"/>
      <w:marLeft w:val="0"/>
      <w:marRight w:val="0"/>
      <w:marTop w:val="0"/>
      <w:marBottom w:val="0"/>
      <w:divBdr>
        <w:top w:val="none" w:sz="0" w:space="0" w:color="auto"/>
        <w:left w:val="none" w:sz="0" w:space="0" w:color="auto"/>
        <w:bottom w:val="none" w:sz="0" w:space="0" w:color="auto"/>
        <w:right w:val="none" w:sz="0" w:space="0" w:color="auto"/>
      </w:divBdr>
    </w:div>
    <w:div w:id="1083914976">
      <w:bodyDiv w:val="1"/>
      <w:marLeft w:val="0"/>
      <w:marRight w:val="0"/>
      <w:marTop w:val="0"/>
      <w:marBottom w:val="0"/>
      <w:divBdr>
        <w:top w:val="none" w:sz="0" w:space="0" w:color="auto"/>
        <w:left w:val="none" w:sz="0" w:space="0" w:color="auto"/>
        <w:bottom w:val="none" w:sz="0" w:space="0" w:color="auto"/>
        <w:right w:val="none" w:sz="0" w:space="0" w:color="auto"/>
      </w:divBdr>
    </w:div>
    <w:div w:id="1124734806">
      <w:bodyDiv w:val="1"/>
      <w:marLeft w:val="0"/>
      <w:marRight w:val="0"/>
      <w:marTop w:val="0"/>
      <w:marBottom w:val="0"/>
      <w:divBdr>
        <w:top w:val="none" w:sz="0" w:space="0" w:color="auto"/>
        <w:left w:val="none" w:sz="0" w:space="0" w:color="auto"/>
        <w:bottom w:val="none" w:sz="0" w:space="0" w:color="auto"/>
        <w:right w:val="none" w:sz="0" w:space="0" w:color="auto"/>
      </w:divBdr>
    </w:div>
    <w:div w:id="1192575649">
      <w:bodyDiv w:val="1"/>
      <w:marLeft w:val="0"/>
      <w:marRight w:val="0"/>
      <w:marTop w:val="0"/>
      <w:marBottom w:val="0"/>
      <w:divBdr>
        <w:top w:val="none" w:sz="0" w:space="0" w:color="auto"/>
        <w:left w:val="none" w:sz="0" w:space="0" w:color="auto"/>
        <w:bottom w:val="none" w:sz="0" w:space="0" w:color="auto"/>
        <w:right w:val="none" w:sz="0" w:space="0" w:color="auto"/>
      </w:divBdr>
    </w:div>
    <w:div w:id="1198734218">
      <w:bodyDiv w:val="1"/>
      <w:marLeft w:val="0"/>
      <w:marRight w:val="0"/>
      <w:marTop w:val="0"/>
      <w:marBottom w:val="0"/>
      <w:divBdr>
        <w:top w:val="none" w:sz="0" w:space="0" w:color="auto"/>
        <w:left w:val="none" w:sz="0" w:space="0" w:color="auto"/>
        <w:bottom w:val="none" w:sz="0" w:space="0" w:color="auto"/>
        <w:right w:val="none" w:sz="0" w:space="0" w:color="auto"/>
      </w:divBdr>
    </w:div>
    <w:div w:id="1201087966">
      <w:bodyDiv w:val="1"/>
      <w:marLeft w:val="0"/>
      <w:marRight w:val="0"/>
      <w:marTop w:val="0"/>
      <w:marBottom w:val="0"/>
      <w:divBdr>
        <w:top w:val="none" w:sz="0" w:space="0" w:color="auto"/>
        <w:left w:val="none" w:sz="0" w:space="0" w:color="auto"/>
        <w:bottom w:val="none" w:sz="0" w:space="0" w:color="auto"/>
        <w:right w:val="none" w:sz="0" w:space="0" w:color="auto"/>
      </w:divBdr>
    </w:div>
    <w:div w:id="1203666592">
      <w:bodyDiv w:val="1"/>
      <w:marLeft w:val="0"/>
      <w:marRight w:val="0"/>
      <w:marTop w:val="0"/>
      <w:marBottom w:val="0"/>
      <w:divBdr>
        <w:top w:val="none" w:sz="0" w:space="0" w:color="auto"/>
        <w:left w:val="none" w:sz="0" w:space="0" w:color="auto"/>
        <w:bottom w:val="none" w:sz="0" w:space="0" w:color="auto"/>
        <w:right w:val="none" w:sz="0" w:space="0" w:color="auto"/>
      </w:divBdr>
    </w:div>
    <w:div w:id="1239947890">
      <w:bodyDiv w:val="1"/>
      <w:marLeft w:val="0"/>
      <w:marRight w:val="0"/>
      <w:marTop w:val="0"/>
      <w:marBottom w:val="0"/>
      <w:divBdr>
        <w:top w:val="none" w:sz="0" w:space="0" w:color="auto"/>
        <w:left w:val="none" w:sz="0" w:space="0" w:color="auto"/>
        <w:bottom w:val="none" w:sz="0" w:space="0" w:color="auto"/>
        <w:right w:val="none" w:sz="0" w:space="0" w:color="auto"/>
      </w:divBdr>
    </w:div>
    <w:div w:id="1243176124">
      <w:bodyDiv w:val="1"/>
      <w:marLeft w:val="0"/>
      <w:marRight w:val="0"/>
      <w:marTop w:val="0"/>
      <w:marBottom w:val="0"/>
      <w:divBdr>
        <w:top w:val="none" w:sz="0" w:space="0" w:color="auto"/>
        <w:left w:val="none" w:sz="0" w:space="0" w:color="auto"/>
        <w:bottom w:val="none" w:sz="0" w:space="0" w:color="auto"/>
        <w:right w:val="none" w:sz="0" w:space="0" w:color="auto"/>
      </w:divBdr>
    </w:div>
    <w:div w:id="1276215196">
      <w:bodyDiv w:val="1"/>
      <w:marLeft w:val="0"/>
      <w:marRight w:val="0"/>
      <w:marTop w:val="0"/>
      <w:marBottom w:val="0"/>
      <w:divBdr>
        <w:top w:val="none" w:sz="0" w:space="0" w:color="auto"/>
        <w:left w:val="none" w:sz="0" w:space="0" w:color="auto"/>
        <w:bottom w:val="none" w:sz="0" w:space="0" w:color="auto"/>
        <w:right w:val="none" w:sz="0" w:space="0" w:color="auto"/>
      </w:divBdr>
    </w:div>
    <w:div w:id="1276906086">
      <w:bodyDiv w:val="1"/>
      <w:marLeft w:val="0"/>
      <w:marRight w:val="0"/>
      <w:marTop w:val="0"/>
      <w:marBottom w:val="0"/>
      <w:divBdr>
        <w:top w:val="none" w:sz="0" w:space="0" w:color="auto"/>
        <w:left w:val="none" w:sz="0" w:space="0" w:color="auto"/>
        <w:bottom w:val="none" w:sz="0" w:space="0" w:color="auto"/>
        <w:right w:val="none" w:sz="0" w:space="0" w:color="auto"/>
      </w:divBdr>
    </w:div>
    <w:div w:id="1285648024">
      <w:bodyDiv w:val="1"/>
      <w:marLeft w:val="0"/>
      <w:marRight w:val="0"/>
      <w:marTop w:val="0"/>
      <w:marBottom w:val="0"/>
      <w:divBdr>
        <w:top w:val="none" w:sz="0" w:space="0" w:color="auto"/>
        <w:left w:val="none" w:sz="0" w:space="0" w:color="auto"/>
        <w:bottom w:val="none" w:sz="0" w:space="0" w:color="auto"/>
        <w:right w:val="none" w:sz="0" w:space="0" w:color="auto"/>
      </w:divBdr>
    </w:div>
    <w:div w:id="1520700031">
      <w:bodyDiv w:val="1"/>
      <w:marLeft w:val="0"/>
      <w:marRight w:val="0"/>
      <w:marTop w:val="0"/>
      <w:marBottom w:val="0"/>
      <w:divBdr>
        <w:top w:val="none" w:sz="0" w:space="0" w:color="auto"/>
        <w:left w:val="none" w:sz="0" w:space="0" w:color="auto"/>
        <w:bottom w:val="none" w:sz="0" w:space="0" w:color="auto"/>
        <w:right w:val="none" w:sz="0" w:space="0" w:color="auto"/>
      </w:divBdr>
    </w:div>
    <w:div w:id="1558010773">
      <w:bodyDiv w:val="1"/>
      <w:marLeft w:val="0"/>
      <w:marRight w:val="0"/>
      <w:marTop w:val="0"/>
      <w:marBottom w:val="0"/>
      <w:divBdr>
        <w:top w:val="none" w:sz="0" w:space="0" w:color="auto"/>
        <w:left w:val="none" w:sz="0" w:space="0" w:color="auto"/>
        <w:bottom w:val="none" w:sz="0" w:space="0" w:color="auto"/>
        <w:right w:val="none" w:sz="0" w:space="0" w:color="auto"/>
      </w:divBdr>
    </w:div>
    <w:div w:id="1664119437">
      <w:bodyDiv w:val="1"/>
      <w:marLeft w:val="0"/>
      <w:marRight w:val="0"/>
      <w:marTop w:val="0"/>
      <w:marBottom w:val="0"/>
      <w:divBdr>
        <w:top w:val="none" w:sz="0" w:space="0" w:color="auto"/>
        <w:left w:val="none" w:sz="0" w:space="0" w:color="auto"/>
        <w:bottom w:val="none" w:sz="0" w:space="0" w:color="auto"/>
        <w:right w:val="none" w:sz="0" w:space="0" w:color="auto"/>
      </w:divBdr>
    </w:div>
    <w:div w:id="1690914329">
      <w:bodyDiv w:val="1"/>
      <w:marLeft w:val="0"/>
      <w:marRight w:val="0"/>
      <w:marTop w:val="0"/>
      <w:marBottom w:val="0"/>
      <w:divBdr>
        <w:top w:val="none" w:sz="0" w:space="0" w:color="auto"/>
        <w:left w:val="none" w:sz="0" w:space="0" w:color="auto"/>
        <w:bottom w:val="none" w:sz="0" w:space="0" w:color="auto"/>
        <w:right w:val="none" w:sz="0" w:space="0" w:color="auto"/>
      </w:divBdr>
    </w:div>
    <w:div w:id="1696342860">
      <w:bodyDiv w:val="1"/>
      <w:marLeft w:val="0"/>
      <w:marRight w:val="0"/>
      <w:marTop w:val="0"/>
      <w:marBottom w:val="0"/>
      <w:divBdr>
        <w:top w:val="none" w:sz="0" w:space="0" w:color="auto"/>
        <w:left w:val="none" w:sz="0" w:space="0" w:color="auto"/>
        <w:bottom w:val="none" w:sz="0" w:space="0" w:color="auto"/>
        <w:right w:val="none" w:sz="0" w:space="0" w:color="auto"/>
      </w:divBdr>
    </w:div>
    <w:div w:id="1698266790">
      <w:bodyDiv w:val="1"/>
      <w:marLeft w:val="0"/>
      <w:marRight w:val="0"/>
      <w:marTop w:val="0"/>
      <w:marBottom w:val="0"/>
      <w:divBdr>
        <w:top w:val="none" w:sz="0" w:space="0" w:color="auto"/>
        <w:left w:val="none" w:sz="0" w:space="0" w:color="auto"/>
        <w:bottom w:val="none" w:sz="0" w:space="0" w:color="auto"/>
        <w:right w:val="none" w:sz="0" w:space="0" w:color="auto"/>
      </w:divBdr>
    </w:div>
    <w:div w:id="1730616300">
      <w:bodyDiv w:val="1"/>
      <w:marLeft w:val="0"/>
      <w:marRight w:val="0"/>
      <w:marTop w:val="0"/>
      <w:marBottom w:val="0"/>
      <w:divBdr>
        <w:top w:val="none" w:sz="0" w:space="0" w:color="auto"/>
        <w:left w:val="none" w:sz="0" w:space="0" w:color="auto"/>
        <w:bottom w:val="none" w:sz="0" w:space="0" w:color="auto"/>
        <w:right w:val="none" w:sz="0" w:space="0" w:color="auto"/>
      </w:divBdr>
    </w:div>
    <w:div w:id="1804347670">
      <w:bodyDiv w:val="1"/>
      <w:marLeft w:val="0"/>
      <w:marRight w:val="0"/>
      <w:marTop w:val="0"/>
      <w:marBottom w:val="0"/>
      <w:divBdr>
        <w:top w:val="none" w:sz="0" w:space="0" w:color="auto"/>
        <w:left w:val="none" w:sz="0" w:space="0" w:color="auto"/>
        <w:bottom w:val="none" w:sz="0" w:space="0" w:color="auto"/>
        <w:right w:val="none" w:sz="0" w:space="0" w:color="auto"/>
      </w:divBdr>
    </w:div>
    <w:div w:id="1933857186">
      <w:bodyDiv w:val="1"/>
      <w:marLeft w:val="0"/>
      <w:marRight w:val="0"/>
      <w:marTop w:val="0"/>
      <w:marBottom w:val="0"/>
      <w:divBdr>
        <w:top w:val="none" w:sz="0" w:space="0" w:color="auto"/>
        <w:left w:val="none" w:sz="0" w:space="0" w:color="auto"/>
        <w:bottom w:val="none" w:sz="0" w:space="0" w:color="auto"/>
        <w:right w:val="none" w:sz="0" w:space="0" w:color="auto"/>
      </w:divBdr>
    </w:div>
    <w:div w:id="2007516242">
      <w:bodyDiv w:val="1"/>
      <w:marLeft w:val="0"/>
      <w:marRight w:val="0"/>
      <w:marTop w:val="0"/>
      <w:marBottom w:val="0"/>
      <w:divBdr>
        <w:top w:val="none" w:sz="0" w:space="0" w:color="auto"/>
        <w:left w:val="none" w:sz="0" w:space="0" w:color="auto"/>
        <w:bottom w:val="none" w:sz="0" w:space="0" w:color="auto"/>
        <w:right w:val="none" w:sz="0" w:space="0" w:color="auto"/>
      </w:divBdr>
    </w:div>
    <w:div w:id="2066679234">
      <w:bodyDiv w:val="1"/>
      <w:marLeft w:val="0"/>
      <w:marRight w:val="0"/>
      <w:marTop w:val="0"/>
      <w:marBottom w:val="0"/>
      <w:divBdr>
        <w:top w:val="none" w:sz="0" w:space="0" w:color="auto"/>
        <w:left w:val="none" w:sz="0" w:space="0" w:color="auto"/>
        <w:bottom w:val="none" w:sz="0" w:space="0" w:color="auto"/>
        <w:right w:val="none" w:sz="0" w:space="0" w:color="auto"/>
      </w:divBdr>
    </w:div>
    <w:div w:id="206884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35</cp:revision>
  <dcterms:created xsi:type="dcterms:W3CDTF">2025-02-12T13:43:00Z</dcterms:created>
  <dcterms:modified xsi:type="dcterms:W3CDTF">2025-07-16T15:39:00Z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2025-02-12T11:19:02Z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835fa9e7-2c86-42c8-b9b1-983d7b3d8755</vt:lpwstr>
  </property>
  <property fmtid="{D5CDD505-2E9C-101B-9397-08002B2CF9AE}" pid="8" name="MSIP_Label_55e1b534-098f-4ac8-9223-69712ddf82de_ContentBits">
    <vt:lpwstr>0</vt:lpwstr>
  </property>
</Properties>
</file>