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1740312888"/>
    <w:bookmarkEnd w:id="0"/>
    <w:p w:rsidR="00D505D2" w:rsidRDefault="00D505D2" w:rsidP="00741331">
      <w:pPr>
        <w:spacing w:after="0"/>
        <w:rPr>
          <w:rFonts w:ascii="Times New Roman" w:hAnsi="Times New Roman" w:cs="Times New Roman"/>
          <w:b/>
        </w:rPr>
      </w:pPr>
      <w:r>
        <w:rPr>
          <w:rFonts w:ascii="Times New Roman" w:hAnsi="Times New Roman" w:cs="Times New Roman"/>
          <w:b/>
        </w:rPr>
        <w:object w:dxaOrig="8872" w:dyaOrig="13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45pt;height:699.8pt" o:ole="">
            <v:imagedata r:id="rId8" o:title=""/>
          </v:shape>
          <o:OLEObject Type="Embed" ProgID="Word.Document.8" ShapeID="_x0000_i1025" DrawAspect="Content" ObjectID="_1740313722" r:id="rId9">
            <o:FieldCodes>\s</o:FieldCodes>
          </o:OLEObject>
        </w:object>
      </w:r>
    </w:p>
    <w:p w:rsidR="00D505D2" w:rsidRDefault="00D505D2" w:rsidP="00741331">
      <w:pPr>
        <w:spacing w:after="0"/>
        <w:rPr>
          <w:rFonts w:ascii="Times New Roman" w:hAnsi="Times New Roman" w:cs="Times New Roman"/>
          <w:b/>
        </w:rPr>
      </w:pPr>
    </w:p>
    <w:p w:rsidR="002C3017" w:rsidRDefault="002C3017" w:rsidP="00741331">
      <w:pPr>
        <w:spacing w:after="0"/>
        <w:rPr>
          <w:rFonts w:ascii="Times New Roman" w:hAnsi="Times New Roman" w:cs="Times New Roman"/>
          <w:b/>
        </w:rPr>
      </w:pPr>
      <w:r w:rsidRPr="002C3017">
        <w:rPr>
          <w:rFonts w:ascii="Times New Roman" w:hAnsi="Times New Roman" w:cs="Times New Roman"/>
          <w:b/>
        </w:rPr>
        <w:t>A Critical Comparison of two Secondary Sources</w:t>
      </w:r>
      <w:bookmarkStart w:id="1" w:name="_GoBack"/>
      <w:bookmarkEnd w:id="1"/>
    </w:p>
    <w:p w:rsidR="000119D1" w:rsidRPr="002E0568" w:rsidRDefault="00E84E6C" w:rsidP="00741331">
      <w:pPr>
        <w:spacing w:after="0"/>
        <w:rPr>
          <w:rFonts w:ascii="Times New Roman" w:hAnsi="Times New Roman" w:cs="Times New Roman"/>
          <w:b/>
        </w:rPr>
      </w:pPr>
      <w:r w:rsidRPr="002E0568">
        <w:rPr>
          <w:rFonts w:ascii="Times New Roman" w:hAnsi="Times New Roman" w:cs="Times New Roman"/>
          <w:b/>
        </w:rPr>
        <w:t>Murray Eiland</w:t>
      </w:r>
    </w:p>
    <w:p w:rsidR="00741331" w:rsidRPr="00CE438E" w:rsidRDefault="00741331" w:rsidP="00741331">
      <w:pPr>
        <w:spacing w:after="0"/>
        <w:rPr>
          <w:rFonts w:ascii="Times New Roman" w:hAnsi="Times New Roman" w:cs="Times New Roman"/>
        </w:rPr>
      </w:pPr>
    </w:p>
    <w:p w:rsidR="00D434D0" w:rsidRPr="00CE438E" w:rsidRDefault="00741331" w:rsidP="00D434D0">
      <w:pPr>
        <w:rPr>
          <w:rFonts w:ascii="Times New Roman" w:hAnsi="Times New Roman" w:cs="Times New Roman"/>
        </w:rPr>
      </w:pPr>
      <w:r w:rsidRPr="00CE438E">
        <w:rPr>
          <w:rFonts w:ascii="Times New Roman" w:hAnsi="Times New Roman" w:cs="Times New Roman"/>
        </w:rPr>
        <w:t xml:space="preserve">     </w:t>
      </w:r>
      <w:r w:rsidR="000119D1" w:rsidRPr="00CE438E">
        <w:rPr>
          <w:rFonts w:ascii="Times New Roman" w:hAnsi="Times New Roman" w:cs="Times New Roman"/>
        </w:rPr>
        <w:t>This essay critically compares and contra</w:t>
      </w:r>
      <w:r w:rsidR="00D0476C">
        <w:rPr>
          <w:rFonts w:ascii="Times New Roman" w:hAnsi="Times New Roman" w:cs="Times New Roman"/>
        </w:rPr>
        <w:t>sts two papers. T</w:t>
      </w:r>
      <w:r w:rsidRPr="00CE438E">
        <w:rPr>
          <w:rFonts w:ascii="Times New Roman" w:hAnsi="Times New Roman" w:cs="Times New Roman"/>
        </w:rPr>
        <w:t>he first</w:t>
      </w:r>
      <w:r w:rsidR="00D0476C">
        <w:rPr>
          <w:rFonts w:ascii="Times New Roman" w:hAnsi="Times New Roman" w:cs="Times New Roman"/>
        </w:rPr>
        <w:t xml:space="preserve"> is</w:t>
      </w:r>
      <w:r w:rsidR="0053407A" w:rsidRPr="00CE438E">
        <w:rPr>
          <w:rFonts w:ascii="Times New Roman" w:hAnsi="Times New Roman" w:cs="Times New Roman"/>
        </w:rPr>
        <w:t xml:space="preserve"> by Gillian Bennett</w:t>
      </w:r>
      <w:r w:rsidR="00B15AF5" w:rsidRPr="00CE438E">
        <w:rPr>
          <w:rFonts w:ascii="Times New Roman" w:hAnsi="Times New Roman" w:cs="Times New Roman"/>
        </w:rPr>
        <w:t xml:space="preserve"> (If I </w:t>
      </w:r>
      <w:r w:rsidR="001811AB" w:rsidRPr="00CE438E">
        <w:rPr>
          <w:rFonts w:ascii="Times New Roman" w:hAnsi="Times New Roman" w:cs="Times New Roman"/>
        </w:rPr>
        <w:t>knew)</w:t>
      </w:r>
      <w:r w:rsidR="0053407A" w:rsidRPr="00CE438E">
        <w:rPr>
          <w:rStyle w:val="FootnoteReference"/>
          <w:rFonts w:ascii="Times New Roman" w:hAnsi="Times New Roman" w:cs="Times New Roman"/>
        </w:rPr>
        <w:footnoteReference w:id="1"/>
      </w:r>
      <w:r w:rsidR="0053407A" w:rsidRPr="00CE438E">
        <w:rPr>
          <w:rFonts w:ascii="Times New Roman" w:hAnsi="Times New Roman" w:cs="Times New Roman"/>
        </w:rPr>
        <w:t xml:space="preserve"> and the second by Jenny Blain</w:t>
      </w:r>
      <w:r w:rsidR="00DE134C" w:rsidRPr="00CE438E">
        <w:rPr>
          <w:rFonts w:ascii="Times New Roman" w:hAnsi="Times New Roman" w:cs="Times New Roman"/>
        </w:rPr>
        <w:t xml:space="preserve"> (Speaking Shaman</w:t>
      </w:r>
      <w:r w:rsidR="008420FB">
        <w:rPr>
          <w:rFonts w:ascii="Times New Roman" w:hAnsi="Times New Roman" w:cs="Times New Roman"/>
        </w:rPr>
        <w:t>istically</w:t>
      </w:r>
      <w:r w:rsidR="001811AB" w:rsidRPr="00CE438E">
        <w:rPr>
          <w:rFonts w:ascii="Times New Roman" w:hAnsi="Times New Roman" w:cs="Times New Roman"/>
        </w:rPr>
        <w:t>)</w:t>
      </w:r>
      <w:r w:rsidR="00CE438E">
        <w:rPr>
          <w:rFonts w:ascii="Times New Roman" w:hAnsi="Times New Roman" w:cs="Times New Roman"/>
        </w:rPr>
        <w:t>.</w:t>
      </w:r>
      <w:r w:rsidR="0053407A" w:rsidRPr="00CE438E">
        <w:rPr>
          <w:rStyle w:val="FootnoteReference"/>
          <w:rFonts w:ascii="Times New Roman" w:hAnsi="Times New Roman" w:cs="Times New Roman"/>
        </w:rPr>
        <w:footnoteReference w:id="2"/>
      </w:r>
      <w:r w:rsidR="0053407A" w:rsidRPr="00CE438E">
        <w:rPr>
          <w:rFonts w:ascii="Times New Roman" w:hAnsi="Times New Roman" w:cs="Times New Roman"/>
        </w:rPr>
        <w:t xml:space="preserve"> </w:t>
      </w:r>
      <w:r w:rsidR="00CE438E">
        <w:rPr>
          <w:rFonts w:ascii="Times New Roman" w:hAnsi="Times New Roman" w:cs="Times New Roman"/>
        </w:rPr>
        <w:t>The authors have very different</w:t>
      </w:r>
      <w:r w:rsidR="003722A5">
        <w:rPr>
          <w:rFonts w:ascii="Times New Roman" w:hAnsi="Times New Roman" w:cs="Times New Roman"/>
        </w:rPr>
        <w:t xml:space="preserve"> aims and objectives, but broadly follow a qualitative approach. Neither have a formal background in psychology or anthropology. </w:t>
      </w:r>
      <w:r w:rsidR="00B15AF5" w:rsidRPr="00CE438E">
        <w:rPr>
          <w:rFonts w:ascii="Times New Roman" w:hAnsi="Times New Roman" w:cs="Times New Roman"/>
        </w:rPr>
        <w:t>Bennett obtained her PhD at the University</w:t>
      </w:r>
      <w:r w:rsidR="00D57C8D" w:rsidRPr="00CE438E">
        <w:rPr>
          <w:rFonts w:ascii="Times New Roman" w:hAnsi="Times New Roman" w:cs="Times New Roman"/>
        </w:rPr>
        <w:t xml:space="preserve"> of Sheffield, working in the </w:t>
      </w:r>
      <w:r w:rsidR="00B15AF5" w:rsidRPr="00CE438E">
        <w:rPr>
          <w:rFonts w:ascii="Times New Roman" w:hAnsi="Times New Roman" w:cs="Times New Roman"/>
        </w:rPr>
        <w:t>Centre for English Cultural Tradit</w:t>
      </w:r>
      <w:r w:rsidR="00D0476C">
        <w:rPr>
          <w:rFonts w:ascii="Times New Roman" w:hAnsi="Times New Roman" w:cs="Times New Roman"/>
        </w:rPr>
        <w:t>ion and Language (CECTAL). S</w:t>
      </w:r>
      <w:r w:rsidR="00B15AF5" w:rsidRPr="00CE438E">
        <w:rPr>
          <w:rFonts w:ascii="Times New Roman" w:hAnsi="Times New Roman" w:cs="Times New Roman"/>
        </w:rPr>
        <w:t>he became an honorary research associat</w:t>
      </w:r>
      <w:r w:rsidR="00D0476C">
        <w:rPr>
          <w:rFonts w:ascii="Times New Roman" w:hAnsi="Times New Roman" w:cs="Times New Roman"/>
        </w:rPr>
        <w:t xml:space="preserve">e afterwards. Her PhD </w:t>
      </w:r>
      <w:r w:rsidR="00B15AF5" w:rsidRPr="00CE438E">
        <w:rPr>
          <w:rFonts w:ascii="Times New Roman" w:hAnsi="Times New Roman" w:cs="Times New Roman"/>
        </w:rPr>
        <w:t>expand</w:t>
      </w:r>
      <w:r w:rsidR="00D0476C">
        <w:rPr>
          <w:rFonts w:ascii="Times New Roman" w:hAnsi="Times New Roman" w:cs="Times New Roman"/>
        </w:rPr>
        <w:t>ed</w:t>
      </w:r>
      <w:r w:rsidR="00B15AF5" w:rsidRPr="00CE438E">
        <w:rPr>
          <w:rFonts w:ascii="Times New Roman" w:hAnsi="Times New Roman" w:cs="Times New Roman"/>
        </w:rPr>
        <w:t xml:space="preserve"> the study of folklore away from an antiquarian focus and onto aspects of present d</w:t>
      </w:r>
      <w:r w:rsidR="00D0476C">
        <w:rPr>
          <w:rFonts w:ascii="Times New Roman" w:hAnsi="Times New Roman" w:cs="Times New Roman"/>
        </w:rPr>
        <w:t>ay attitudes. S</w:t>
      </w:r>
      <w:r w:rsidR="00B15AF5" w:rsidRPr="00CE438E">
        <w:rPr>
          <w:rFonts w:ascii="Times New Roman" w:hAnsi="Times New Roman" w:cs="Times New Roman"/>
        </w:rPr>
        <w:t>he noted that major life events, such as birth, marriage, and death provide a framework from which modern people derive a personal narrative.</w:t>
      </w:r>
      <w:r w:rsidR="00B15AF5" w:rsidRPr="00CE438E">
        <w:rPr>
          <w:rStyle w:val="FootnoteReference"/>
          <w:rFonts w:ascii="Times New Roman" w:hAnsi="Times New Roman" w:cs="Times New Roman"/>
        </w:rPr>
        <w:footnoteReference w:id="3"/>
      </w:r>
      <w:r w:rsidR="00B15AF5" w:rsidRPr="00CE438E">
        <w:rPr>
          <w:rFonts w:ascii="Times New Roman" w:hAnsi="Times New Roman" w:cs="Times New Roman"/>
        </w:rPr>
        <w:t xml:space="preserve"> Her PhD thesis provides a detailed description of her research methods that is not presented in her paper. </w:t>
      </w:r>
      <w:r w:rsidR="00761CF6" w:rsidRPr="00CE438E">
        <w:rPr>
          <w:rFonts w:ascii="Times New Roman" w:hAnsi="Times New Roman" w:cs="Times New Roman"/>
        </w:rPr>
        <w:t>The t</w:t>
      </w:r>
      <w:r w:rsidR="00D0476C">
        <w:rPr>
          <w:rFonts w:ascii="Times New Roman" w:hAnsi="Times New Roman" w:cs="Times New Roman"/>
        </w:rPr>
        <w:t>hesis outlines</w:t>
      </w:r>
      <w:r w:rsidR="00761CF6" w:rsidRPr="00CE438E">
        <w:rPr>
          <w:rFonts w:ascii="Times New Roman" w:hAnsi="Times New Roman" w:cs="Times New Roman"/>
        </w:rPr>
        <w:t xml:space="preserve"> a </w:t>
      </w:r>
      <w:r w:rsidR="00F80945">
        <w:rPr>
          <w:rFonts w:ascii="Times New Roman" w:hAnsi="Times New Roman" w:cs="Times New Roman"/>
        </w:rPr>
        <w:t>‘</w:t>
      </w:r>
      <w:r w:rsidR="00761CF6" w:rsidRPr="00CE438E">
        <w:rPr>
          <w:rFonts w:ascii="Times New Roman" w:hAnsi="Times New Roman" w:cs="Times New Roman"/>
        </w:rPr>
        <w:t>contextualist and performative</w:t>
      </w:r>
      <w:r w:rsidR="00F80945">
        <w:rPr>
          <w:rFonts w:ascii="Times New Roman" w:hAnsi="Times New Roman" w:cs="Times New Roman"/>
        </w:rPr>
        <w:t>’</w:t>
      </w:r>
      <w:r w:rsidR="00761CF6" w:rsidRPr="00CE438E">
        <w:rPr>
          <w:rFonts w:ascii="Times New Roman" w:hAnsi="Times New Roman" w:cs="Times New Roman"/>
        </w:rPr>
        <w:t xml:space="preserve"> approach to folklore. To pick apart that phrase word by word, the context of folklore is not simply an aggregate of past narratives</w:t>
      </w:r>
      <w:r w:rsidR="00D0476C">
        <w:rPr>
          <w:rFonts w:ascii="Times New Roman" w:hAnsi="Times New Roman" w:cs="Times New Roman"/>
        </w:rPr>
        <w:t xml:space="preserve"> (or clearly historically based)</w:t>
      </w:r>
      <w:r w:rsidR="00761CF6" w:rsidRPr="00CE438E">
        <w:rPr>
          <w:rFonts w:ascii="Times New Roman" w:hAnsi="Times New Roman" w:cs="Times New Roman"/>
        </w:rPr>
        <w:t>, but a m</w:t>
      </w:r>
      <w:r w:rsidR="00D0476C">
        <w:rPr>
          <w:rFonts w:ascii="Times New Roman" w:hAnsi="Times New Roman" w:cs="Times New Roman"/>
        </w:rPr>
        <w:t>ethod of communication</w:t>
      </w:r>
      <w:r w:rsidR="00761CF6" w:rsidRPr="00CE438E">
        <w:rPr>
          <w:rFonts w:ascii="Times New Roman" w:hAnsi="Times New Roman" w:cs="Times New Roman"/>
        </w:rPr>
        <w:t>.</w:t>
      </w:r>
      <w:r w:rsidR="00761CF6" w:rsidRPr="00CE438E">
        <w:rPr>
          <w:rStyle w:val="FootnoteReference"/>
          <w:rFonts w:ascii="Times New Roman" w:hAnsi="Times New Roman" w:cs="Times New Roman"/>
        </w:rPr>
        <w:footnoteReference w:id="4"/>
      </w:r>
      <w:r w:rsidR="00761CF6" w:rsidRPr="00CE438E">
        <w:rPr>
          <w:rFonts w:ascii="Times New Roman" w:hAnsi="Times New Roman" w:cs="Times New Roman"/>
        </w:rPr>
        <w:t xml:space="preserve"> Under this understanding of folklore, </w:t>
      </w:r>
      <w:r w:rsidR="00D57C8D" w:rsidRPr="00CE438E">
        <w:rPr>
          <w:rFonts w:ascii="Times New Roman" w:hAnsi="Times New Roman" w:cs="Times New Roman"/>
        </w:rPr>
        <w:t>a core story from the past is told in the present, and certain aspects of the narrative are either bolstered or supressed, depending upon the teller</w:t>
      </w:r>
      <w:r w:rsidR="00D0476C">
        <w:rPr>
          <w:rFonts w:ascii="Times New Roman" w:hAnsi="Times New Roman" w:cs="Times New Roman"/>
        </w:rPr>
        <w:t xml:space="preserve"> and the intended audience. The narrative</w:t>
      </w:r>
      <w:r w:rsidR="00D57C8D" w:rsidRPr="00CE438E">
        <w:rPr>
          <w:rFonts w:ascii="Times New Roman" w:hAnsi="Times New Roman" w:cs="Times New Roman"/>
        </w:rPr>
        <w:t xml:space="preserve"> might include moral codes, gender roles, or aspects of social class.</w:t>
      </w:r>
      <w:r w:rsidR="00D434D0" w:rsidRPr="00CE438E">
        <w:rPr>
          <w:rFonts w:ascii="Times New Roman" w:hAnsi="Times New Roman" w:cs="Times New Roman"/>
        </w:rPr>
        <w:t xml:space="preserve"> Text can then be read not</w:t>
      </w:r>
      <w:r w:rsidR="00D0476C">
        <w:rPr>
          <w:rFonts w:ascii="Times New Roman" w:hAnsi="Times New Roman" w:cs="Times New Roman"/>
        </w:rPr>
        <w:t xml:space="preserve"> only</w:t>
      </w:r>
      <w:r w:rsidR="00D434D0" w:rsidRPr="00CE438E">
        <w:rPr>
          <w:rFonts w:ascii="Times New Roman" w:hAnsi="Times New Roman" w:cs="Times New Roman"/>
        </w:rPr>
        <w:t xml:space="preserve"> as a linear narration, but as a product of a</w:t>
      </w:r>
      <w:r w:rsidR="00D0476C">
        <w:rPr>
          <w:rFonts w:ascii="Times New Roman" w:hAnsi="Times New Roman" w:cs="Times New Roman"/>
        </w:rPr>
        <w:t xml:space="preserve">n active narrative that was recorded. </w:t>
      </w:r>
      <w:r w:rsidR="00D434D0" w:rsidRPr="00CE438E">
        <w:rPr>
          <w:rFonts w:ascii="Times New Roman" w:hAnsi="Times New Roman" w:cs="Times New Roman"/>
        </w:rPr>
        <w:t xml:space="preserve">With this in mind one can approach </w:t>
      </w:r>
      <w:r w:rsidR="00D434D0" w:rsidRPr="00D0476C">
        <w:rPr>
          <w:rFonts w:ascii="Times New Roman" w:hAnsi="Times New Roman" w:cs="Times New Roman"/>
          <w:i/>
        </w:rPr>
        <w:t>Grimms’ Fairy Tales</w:t>
      </w:r>
      <w:r w:rsidR="00D434D0" w:rsidRPr="00CE438E">
        <w:rPr>
          <w:rFonts w:ascii="Times New Roman" w:hAnsi="Times New Roman" w:cs="Times New Roman"/>
        </w:rPr>
        <w:t xml:space="preserve"> of 1812 as a text that is missing in context because the authors were interested in the literature alone. Of course with the passage of time other aspects of folklore emerged as important fields of study. </w:t>
      </w:r>
    </w:p>
    <w:p w:rsidR="00B15AF5" w:rsidRPr="00CE438E" w:rsidRDefault="00D434D0" w:rsidP="00D434D0">
      <w:pPr>
        <w:rPr>
          <w:rFonts w:ascii="Times New Roman" w:hAnsi="Times New Roman" w:cs="Times New Roman"/>
        </w:rPr>
      </w:pPr>
      <w:r w:rsidRPr="00CE438E">
        <w:rPr>
          <w:rFonts w:ascii="Times New Roman" w:hAnsi="Times New Roman" w:cs="Times New Roman"/>
        </w:rPr>
        <w:t xml:space="preserve">     </w:t>
      </w:r>
      <w:r w:rsidR="00D57C8D" w:rsidRPr="00CE438E">
        <w:rPr>
          <w:rFonts w:ascii="Times New Roman" w:hAnsi="Times New Roman" w:cs="Times New Roman"/>
        </w:rPr>
        <w:t>To some degree the context of the telling blurs with the performance aspect. It is important that the word ‘performance’ here does not refer to the phys</w:t>
      </w:r>
      <w:r w:rsidR="00D0476C">
        <w:rPr>
          <w:rFonts w:ascii="Times New Roman" w:hAnsi="Times New Roman" w:cs="Times New Roman"/>
        </w:rPr>
        <w:t>ical embodiment of a story. John</w:t>
      </w:r>
      <w:r w:rsidR="00D57C8D" w:rsidRPr="00CE438E">
        <w:rPr>
          <w:rFonts w:ascii="Times New Roman" w:hAnsi="Times New Roman" w:cs="Times New Roman"/>
        </w:rPr>
        <w:t xml:space="preserve"> Austin suggests that there is a ‘</w:t>
      </w:r>
      <w:r w:rsidR="00F80945" w:rsidRPr="00CE438E">
        <w:rPr>
          <w:rFonts w:ascii="Times New Roman" w:hAnsi="Times New Roman" w:cs="Times New Roman"/>
        </w:rPr>
        <w:t>grammatical</w:t>
      </w:r>
      <w:r w:rsidR="00D57C8D" w:rsidRPr="00CE438E">
        <w:rPr>
          <w:rFonts w:ascii="Times New Roman" w:hAnsi="Times New Roman" w:cs="Times New Roman"/>
        </w:rPr>
        <w:t xml:space="preserve"> performative case’ where making any statement</w:t>
      </w:r>
      <w:r w:rsidR="00D0476C">
        <w:rPr>
          <w:rFonts w:ascii="Times New Roman" w:hAnsi="Times New Roman" w:cs="Times New Roman"/>
        </w:rPr>
        <w:t xml:space="preserve"> which</w:t>
      </w:r>
      <w:r w:rsidR="00D57C8D" w:rsidRPr="00CE438E">
        <w:rPr>
          <w:rFonts w:ascii="Times New Roman" w:hAnsi="Times New Roman" w:cs="Times New Roman"/>
        </w:rPr>
        <w:t xml:space="preserve"> can be classified as an action.</w:t>
      </w:r>
      <w:r w:rsidR="00D57C8D" w:rsidRPr="00CE438E">
        <w:rPr>
          <w:rStyle w:val="FootnoteReference"/>
          <w:rFonts w:ascii="Times New Roman" w:hAnsi="Times New Roman" w:cs="Times New Roman"/>
        </w:rPr>
        <w:footnoteReference w:id="5"/>
      </w:r>
      <w:r w:rsidRPr="00CE438E">
        <w:rPr>
          <w:rFonts w:ascii="Times New Roman" w:hAnsi="Times New Roman" w:cs="Times New Roman"/>
        </w:rPr>
        <w:t xml:space="preserve"> This school of thought was clearly a reaction to the rather black and white appreciation of folklore as a written text. Instead, it fleshes out folklore as a dynamic aspect of culture. It is also clear that folklore in the modern </w:t>
      </w:r>
      <w:r w:rsidR="00D0476C">
        <w:rPr>
          <w:rFonts w:ascii="Times New Roman" w:hAnsi="Times New Roman" w:cs="Times New Roman"/>
        </w:rPr>
        <w:t>W</w:t>
      </w:r>
      <w:r w:rsidRPr="00CE438E">
        <w:rPr>
          <w:rFonts w:ascii="Times New Roman" w:hAnsi="Times New Roman" w:cs="Times New Roman"/>
        </w:rPr>
        <w:t xml:space="preserve">est might be divorced from traditions of storytelling, </w:t>
      </w:r>
      <w:r w:rsidR="00F80945">
        <w:rPr>
          <w:rFonts w:ascii="Times New Roman" w:hAnsi="Times New Roman" w:cs="Times New Roman"/>
        </w:rPr>
        <w:t>as Bennett states in her thesis, ‘</w:t>
      </w:r>
      <w:r w:rsidRPr="00CE438E">
        <w:rPr>
          <w:rFonts w:ascii="Times New Roman" w:hAnsi="Times New Roman" w:cs="Times New Roman"/>
        </w:rPr>
        <w:t>Yet everybody, or almost everybody, tells stories and most of us have no particular expertise or reputation as storytellers. As far as I am aware no-one has yet studied the storytelling of naive narrators in depth</w:t>
      </w:r>
      <w:r w:rsidR="00F80945">
        <w:rPr>
          <w:rFonts w:ascii="Times New Roman" w:hAnsi="Times New Roman" w:cs="Times New Roman"/>
        </w:rPr>
        <w:t>’</w:t>
      </w:r>
      <w:r w:rsidRPr="00CE438E">
        <w:rPr>
          <w:rFonts w:ascii="Times New Roman" w:hAnsi="Times New Roman" w:cs="Times New Roman"/>
        </w:rPr>
        <w:t>.</w:t>
      </w:r>
      <w:r w:rsidRPr="00CE438E">
        <w:rPr>
          <w:rStyle w:val="FootnoteReference"/>
          <w:rFonts w:ascii="Times New Roman" w:hAnsi="Times New Roman" w:cs="Times New Roman"/>
        </w:rPr>
        <w:footnoteReference w:id="6"/>
      </w:r>
      <w:r w:rsidR="00BF31B9" w:rsidRPr="00CE438E">
        <w:rPr>
          <w:rFonts w:ascii="Times New Roman" w:hAnsi="Times New Roman" w:cs="Times New Roman"/>
        </w:rPr>
        <w:t xml:space="preserve"> Here naïve narrators are not taken to be ignorant, but are narrators who are not trained storytellers, as have existed in some cultures and some times. </w:t>
      </w:r>
      <w:r w:rsidR="00D0476C">
        <w:rPr>
          <w:rFonts w:ascii="Times New Roman" w:hAnsi="Times New Roman" w:cs="Times New Roman"/>
        </w:rPr>
        <w:t>This statement</w:t>
      </w:r>
      <w:r w:rsidR="003133F5" w:rsidRPr="00CE438E">
        <w:rPr>
          <w:rFonts w:ascii="Times New Roman" w:hAnsi="Times New Roman" w:cs="Times New Roman"/>
        </w:rPr>
        <w:t xml:space="preserve"> from Bennett’s thesis </w:t>
      </w:r>
      <w:r w:rsidR="00D0476C">
        <w:rPr>
          <w:rFonts w:ascii="Times New Roman" w:hAnsi="Times New Roman" w:cs="Times New Roman"/>
        </w:rPr>
        <w:t xml:space="preserve">suggests her future research interests. It leads </w:t>
      </w:r>
      <w:r w:rsidR="003133F5" w:rsidRPr="00CE438E">
        <w:rPr>
          <w:rFonts w:ascii="Times New Roman" w:hAnsi="Times New Roman" w:cs="Times New Roman"/>
        </w:rPr>
        <w:t>naturally to her paper If I Knew, which is a st</w:t>
      </w:r>
      <w:r w:rsidR="00F80945">
        <w:rPr>
          <w:rFonts w:ascii="Times New Roman" w:hAnsi="Times New Roman" w:cs="Times New Roman"/>
        </w:rPr>
        <w:t>udy of the folklore with a focus on</w:t>
      </w:r>
      <w:r w:rsidR="003133F5" w:rsidRPr="00CE438E">
        <w:rPr>
          <w:rFonts w:ascii="Times New Roman" w:hAnsi="Times New Roman" w:cs="Times New Roman"/>
        </w:rPr>
        <w:t xml:space="preserve"> elderly women in her hometown.</w:t>
      </w:r>
      <w:r w:rsidR="00D0476C">
        <w:rPr>
          <w:rFonts w:ascii="Times New Roman" w:hAnsi="Times New Roman" w:cs="Times New Roman"/>
        </w:rPr>
        <w:t xml:space="preserve"> They are not professional storytellers. </w:t>
      </w:r>
      <w:r w:rsidR="003133F5" w:rsidRPr="00CE438E">
        <w:rPr>
          <w:rFonts w:ascii="Times New Roman" w:hAnsi="Times New Roman" w:cs="Times New Roman"/>
        </w:rPr>
        <w:t xml:space="preserve">Instead of following in the footsteps of a detailed folklore tradition, their social situation and their worldview largely dictate their responses. </w:t>
      </w:r>
    </w:p>
    <w:p w:rsidR="000C4900" w:rsidRPr="00CE438E" w:rsidRDefault="00042503" w:rsidP="00D434D0">
      <w:pPr>
        <w:rPr>
          <w:rFonts w:ascii="Times New Roman" w:hAnsi="Times New Roman" w:cs="Times New Roman"/>
        </w:rPr>
      </w:pPr>
      <w:r>
        <w:rPr>
          <w:rFonts w:ascii="Times New Roman" w:hAnsi="Times New Roman" w:cs="Times New Roman"/>
        </w:rPr>
        <w:lastRenderedPageBreak/>
        <w:t xml:space="preserve">     </w:t>
      </w:r>
      <w:r w:rsidR="000C4900" w:rsidRPr="00CE438E">
        <w:rPr>
          <w:rFonts w:ascii="Times New Roman" w:hAnsi="Times New Roman" w:cs="Times New Roman"/>
        </w:rPr>
        <w:t xml:space="preserve">Bennett’s paper starts with some historical notes, </w:t>
      </w:r>
      <w:r w:rsidR="00F80945">
        <w:rPr>
          <w:rFonts w:ascii="Times New Roman" w:hAnsi="Times New Roman" w:cs="Times New Roman"/>
        </w:rPr>
        <w:t>identifies</w:t>
      </w:r>
      <w:r w:rsidR="009D2E05">
        <w:rPr>
          <w:rFonts w:ascii="Times New Roman" w:hAnsi="Times New Roman" w:cs="Times New Roman"/>
        </w:rPr>
        <w:t xml:space="preserve"> a break in tradition. The</w:t>
      </w:r>
      <w:r w:rsidR="000C4900" w:rsidRPr="00CE438E">
        <w:rPr>
          <w:rFonts w:ascii="Times New Roman" w:hAnsi="Times New Roman" w:cs="Times New Roman"/>
        </w:rPr>
        <w:t xml:space="preserve"> 18</w:t>
      </w:r>
      <w:r w:rsidR="000C4900" w:rsidRPr="00CE438E">
        <w:rPr>
          <w:rFonts w:ascii="Times New Roman" w:hAnsi="Times New Roman" w:cs="Times New Roman"/>
          <w:vertAlign w:val="superscript"/>
        </w:rPr>
        <w:t>th</w:t>
      </w:r>
      <w:r w:rsidR="00F95DD5">
        <w:rPr>
          <w:rFonts w:ascii="Times New Roman" w:hAnsi="Times New Roman" w:cs="Times New Roman"/>
        </w:rPr>
        <w:t xml:space="preserve"> century </w:t>
      </w:r>
      <w:r w:rsidR="000C4900" w:rsidRPr="00CE438E">
        <w:rPr>
          <w:rFonts w:ascii="Times New Roman" w:hAnsi="Times New Roman" w:cs="Times New Roman"/>
        </w:rPr>
        <w:t>was the start of a rational-mechanistic worldview triggered by the scientific revolution. Science did not replace the supernatural, but</w:t>
      </w:r>
      <w:r w:rsidR="00F95DD5">
        <w:rPr>
          <w:rFonts w:ascii="Times New Roman" w:hAnsi="Times New Roman" w:cs="Times New Roman"/>
        </w:rPr>
        <w:t xml:space="preserve"> drove it underground</w:t>
      </w:r>
      <w:r w:rsidR="000C4900" w:rsidRPr="00CE438E">
        <w:rPr>
          <w:rFonts w:ascii="Times New Roman" w:hAnsi="Times New Roman" w:cs="Times New Roman"/>
        </w:rPr>
        <w:t>. For example, for the present study omens signs and warnings were not as pronounced</w:t>
      </w:r>
      <w:r w:rsidR="00F95DD5">
        <w:rPr>
          <w:rFonts w:ascii="Times New Roman" w:hAnsi="Times New Roman" w:cs="Times New Roman"/>
        </w:rPr>
        <w:t xml:space="preserve"> as in earlier eras</w:t>
      </w:r>
      <w:r w:rsidR="000C4900" w:rsidRPr="00CE438E">
        <w:rPr>
          <w:rFonts w:ascii="Times New Roman" w:hAnsi="Times New Roman" w:cs="Times New Roman"/>
        </w:rPr>
        <w:t>, and their expressive range was curtailed.</w:t>
      </w:r>
      <w:r w:rsidR="000C4900" w:rsidRPr="00CE438E">
        <w:rPr>
          <w:rStyle w:val="FootnoteReference"/>
          <w:rFonts w:ascii="Times New Roman" w:hAnsi="Times New Roman" w:cs="Times New Roman"/>
        </w:rPr>
        <w:t xml:space="preserve"> </w:t>
      </w:r>
      <w:r w:rsidR="000C4900" w:rsidRPr="00CE438E">
        <w:rPr>
          <w:rStyle w:val="FootnoteReference"/>
          <w:rFonts w:ascii="Times New Roman" w:hAnsi="Times New Roman" w:cs="Times New Roman"/>
        </w:rPr>
        <w:footnoteReference w:id="7"/>
      </w:r>
      <w:r w:rsidR="000C4900" w:rsidRPr="00CE438E">
        <w:rPr>
          <w:rFonts w:ascii="Times New Roman" w:hAnsi="Times New Roman" w:cs="Times New Roman"/>
        </w:rPr>
        <w:t xml:space="preserve"> By the 19</w:t>
      </w:r>
      <w:r w:rsidR="000C4900" w:rsidRPr="00CE438E">
        <w:rPr>
          <w:rFonts w:ascii="Times New Roman" w:hAnsi="Times New Roman" w:cs="Times New Roman"/>
          <w:vertAlign w:val="superscript"/>
        </w:rPr>
        <w:t>th</w:t>
      </w:r>
      <w:r w:rsidR="000C4900" w:rsidRPr="00CE438E">
        <w:rPr>
          <w:rFonts w:ascii="Times New Roman" w:hAnsi="Times New Roman" w:cs="Times New Roman"/>
        </w:rPr>
        <w:t xml:space="preserve"> century there were two strands</w:t>
      </w:r>
      <w:r w:rsidR="00F95DD5">
        <w:rPr>
          <w:rFonts w:ascii="Times New Roman" w:hAnsi="Times New Roman" w:cs="Times New Roman"/>
        </w:rPr>
        <w:t xml:space="preserve"> of foretelling the future</w:t>
      </w:r>
      <w:r w:rsidR="000C4900" w:rsidRPr="00CE438E">
        <w:rPr>
          <w:rFonts w:ascii="Times New Roman" w:hAnsi="Times New Roman" w:cs="Times New Roman"/>
        </w:rPr>
        <w:t>. The first is divination, now mostly represented by astr</w:t>
      </w:r>
      <w:r w:rsidR="009D2E05">
        <w:rPr>
          <w:rFonts w:ascii="Times New Roman" w:hAnsi="Times New Roman" w:cs="Times New Roman"/>
        </w:rPr>
        <w:t>ology. The second are dreams, visions, and general feelings</w:t>
      </w:r>
      <w:r w:rsidR="000C4900" w:rsidRPr="00CE438E">
        <w:rPr>
          <w:rFonts w:ascii="Times New Roman" w:hAnsi="Times New Roman" w:cs="Times New Roman"/>
        </w:rPr>
        <w:t>, w</w:t>
      </w:r>
      <w:r w:rsidR="009D2E05">
        <w:rPr>
          <w:rFonts w:ascii="Times New Roman" w:hAnsi="Times New Roman" w:cs="Times New Roman"/>
        </w:rPr>
        <w:t>hich can now be classed under ‘extrasensory p</w:t>
      </w:r>
      <w:r w:rsidR="00F80945">
        <w:rPr>
          <w:rFonts w:ascii="Times New Roman" w:hAnsi="Times New Roman" w:cs="Times New Roman"/>
        </w:rPr>
        <w:t xml:space="preserve">erception’. Because these are </w:t>
      </w:r>
      <w:r w:rsidR="000C4900" w:rsidRPr="00CE438E">
        <w:rPr>
          <w:rFonts w:ascii="Times New Roman" w:hAnsi="Times New Roman" w:cs="Times New Roman"/>
        </w:rPr>
        <w:t>personal expressions that require delicacy to extract from subjects, the author decided to approach patients at her father’s podiatrist’s clinic.</w:t>
      </w:r>
      <w:r w:rsidR="00C31DFC" w:rsidRPr="00CE438E">
        <w:rPr>
          <w:rFonts w:ascii="Times New Roman" w:hAnsi="Times New Roman" w:cs="Times New Roman"/>
        </w:rPr>
        <w:t xml:space="preserve"> This raises some ethical issues, such as if simply by asking</w:t>
      </w:r>
      <w:r w:rsidR="00F95DD5">
        <w:rPr>
          <w:rFonts w:ascii="Times New Roman" w:hAnsi="Times New Roman" w:cs="Times New Roman"/>
        </w:rPr>
        <w:t xml:space="preserve"> from a likely position of authority</w:t>
      </w:r>
      <w:r w:rsidR="00C31DFC" w:rsidRPr="00CE438E">
        <w:rPr>
          <w:rFonts w:ascii="Times New Roman" w:hAnsi="Times New Roman" w:cs="Times New Roman"/>
        </w:rPr>
        <w:t xml:space="preserve"> patients were pressed into participating in the study.</w:t>
      </w:r>
      <w:r w:rsidR="00505D55" w:rsidRPr="00CE438E">
        <w:rPr>
          <w:rFonts w:ascii="Times New Roman" w:hAnsi="Times New Roman" w:cs="Times New Roman"/>
        </w:rPr>
        <w:t xml:space="preserve"> From the paper demographic information is presented in Table 1. This information was provided by Bennett’s father, and it is not clear if the patients consented to this information being collected. There might be an abuse of trust case looming according to modern standards.</w:t>
      </w:r>
      <w:r w:rsidR="00C31DFC" w:rsidRPr="00CE438E">
        <w:rPr>
          <w:rFonts w:ascii="Times New Roman" w:hAnsi="Times New Roman" w:cs="Times New Roman"/>
        </w:rPr>
        <w:t xml:space="preserve"> There are also issues having to do with anonymization, as well as data collection and storage. The age range sampled also raises a red flag, as there were 16 year olds interviewed for the study (legal consent issues are raised). It seems that at the time these wer</w:t>
      </w:r>
      <w:r w:rsidR="00F95DD5">
        <w:rPr>
          <w:rFonts w:ascii="Times New Roman" w:hAnsi="Times New Roman" w:cs="Times New Roman"/>
        </w:rPr>
        <w:t>e less prominent concerns. T</w:t>
      </w:r>
      <w:r w:rsidR="00C31DFC" w:rsidRPr="00CE438E">
        <w:rPr>
          <w:rFonts w:ascii="Times New Roman" w:hAnsi="Times New Roman" w:cs="Times New Roman"/>
        </w:rPr>
        <w:t>he core group</w:t>
      </w:r>
      <w:r w:rsidR="00F95DD5">
        <w:rPr>
          <w:rFonts w:ascii="Times New Roman" w:hAnsi="Times New Roman" w:cs="Times New Roman"/>
        </w:rPr>
        <w:t>, taken out of the 120 interviewed,</w:t>
      </w:r>
      <w:r w:rsidR="00C31DFC" w:rsidRPr="00CE438E">
        <w:rPr>
          <w:rFonts w:ascii="Times New Roman" w:hAnsi="Times New Roman" w:cs="Times New Roman"/>
        </w:rPr>
        <w:t xml:space="preserve"> were women between sixty and ninety-five.</w:t>
      </w:r>
      <w:r w:rsidR="00C31DFC" w:rsidRPr="00CE438E">
        <w:rPr>
          <w:rStyle w:val="FootnoteReference"/>
          <w:rFonts w:ascii="Times New Roman" w:hAnsi="Times New Roman" w:cs="Times New Roman"/>
        </w:rPr>
        <w:footnoteReference w:id="8"/>
      </w:r>
      <w:r w:rsidR="00F95DD5">
        <w:rPr>
          <w:rFonts w:ascii="Times New Roman" w:hAnsi="Times New Roman" w:cs="Times New Roman"/>
        </w:rPr>
        <w:t xml:space="preserve"> This might again raise issues, this time with mental capacity and consent. </w:t>
      </w:r>
    </w:p>
    <w:p w:rsidR="00B15AF5" w:rsidRDefault="007E324D" w:rsidP="00B15AF5">
      <w:pPr>
        <w:rPr>
          <w:rFonts w:ascii="Times New Roman" w:hAnsi="Times New Roman" w:cs="Times New Roman"/>
        </w:rPr>
      </w:pPr>
      <w:r w:rsidRPr="00CE438E">
        <w:rPr>
          <w:rFonts w:ascii="Times New Roman" w:hAnsi="Times New Roman" w:cs="Times New Roman"/>
        </w:rPr>
        <w:t xml:space="preserve">    </w:t>
      </w:r>
      <w:r w:rsidR="00AC1615" w:rsidRPr="00CE438E">
        <w:rPr>
          <w:rFonts w:ascii="Times New Roman" w:hAnsi="Times New Roman" w:cs="Times New Roman"/>
        </w:rPr>
        <w:t>Bennett presents the results more or less integrated with an analysis. The group of women did have clear value judgements regarding astrology and 2/3 were dismissive and only 2% admitted to believing in it fully. Twenty five percent were unsure.  Fortune telling fared butter, with 75% disbelieving and 15% sure it would work. The visionary arts, including telepathy, only had 10% of respondents thinking it would not work.</w:t>
      </w:r>
      <w:r w:rsidR="00B45049" w:rsidRPr="00CE438E">
        <w:rPr>
          <w:rFonts w:ascii="Times New Roman" w:hAnsi="Times New Roman" w:cs="Times New Roman"/>
        </w:rPr>
        <w:t xml:space="preserve"> More than half held that omens before death</w:t>
      </w:r>
      <w:r w:rsidR="00F95DD5">
        <w:rPr>
          <w:rFonts w:ascii="Times New Roman" w:hAnsi="Times New Roman" w:cs="Times New Roman"/>
        </w:rPr>
        <w:t xml:space="preserve"> were possible</w:t>
      </w:r>
      <w:r w:rsidR="00B45049" w:rsidRPr="00CE438E">
        <w:rPr>
          <w:rFonts w:ascii="Times New Roman" w:hAnsi="Times New Roman" w:cs="Times New Roman"/>
        </w:rPr>
        <w:t>.</w:t>
      </w:r>
      <w:r w:rsidR="00AC1615" w:rsidRPr="00CE438E">
        <w:rPr>
          <w:rStyle w:val="FootnoteReference"/>
          <w:rFonts w:ascii="Times New Roman" w:hAnsi="Times New Roman" w:cs="Times New Roman"/>
        </w:rPr>
        <w:footnoteReference w:id="9"/>
      </w:r>
      <w:r w:rsidR="00F95DD5">
        <w:rPr>
          <w:rFonts w:ascii="Times New Roman" w:hAnsi="Times New Roman" w:cs="Times New Roman"/>
        </w:rPr>
        <w:t xml:space="preserve"> Given the size of the community and the large number of people sampled from the clinic, it is unclear if the sources were aware that this information would be published. Anyone attending the clinic might be identified, rightly or wrongly. The issue is not if there was sensitive information published, but rather if the sources were happy to have that data shared. The next paper deals with a totally different set of facts. </w:t>
      </w:r>
    </w:p>
    <w:p w:rsidR="00A76173" w:rsidRPr="00CE438E" w:rsidRDefault="007E324D" w:rsidP="0052090E">
      <w:pPr>
        <w:rPr>
          <w:rFonts w:ascii="Times New Roman" w:hAnsi="Times New Roman" w:cs="Times New Roman"/>
        </w:rPr>
      </w:pPr>
      <w:r w:rsidRPr="00CE438E">
        <w:rPr>
          <w:rFonts w:ascii="Times New Roman" w:hAnsi="Times New Roman" w:cs="Times New Roman"/>
        </w:rPr>
        <w:t xml:space="preserve">     </w:t>
      </w:r>
      <w:r w:rsidR="004C1513" w:rsidRPr="00CE438E">
        <w:rPr>
          <w:rFonts w:ascii="Times New Roman" w:hAnsi="Times New Roman" w:cs="Times New Roman"/>
        </w:rPr>
        <w:t>Jenny Blain</w:t>
      </w:r>
      <w:r w:rsidR="00A00803" w:rsidRPr="00CE438E">
        <w:rPr>
          <w:rFonts w:ascii="Times New Roman" w:hAnsi="Times New Roman" w:cs="Times New Roman"/>
        </w:rPr>
        <w:t xml:space="preserve"> </w:t>
      </w:r>
      <w:r w:rsidR="0052090E" w:rsidRPr="00CE438E">
        <w:rPr>
          <w:rFonts w:ascii="Times New Roman" w:hAnsi="Times New Roman" w:cs="Times New Roman"/>
        </w:rPr>
        <w:t>is a retired Senior Lecturer in Sociology at Sheffield Hallam University. Her te</w:t>
      </w:r>
      <w:r w:rsidRPr="00CE438E">
        <w:rPr>
          <w:rFonts w:ascii="Times New Roman" w:hAnsi="Times New Roman" w:cs="Times New Roman"/>
        </w:rPr>
        <w:t>aching and research encompasses</w:t>
      </w:r>
      <w:r w:rsidR="0052090E" w:rsidRPr="00CE438E">
        <w:rPr>
          <w:rFonts w:ascii="Times New Roman" w:hAnsi="Times New Roman" w:cs="Times New Roman"/>
        </w:rPr>
        <w:t xml:space="preserve"> qualita</w:t>
      </w:r>
      <w:r w:rsidR="00F95DD5">
        <w:rPr>
          <w:rFonts w:ascii="Times New Roman" w:hAnsi="Times New Roman" w:cs="Times New Roman"/>
        </w:rPr>
        <w:t>tive research</w:t>
      </w:r>
      <w:r w:rsidR="00042503">
        <w:rPr>
          <w:rFonts w:ascii="Times New Roman" w:hAnsi="Times New Roman" w:cs="Times New Roman"/>
        </w:rPr>
        <w:t xml:space="preserve"> methods</w:t>
      </w:r>
      <w:r w:rsidR="00F95DD5">
        <w:rPr>
          <w:rFonts w:ascii="Times New Roman" w:hAnsi="Times New Roman" w:cs="Times New Roman"/>
        </w:rPr>
        <w:t>, epistemology, social theory, and the</w:t>
      </w:r>
      <w:r w:rsidR="0052090E" w:rsidRPr="00CE438E">
        <w:rPr>
          <w:rFonts w:ascii="Times New Roman" w:hAnsi="Times New Roman" w:cs="Times New Roman"/>
        </w:rPr>
        <w:t xml:space="preserve"> sociology of religion. She obtained an MA and PhD in the Sociology of Education, Social Anthropology and Sociology at Dalhousie University and was a lecturer</w:t>
      </w:r>
      <w:r w:rsidRPr="00CE438E">
        <w:rPr>
          <w:rFonts w:ascii="Times New Roman" w:hAnsi="Times New Roman" w:cs="Times New Roman"/>
        </w:rPr>
        <w:t xml:space="preserve"> in</w:t>
      </w:r>
      <w:r w:rsidR="0052090E" w:rsidRPr="00CE438E">
        <w:rPr>
          <w:rFonts w:ascii="Times New Roman" w:hAnsi="Times New Roman" w:cs="Times New Roman"/>
        </w:rPr>
        <w:t xml:space="preserve"> sociology and anthropology Mount Saint Vincent University and then an Assistant Professor at Dalhousie University.</w:t>
      </w:r>
      <w:r w:rsidR="0052090E" w:rsidRPr="00CE438E">
        <w:rPr>
          <w:rStyle w:val="FootnoteReference"/>
          <w:rFonts w:ascii="Times New Roman" w:hAnsi="Times New Roman" w:cs="Times New Roman"/>
        </w:rPr>
        <w:footnoteReference w:id="10"/>
      </w:r>
      <w:r w:rsidR="00A76173" w:rsidRPr="00CE438E">
        <w:rPr>
          <w:rFonts w:ascii="Times New Roman" w:hAnsi="Times New Roman" w:cs="Times New Roman"/>
        </w:rPr>
        <w:t xml:space="preserve"> Blain</w:t>
      </w:r>
      <w:r w:rsidR="00042503">
        <w:rPr>
          <w:rFonts w:ascii="Times New Roman" w:hAnsi="Times New Roman" w:cs="Times New Roman"/>
        </w:rPr>
        <w:t>’s research methods directly challenge</w:t>
      </w:r>
      <w:r w:rsidR="00A76173" w:rsidRPr="00CE438E">
        <w:rPr>
          <w:rFonts w:ascii="Times New Roman" w:hAnsi="Times New Roman" w:cs="Times New Roman"/>
        </w:rPr>
        <w:t xml:space="preserve"> conceptions that researchers should be distant and objective</w:t>
      </w:r>
      <w:r w:rsidR="00042503">
        <w:rPr>
          <w:rFonts w:ascii="Times New Roman" w:hAnsi="Times New Roman" w:cs="Times New Roman"/>
        </w:rPr>
        <w:t>. According to her, they</w:t>
      </w:r>
      <w:r w:rsidR="00A76173" w:rsidRPr="00CE438E">
        <w:rPr>
          <w:rFonts w:ascii="Times New Roman" w:hAnsi="Times New Roman" w:cs="Times New Roman"/>
        </w:rPr>
        <w:t xml:space="preserve"> should be, or they should be seen to be, ac</w:t>
      </w:r>
      <w:r w:rsidRPr="00CE438E">
        <w:rPr>
          <w:rFonts w:ascii="Times New Roman" w:hAnsi="Times New Roman" w:cs="Times New Roman"/>
        </w:rPr>
        <w:t>tive participants</w:t>
      </w:r>
      <w:r w:rsidR="00042503">
        <w:rPr>
          <w:rFonts w:ascii="Times New Roman" w:hAnsi="Times New Roman" w:cs="Times New Roman"/>
        </w:rPr>
        <w:t xml:space="preserve"> in the traditions they study</w:t>
      </w:r>
      <w:r w:rsidRPr="00CE438E">
        <w:rPr>
          <w:rFonts w:ascii="Times New Roman" w:hAnsi="Times New Roman" w:cs="Times New Roman"/>
        </w:rPr>
        <w:t>. This</w:t>
      </w:r>
      <w:r w:rsidR="00A76173" w:rsidRPr="00CE438E">
        <w:rPr>
          <w:rFonts w:ascii="Times New Roman" w:hAnsi="Times New Roman" w:cs="Times New Roman"/>
        </w:rPr>
        <w:t xml:space="preserve"> b</w:t>
      </w:r>
      <w:r w:rsidRPr="00CE438E">
        <w:rPr>
          <w:rFonts w:ascii="Times New Roman" w:hAnsi="Times New Roman" w:cs="Times New Roman"/>
        </w:rPr>
        <w:t xml:space="preserve">lurs the distinction between the anthropologist - </w:t>
      </w:r>
      <w:r w:rsidR="00A76173" w:rsidRPr="00CE438E">
        <w:rPr>
          <w:rFonts w:ascii="Times New Roman" w:hAnsi="Times New Roman" w:cs="Times New Roman"/>
        </w:rPr>
        <w:t>an ‘outsider’ almost by defin</w:t>
      </w:r>
      <w:r w:rsidRPr="00CE438E">
        <w:rPr>
          <w:rFonts w:ascii="Times New Roman" w:hAnsi="Times New Roman" w:cs="Times New Roman"/>
        </w:rPr>
        <w:t>ition - and an insider who is a source</w:t>
      </w:r>
      <w:r w:rsidR="00A76173" w:rsidRPr="00CE438E">
        <w:rPr>
          <w:rFonts w:ascii="Times New Roman" w:hAnsi="Times New Roman" w:cs="Times New Roman"/>
        </w:rPr>
        <w:t>.  She notes that in cases where contact with the supern</w:t>
      </w:r>
      <w:r w:rsidR="00A45C54">
        <w:rPr>
          <w:rFonts w:ascii="Times New Roman" w:hAnsi="Times New Roman" w:cs="Times New Roman"/>
        </w:rPr>
        <w:t>atural is made, the observer should</w:t>
      </w:r>
      <w:r w:rsidR="00A76173" w:rsidRPr="00CE438E">
        <w:rPr>
          <w:rFonts w:ascii="Times New Roman" w:hAnsi="Times New Roman" w:cs="Times New Roman"/>
        </w:rPr>
        <w:t xml:space="preserve"> participat</w:t>
      </w:r>
      <w:r w:rsidR="00042503">
        <w:rPr>
          <w:rFonts w:ascii="Times New Roman" w:hAnsi="Times New Roman" w:cs="Times New Roman"/>
        </w:rPr>
        <w:t>e even if they are accused of ‘going native’</w:t>
      </w:r>
      <w:r w:rsidR="00A76173" w:rsidRPr="00CE438E">
        <w:rPr>
          <w:rFonts w:ascii="Times New Roman" w:hAnsi="Times New Roman" w:cs="Times New Roman"/>
        </w:rPr>
        <w:t xml:space="preserve">. This might be a particularly thorny issue if the observer ingests mind-altering substances. </w:t>
      </w:r>
      <w:r w:rsidR="00BF31B9" w:rsidRPr="00CE438E">
        <w:rPr>
          <w:rFonts w:ascii="Times New Roman" w:hAnsi="Times New Roman" w:cs="Times New Roman"/>
        </w:rPr>
        <w:t xml:space="preserve"> Blaine is particularly noted for her feminist approach to folklore. Although the field has hosted many prominent women, the emergence of feminism as a sub-field of folklore is only relatively recent, in the 1970s.</w:t>
      </w:r>
      <w:r w:rsidR="00BF31B9" w:rsidRPr="00CE438E">
        <w:rPr>
          <w:rStyle w:val="FootnoteReference"/>
          <w:rFonts w:ascii="Times New Roman" w:hAnsi="Times New Roman" w:cs="Times New Roman"/>
        </w:rPr>
        <w:footnoteReference w:id="11"/>
      </w:r>
      <w:r w:rsidR="00BF31B9" w:rsidRPr="00CE438E">
        <w:rPr>
          <w:rFonts w:ascii="Times New Roman" w:hAnsi="Times New Roman" w:cs="Times New Roman"/>
        </w:rPr>
        <w:t xml:space="preserve"> The emergence of this movement coincided with the deconstruction of older ways of </w:t>
      </w:r>
      <w:r w:rsidR="00BF31B9" w:rsidRPr="00CE438E">
        <w:rPr>
          <w:rFonts w:ascii="Times New Roman" w:hAnsi="Times New Roman" w:cs="Times New Roman"/>
        </w:rPr>
        <w:lastRenderedPageBreak/>
        <w:t xml:space="preserve">analysis. These </w:t>
      </w:r>
      <w:r w:rsidR="00042503">
        <w:rPr>
          <w:rFonts w:ascii="Times New Roman" w:hAnsi="Times New Roman" w:cs="Times New Roman"/>
        </w:rPr>
        <w:t>new methods</w:t>
      </w:r>
      <w:r w:rsidR="00BF31B9" w:rsidRPr="00CE438E">
        <w:rPr>
          <w:rFonts w:ascii="Times New Roman" w:hAnsi="Times New Roman" w:cs="Times New Roman"/>
        </w:rPr>
        <w:t xml:space="preserve"> have led to a re-appraisal of accepted procedures and preconceptions. </w:t>
      </w:r>
      <w:r w:rsidR="00626209" w:rsidRPr="00CE438E">
        <w:rPr>
          <w:rFonts w:ascii="Times New Roman" w:hAnsi="Times New Roman" w:cs="Times New Roman"/>
        </w:rPr>
        <w:t>Blaine’s paper explored shamani</w:t>
      </w:r>
      <w:r w:rsidR="00BA434D" w:rsidRPr="00CE438E">
        <w:rPr>
          <w:rFonts w:ascii="Times New Roman" w:hAnsi="Times New Roman" w:cs="Times New Roman"/>
        </w:rPr>
        <w:t>s</w:t>
      </w:r>
      <w:r w:rsidR="00626209" w:rsidRPr="00CE438E">
        <w:rPr>
          <w:rFonts w:ascii="Times New Roman" w:hAnsi="Times New Roman" w:cs="Times New Roman"/>
        </w:rPr>
        <w:t>tic ‘seidr’ practitioners. This tradition has been reconstructed from Icelandic written sources, and there is no direct connection between modern practitioners and the past. The author has personal experiences with seidworkers and suggests her research is intuitive/experiential anthropology.</w:t>
      </w:r>
      <w:r w:rsidR="00620072" w:rsidRPr="00CE438E">
        <w:rPr>
          <w:rFonts w:ascii="Times New Roman" w:hAnsi="Times New Roman" w:cs="Times New Roman"/>
        </w:rPr>
        <w:t xml:space="preserve"> To some degree this method of investigation is a reaction to anthropologists of previous decades who sought to define their discipline as objective and scientific. Howeve</w:t>
      </w:r>
      <w:r w:rsidR="00A45C54">
        <w:rPr>
          <w:rFonts w:ascii="Times New Roman" w:hAnsi="Times New Roman" w:cs="Times New Roman"/>
        </w:rPr>
        <w:t>r, there are some questions which</w:t>
      </w:r>
      <w:r w:rsidR="00620072" w:rsidRPr="00CE438E">
        <w:rPr>
          <w:rFonts w:ascii="Times New Roman" w:hAnsi="Times New Roman" w:cs="Times New Roman"/>
        </w:rPr>
        <w:t xml:space="preserve"> cannot be effectively considered from an outside perspective.</w:t>
      </w:r>
      <w:r w:rsidR="00626209" w:rsidRPr="00CE438E">
        <w:rPr>
          <w:rFonts w:ascii="Times New Roman" w:hAnsi="Times New Roman" w:cs="Times New Roman"/>
        </w:rPr>
        <w:t xml:space="preserve"> From the start this is very different from Bennett’s research design, where there was a line between source and recorder. </w:t>
      </w:r>
      <w:r w:rsidR="00BA434D" w:rsidRPr="00CE438E">
        <w:rPr>
          <w:rFonts w:ascii="Times New Roman" w:hAnsi="Times New Roman" w:cs="Times New Roman"/>
        </w:rPr>
        <w:t xml:space="preserve">This is likely due to the fact that modern pagan groups attract a wide variety of people, and some groups might be divided into various cliques that would not be amenable to working with outsiders. </w:t>
      </w:r>
    </w:p>
    <w:p w:rsidR="007E324D" w:rsidRPr="00CE438E" w:rsidRDefault="00042503" w:rsidP="0052090E">
      <w:pPr>
        <w:rPr>
          <w:rFonts w:ascii="Times New Roman" w:hAnsi="Times New Roman" w:cs="Times New Roman"/>
        </w:rPr>
      </w:pPr>
      <w:r>
        <w:rPr>
          <w:rFonts w:ascii="Times New Roman" w:hAnsi="Times New Roman" w:cs="Times New Roman"/>
        </w:rPr>
        <w:t xml:space="preserve">     </w:t>
      </w:r>
      <w:r w:rsidR="00620072" w:rsidRPr="00CE438E">
        <w:rPr>
          <w:rFonts w:ascii="Times New Roman" w:hAnsi="Times New Roman" w:cs="Times New Roman"/>
        </w:rPr>
        <w:t>Blaine is keenly aware that she is researching a reconstructed tradition, but she asserts that there may be inherent truth expressed in the experiences of shamans. In such a case historical antecedents, or folklore, might be less r</w:t>
      </w:r>
      <w:r w:rsidR="00A45C54">
        <w:rPr>
          <w:rFonts w:ascii="Times New Roman" w:hAnsi="Times New Roman" w:cs="Times New Roman"/>
        </w:rPr>
        <w:t>elevant. The event she chronicles</w:t>
      </w:r>
      <w:r w:rsidR="00620072" w:rsidRPr="00CE438E">
        <w:rPr>
          <w:rFonts w:ascii="Times New Roman" w:hAnsi="Times New Roman" w:cs="Times New Roman"/>
        </w:rPr>
        <w:t xml:space="preserve"> was a wedding, and the observations would be done while the observer was a participant and clearly a believer. There is little or no effort for the observer/recorder to be detached, but this is a feature of the research and not a weakness. </w:t>
      </w:r>
      <w:r w:rsidR="00A156A4" w:rsidRPr="00CE438E">
        <w:rPr>
          <w:rFonts w:ascii="Times New Roman" w:hAnsi="Times New Roman" w:cs="Times New Roman"/>
        </w:rPr>
        <w:t xml:space="preserve">The ceremony where the shaman enters other realms can involve an interactive audience who may also ask questions. They are very much part of the experience, and it is no surprise why a neutral observer might not be welcome in such a situation. </w:t>
      </w:r>
      <w:r w:rsidR="007E324D" w:rsidRPr="00CE438E">
        <w:rPr>
          <w:rFonts w:ascii="Times New Roman" w:hAnsi="Times New Roman" w:cs="Times New Roman"/>
        </w:rPr>
        <w:t xml:space="preserve"> </w:t>
      </w:r>
    </w:p>
    <w:p w:rsidR="007E324D" w:rsidRPr="00CE438E" w:rsidRDefault="00042503" w:rsidP="0052090E">
      <w:pPr>
        <w:rPr>
          <w:rFonts w:ascii="Times New Roman" w:hAnsi="Times New Roman" w:cs="Times New Roman"/>
        </w:rPr>
      </w:pPr>
      <w:r>
        <w:rPr>
          <w:rFonts w:ascii="Times New Roman" w:hAnsi="Times New Roman" w:cs="Times New Roman"/>
        </w:rPr>
        <w:t xml:space="preserve">     </w:t>
      </w:r>
      <w:r w:rsidR="007E324D" w:rsidRPr="00CE438E">
        <w:rPr>
          <w:rFonts w:ascii="Times New Roman" w:hAnsi="Times New Roman" w:cs="Times New Roman"/>
        </w:rPr>
        <w:t>In the paper Blaine notes that she is studying people from the pagan community in Boston who were gathered for a wedding. Although no names are given, it seems likely that the community is so small that one can use social media sources to find the</w:t>
      </w:r>
      <w:r w:rsidR="00A45C54">
        <w:rPr>
          <w:rFonts w:ascii="Times New Roman" w:hAnsi="Times New Roman" w:cs="Times New Roman"/>
        </w:rPr>
        <w:t xml:space="preserve"> exact</w:t>
      </w:r>
      <w:r w:rsidR="007E324D" w:rsidRPr="00CE438E">
        <w:rPr>
          <w:rFonts w:ascii="Times New Roman" w:hAnsi="Times New Roman" w:cs="Times New Roman"/>
        </w:rPr>
        <w:t xml:space="preserve"> event. As there were also notes about the audience as well as the Shaman, it is unclear if the audience gave prior informed consent regarding the</w:t>
      </w:r>
      <w:r w:rsidR="00A45C54">
        <w:rPr>
          <w:rFonts w:ascii="Times New Roman" w:hAnsi="Times New Roman" w:cs="Times New Roman"/>
        </w:rPr>
        <w:t xml:space="preserve"> research. T</w:t>
      </w:r>
      <w:r w:rsidR="007E324D" w:rsidRPr="00CE438E">
        <w:rPr>
          <w:rFonts w:ascii="Times New Roman" w:hAnsi="Times New Roman" w:cs="Times New Roman"/>
        </w:rPr>
        <w:t xml:space="preserve">he Shaman was aware that </w:t>
      </w:r>
      <w:r w:rsidR="00A45C54">
        <w:rPr>
          <w:rFonts w:ascii="Times New Roman" w:hAnsi="Times New Roman" w:cs="Times New Roman"/>
        </w:rPr>
        <w:t>a study was taking place, but the paper</w:t>
      </w:r>
      <w:r w:rsidR="007E324D" w:rsidRPr="00CE438E">
        <w:rPr>
          <w:rFonts w:ascii="Times New Roman" w:hAnsi="Times New Roman" w:cs="Times New Roman"/>
        </w:rPr>
        <w:t xml:space="preserve"> nowhere suggests that publication was discussed. </w:t>
      </w:r>
      <w:r w:rsidR="00901A93" w:rsidRPr="00CE438E">
        <w:rPr>
          <w:rFonts w:ascii="Times New Roman" w:hAnsi="Times New Roman" w:cs="Times New Roman"/>
        </w:rPr>
        <w:t xml:space="preserve">It would be all too easy in an informal setting such as a wedding to conduct research that may not have any legal liability attached, but which is ethically unclear. In such a case it is prudent to make sure all participants are aware of what is going on, at the very least so that future collaboration is welcomed. </w:t>
      </w:r>
    </w:p>
    <w:p w:rsidR="00804D28" w:rsidRPr="00CE438E" w:rsidRDefault="00A45C54" w:rsidP="0052090E">
      <w:pPr>
        <w:rPr>
          <w:rFonts w:ascii="Times New Roman" w:hAnsi="Times New Roman" w:cs="Times New Roman"/>
        </w:rPr>
      </w:pPr>
      <w:r>
        <w:rPr>
          <w:rFonts w:ascii="Times New Roman" w:hAnsi="Times New Roman" w:cs="Times New Roman"/>
        </w:rPr>
        <w:t xml:space="preserve">     </w:t>
      </w:r>
      <w:r w:rsidR="00A156A4" w:rsidRPr="00CE438E">
        <w:rPr>
          <w:rFonts w:ascii="Times New Roman" w:hAnsi="Times New Roman" w:cs="Times New Roman"/>
        </w:rPr>
        <w:t>Blaine also notes that even insiders might use particular ter</w:t>
      </w:r>
      <w:r w:rsidR="00042503">
        <w:rPr>
          <w:rFonts w:ascii="Times New Roman" w:hAnsi="Times New Roman" w:cs="Times New Roman"/>
        </w:rPr>
        <w:t>ms to describe their experience,</w:t>
      </w:r>
      <w:r w:rsidR="00A156A4" w:rsidRPr="00CE438E">
        <w:rPr>
          <w:rFonts w:ascii="Times New Roman" w:hAnsi="Times New Roman" w:cs="Times New Roman"/>
        </w:rPr>
        <w:t xml:space="preserve"> </w:t>
      </w:r>
    </w:p>
    <w:p w:rsidR="00804D28" w:rsidRPr="00CE438E" w:rsidRDefault="00804D28" w:rsidP="00804D28">
      <w:pPr>
        <w:ind w:left="720" w:right="720"/>
        <w:rPr>
          <w:rFonts w:ascii="Times New Roman" w:hAnsi="Times New Roman" w:cs="Times New Roman"/>
        </w:rPr>
      </w:pPr>
      <w:r w:rsidRPr="00CE438E">
        <w:rPr>
          <w:rFonts w:ascii="Times New Roman" w:hAnsi="Times New Roman" w:cs="Times New Roman"/>
        </w:rPr>
        <w:t>In the western neo-shamanic movement, it's common for practitioners to speak of Jungian theories, and to individuate spirit guardians and higher selves, entities that are attached to an individual person and may be explained as forming part of that individual's psyche, consciousness or subconscious. Similar discourses are used to explain academic understandings of the imaginal. (Is it 'real', or is it all in my head?).</w:t>
      </w:r>
      <w:r w:rsidRPr="00CE438E">
        <w:rPr>
          <w:rStyle w:val="FootnoteReference"/>
          <w:rFonts w:ascii="Times New Roman" w:hAnsi="Times New Roman" w:cs="Times New Roman"/>
        </w:rPr>
        <w:footnoteReference w:id="12"/>
      </w:r>
    </w:p>
    <w:p w:rsidR="00804D28" w:rsidRPr="00CE438E" w:rsidRDefault="00804D28" w:rsidP="00626209">
      <w:pPr>
        <w:rPr>
          <w:rFonts w:ascii="Times New Roman" w:hAnsi="Times New Roman" w:cs="Times New Roman"/>
        </w:rPr>
      </w:pPr>
      <w:r w:rsidRPr="00CE438E">
        <w:rPr>
          <w:rFonts w:ascii="Times New Roman" w:hAnsi="Times New Roman" w:cs="Times New Roman"/>
        </w:rPr>
        <w:t>The participants, grounded in a modern Western world view, use a modern mental map to explain their experience. It is apparently not based on folklore</w:t>
      </w:r>
      <w:r w:rsidR="00A45C54">
        <w:rPr>
          <w:rFonts w:ascii="Times New Roman" w:hAnsi="Times New Roman" w:cs="Times New Roman"/>
        </w:rPr>
        <w:t xml:space="preserve">, although Jung might be considered folklore to some. There are </w:t>
      </w:r>
      <w:r w:rsidRPr="00CE438E">
        <w:rPr>
          <w:rFonts w:ascii="Times New Roman" w:hAnsi="Times New Roman" w:cs="Times New Roman"/>
        </w:rPr>
        <w:t>specific references to deities</w:t>
      </w:r>
      <w:r w:rsidR="001D624E" w:rsidRPr="00CE438E">
        <w:rPr>
          <w:rFonts w:ascii="Times New Roman" w:hAnsi="Times New Roman" w:cs="Times New Roman"/>
        </w:rPr>
        <w:t xml:space="preserve"> (including things like wights and spirits)</w:t>
      </w:r>
      <w:r w:rsidRPr="00CE438E">
        <w:rPr>
          <w:rFonts w:ascii="Times New Roman" w:hAnsi="Times New Roman" w:cs="Times New Roman"/>
        </w:rPr>
        <w:t xml:space="preserve"> and their attributes. </w:t>
      </w:r>
    </w:p>
    <w:p w:rsidR="00BC5B4F" w:rsidRPr="00CE438E" w:rsidRDefault="00A45C54" w:rsidP="00626209">
      <w:pPr>
        <w:rPr>
          <w:rFonts w:ascii="Times New Roman" w:hAnsi="Times New Roman" w:cs="Times New Roman"/>
        </w:rPr>
      </w:pPr>
      <w:r>
        <w:rPr>
          <w:rFonts w:ascii="Times New Roman" w:hAnsi="Times New Roman" w:cs="Times New Roman"/>
        </w:rPr>
        <w:t xml:space="preserve">     </w:t>
      </w:r>
      <w:r w:rsidR="0049348D" w:rsidRPr="00CE438E">
        <w:rPr>
          <w:rFonts w:ascii="Times New Roman" w:hAnsi="Times New Roman" w:cs="Times New Roman"/>
        </w:rPr>
        <w:t xml:space="preserve">Although Speaking Shamanistically covers the seidr primarily from a female perspective, another paper by Blain and Wallis deals with male practitioners from North America and Europe. As the </w:t>
      </w:r>
      <w:r>
        <w:rPr>
          <w:rFonts w:ascii="Times New Roman" w:hAnsi="Times New Roman" w:cs="Times New Roman"/>
        </w:rPr>
        <w:t xml:space="preserve">authors note, the word 'ergi' can be used </w:t>
      </w:r>
      <w:r w:rsidR="0049348D" w:rsidRPr="00CE438E">
        <w:rPr>
          <w:rFonts w:ascii="Times New Roman" w:hAnsi="Times New Roman" w:cs="Times New Roman"/>
        </w:rPr>
        <w:t>as an insult to seidmen</w:t>
      </w:r>
      <w:r>
        <w:rPr>
          <w:rFonts w:ascii="Times New Roman" w:hAnsi="Times New Roman" w:cs="Times New Roman"/>
        </w:rPr>
        <w:t xml:space="preserve">. The word can describe effeminacy </w:t>
      </w:r>
      <w:r>
        <w:rPr>
          <w:rFonts w:ascii="Times New Roman" w:hAnsi="Times New Roman" w:cs="Times New Roman"/>
        </w:rPr>
        <w:lastRenderedPageBreak/>
        <w:t>and receptiveness</w:t>
      </w:r>
      <w:r w:rsidRPr="00CE438E">
        <w:rPr>
          <w:rFonts w:ascii="Times New Roman" w:hAnsi="Times New Roman" w:cs="Times New Roman"/>
        </w:rPr>
        <w:t xml:space="preserve"> </w:t>
      </w:r>
      <w:r>
        <w:rPr>
          <w:rFonts w:ascii="Times New Roman" w:hAnsi="Times New Roman" w:cs="Times New Roman"/>
        </w:rPr>
        <w:t xml:space="preserve">. However, recently </w:t>
      </w:r>
      <w:r w:rsidR="0049348D" w:rsidRPr="00CE438E">
        <w:rPr>
          <w:rFonts w:ascii="Times New Roman" w:hAnsi="Times New Roman" w:cs="Times New Roman"/>
        </w:rPr>
        <w:t xml:space="preserve">some seidmen </w:t>
      </w:r>
      <w:r w:rsidR="005B173A">
        <w:rPr>
          <w:rFonts w:ascii="Times New Roman" w:hAnsi="Times New Roman" w:cs="Times New Roman"/>
        </w:rPr>
        <w:t>use it for self-description</w:t>
      </w:r>
      <w:r w:rsidR="0049348D" w:rsidRPr="00CE438E">
        <w:rPr>
          <w:rFonts w:ascii="Times New Roman" w:hAnsi="Times New Roman" w:cs="Times New Roman"/>
        </w:rPr>
        <w:t>.</w:t>
      </w:r>
      <w:r w:rsidR="00AF22AE" w:rsidRPr="00CE438E">
        <w:rPr>
          <w:rStyle w:val="FootnoteReference"/>
          <w:rFonts w:ascii="Times New Roman" w:hAnsi="Times New Roman" w:cs="Times New Roman"/>
        </w:rPr>
        <w:footnoteReference w:id="13"/>
      </w:r>
      <w:r w:rsidR="0049348D" w:rsidRPr="00CE438E">
        <w:rPr>
          <w:rFonts w:ascii="Times New Roman" w:hAnsi="Times New Roman" w:cs="Times New Roman"/>
        </w:rPr>
        <w:t xml:space="preserve"> </w:t>
      </w:r>
      <w:r w:rsidR="00042503">
        <w:rPr>
          <w:rFonts w:ascii="Times New Roman" w:hAnsi="Times New Roman" w:cs="Times New Roman"/>
        </w:rPr>
        <w:t>N</w:t>
      </w:r>
      <w:r w:rsidR="00804D28" w:rsidRPr="00CE438E">
        <w:rPr>
          <w:rFonts w:ascii="Times New Roman" w:hAnsi="Times New Roman" w:cs="Times New Roman"/>
        </w:rPr>
        <w:t>ot everyone in the heathen community is happy with shamanism, a</w:t>
      </w:r>
      <w:r w:rsidR="00042503">
        <w:rPr>
          <w:rFonts w:ascii="Times New Roman" w:hAnsi="Times New Roman" w:cs="Times New Roman"/>
        </w:rPr>
        <w:t xml:space="preserve">lthough this might be changing as divergent expressions of gender are increasingly </w:t>
      </w:r>
      <w:r>
        <w:rPr>
          <w:rFonts w:ascii="Times New Roman" w:hAnsi="Times New Roman" w:cs="Times New Roman"/>
        </w:rPr>
        <w:t>accepted</w:t>
      </w:r>
      <w:r w:rsidR="00042503">
        <w:rPr>
          <w:rFonts w:ascii="Times New Roman" w:hAnsi="Times New Roman" w:cs="Times New Roman"/>
        </w:rPr>
        <w:t xml:space="preserve">. </w:t>
      </w:r>
      <w:r w:rsidR="002806B0" w:rsidRPr="00CE438E">
        <w:rPr>
          <w:rFonts w:ascii="Times New Roman" w:hAnsi="Times New Roman" w:cs="Times New Roman"/>
        </w:rPr>
        <w:t>Blain’s perspective about the desirability of objectivity is not unique. For example Roderick Wilson, writing in 1994, sug</w:t>
      </w:r>
      <w:r w:rsidR="005B173A">
        <w:rPr>
          <w:rFonts w:ascii="Times New Roman" w:hAnsi="Times New Roman" w:cs="Times New Roman"/>
        </w:rPr>
        <w:t>gests that anthropologists confronted</w:t>
      </w:r>
      <w:r w:rsidR="002806B0" w:rsidRPr="00CE438E">
        <w:rPr>
          <w:rFonts w:ascii="Times New Roman" w:hAnsi="Times New Roman" w:cs="Times New Roman"/>
        </w:rPr>
        <w:t xml:space="preserve"> with extraordinary experiences in the field are faced with a dilemma. There may be a desire to record, quantify and identify an experience, but in some fields there is little</w:t>
      </w:r>
      <w:r w:rsidR="005B173A">
        <w:rPr>
          <w:rFonts w:ascii="Times New Roman" w:hAnsi="Times New Roman" w:cs="Times New Roman"/>
        </w:rPr>
        <w:t xml:space="preserve"> written academic scholarship </w:t>
      </w:r>
      <w:r w:rsidR="002806B0" w:rsidRPr="00CE438E">
        <w:rPr>
          <w:rFonts w:ascii="Times New Roman" w:hAnsi="Times New Roman" w:cs="Times New Roman"/>
        </w:rPr>
        <w:t>available.  It is all too easy, for example, to dismiss accounts of extrasensory perception, but in order to remain objective, it is also important to be open to new informa</w:t>
      </w:r>
      <w:r w:rsidR="005B173A">
        <w:rPr>
          <w:rFonts w:ascii="Times New Roman" w:hAnsi="Times New Roman" w:cs="Times New Roman"/>
        </w:rPr>
        <w:t>tion.  I</w:t>
      </w:r>
      <w:r w:rsidR="002806B0" w:rsidRPr="00CE438E">
        <w:rPr>
          <w:rFonts w:ascii="Times New Roman" w:hAnsi="Times New Roman" w:cs="Times New Roman"/>
        </w:rPr>
        <w:t>nformants</w:t>
      </w:r>
      <w:r w:rsidR="005B173A">
        <w:rPr>
          <w:rFonts w:ascii="Times New Roman" w:hAnsi="Times New Roman" w:cs="Times New Roman"/>
        </w:rPr>
        <w:t xml:space="preserve"> must</w:t>
      </w:r>
      <w:r w:rsidR="002806B0" w:rsidRPr="00CE438E">
        <w:rPr>
          <w:rFonts w:ascii="Times New Roman" w:hAnsi="Times New Roman" w:cs="Times New Roman"/>
        </w:rPr>
        <w:t xml:space="preserve"> understand that you are interested in facts and not rushing to judgement.</w:t>
      </w:r>
      <w:r w:rsidR="002806B0" w:rsidRPr="00CE438E">
        <w:rPr>
          <w:rStyle w:val="FootnoteReference"/>
          <w:rFonts w:ascii="Times New Roman" w:hAnsi="Times New Roman" w:cs="Times New Roman"/>
        </w:rPr>
        <w:footnoteReference w:id="14"/>
      </w:r>
    </w:p>
    <w:p w:rsidR="005B173A" w:rsidRDefault="005B173A" w:rsidP="00626209">
      <w:pPr>
        <w:rPr>
          <w:rFonts w:ascii="Times New Roman" w:hAnsi="Times New Roman" w:cs="Times New Roman"/>
        </w:rPr>
      </w:pPr>
      <w:r>
        <w:rPr>
          <w:rFonts w:ascii="Times New Roman" w:hAnsi="Times New Roman" w:cs="Times New Roman"/>
        </w:rPr>
        <w:t xml:space="preserve">     </w:t>
      </w:r>
      <w:r w:rsidR="007E6C85" w:rsidRPr="00CE438E">
        <w:rPr>
          <w:rFonts w:ascii="Times New Roman" w:hAnsi="Times New Roman" w:cs="Times New Roman"/>
        </w:rPr>
        <w:t>The two papers considered here differed greatly in their aims and method, but both shared a general aversion to a sterile research technique, as well as presenting overtly quantified data.</w:t>
      </w:r>
      <w:r w:rsidR="00386B1A" w:rsidRPr="00CE438E">
        <w:rPr>
          <w:rFonts w:ascii="Times New Roman" w:hAnsi="Times New Roman" w:cs="Times New Roman"/>
        </w:rPr>
        <w:t xml:space="preserve"> Bennett’s paper </w:t>
      </w:r>
      <w:r w:rsidR="00F36F93" w:rsidRPr="00CE438E">
        <w:rPr>
          <w:rFonts w:ascii="Times New Roman" w:hAnsi="Times New Roman" w:cs="Times New Roman"/>
        </w:rPr>
        <w:t>started with some historical narrative to set the scene, and described the results of surveys and interviews in her father’s podiatry clinic. Interpersonal exchange took place over a period of time, and the subjects seemed comfortable and able to build on previous interactions. From the paper nine interviews were discarded “for technical reasons.</w:t>
      </w:r>
      <w:r w:rsidR="00F36F93" w:rsidRPr="00CE438E">
        <w:rPr>
          <w:rStyle w:val="FootnoteReference"/>
          <w:rFonts w:ascii="Times New Roman" w:hAnsi="Times New Roman" w:cs="Times New Roman"/>
        </w:rPr>
        <w:footnoteReference w:id="15"/>
      </w:r>
      <w:r w:rsidR="00F36F93" w:rsidRPr="00CE438E">
        <w:rPr>
          <w:rFonts w:ascii="Times New Roman" w:hAnsi="Times New Roman" w:cs="Times New Roman"/>
        </w:rPr>
        <w:t xml:space="preserve">” Beyond that it is not stated why, but apparently if any person did not feel comfortable continuing they might also have their interview destroyed. Can Bennett be considered an insider or outsider? It is likely she would have been considered at least partially an insider due to her family connection to the lives of the subjects. </w:t>
      </w:r>
    </w:p>
    <w:p w:rsidR="00901A93" w:rsidRPr="00CE438E" w:rsidRDefault="005B173A" w:rsidP="00626209">
      <w:pPr>
        <w:rPr>
          <w:rFonts w:ascii="Times New Roman" w:hAnsi="Times New Roman" w:cs="Times New Roman"/>
        </w:rPr>
      </w:pPr>
      <w:r>
        <w:rPr>
          <w:rFonts w:ascii="Times New Roman" w:hAnsi="Times New Roman" w:cs="Times New Roman"/>
        </w:rPr>
        <w:t xml:space="preserve">     </w:t>
      </w:r>
      <w:r w:rsidR="00F36F93" w:rsidRPr="00CE438E">
        <w:rPr>
          <w:rFonts w:ascii="Times New Roman" w:hAnsi="Times New Roman" w:cs="Times New Roman"/>
        </w:rPr>
        <w:t>Blain’s interactions were even less formal, and her narrative is somewhat time sequenced.  A wedding is clearly not the time or place for a formal interview, and given the nature of the personal interactions, it is doubtful a formal interview would have yielded any useful information. In previous decades researchers may have had subjects come into an office for formal questionin</w:t>
      </w:r>
      <w:r>
        <w:rPr>
          <w:rFonts w:ascii="Times New Roman" w:hAnsi="Times New Roman" w:cs="Times New Roman"/>
        </w:rPr>
        <w:t>g. As Braud and Anderson note, ‘</w:t>
      </w:r>
      <w:r w:rsidR="00CC2E58" w:rsidRPr="00CE438E">
        <w:rPr>
          <w:rFonts w:ascii="Times New Roman" w:hAnsi="Times New Roman" w:cs="Times New Roman"/>
        </w:rPr>
        <w:t>Simple, artificial, unrealistic research environments or research situations may yield correspondingly simple, artificial, and misleading findings, conclusions, and theories. Topics of great meaning, most human experiences, are usually too complex, rich, and contextualized to be amenable to simple analytical designs without distorting or even trivializing the topics or experiences</w:t>
      </w:r>
      <w:r>
        <w:rPr>
          <w:rFonts w:ascii="Times New Roman" w:hAnsi="Times New Roman" w:cs="Times New Roman"/>
        </w:rPr>
        <w:t>’</w:t>
      </w:r>
      <w:r w:rsidR="00CC2E58" w:rsidRPr="00CE438E">
        <w:rPr>
          <w:rFonts w:ascii="Times New Roman" w:hAnsi="Times New Roman" w:cs="Times New Roman"/>
        </w:rPr>
        <w:t>.</w:t>
      </w:r>
      <w:r w:rsidR="00CC2E58" w:rsidRPr="00CE438E">
        <w:rPr>
          <w:rStyle w:val="FootnoteReference"/>
          <w:rFonts w:ascii="Times New Roman" w:hAnsi="Times New Roman" w:cs="Times New Roman"/>
        </w:rPr>
        <w:footnoteReference w:id="16"/>
      </w:r>
    </w:p>
    <w:p w:rsidR="00E40576" w:rsidRPr="00CE438E" w:rsidRDefault="00E40576" w:rsidP="00626209">
      <w:pPr>
        <w:rPr>
          <w:rFonts w:ascii="Times New Roman" w:hAnsi="Times New Roman" w:cs="Times New Roman"/>
        </w:rPr>
      </w:pPr>
      <w:r w:rsidRPr="00CE438E">
        <w:rPr>
          <w:rFonts w:ascii="Times New Roman" w:hAnsi="Times New Roman" w:cs="Times New Roman"/>
        </w:rPr>
        <w:t xml:space="preserve">     Both papers would be classified as qualitative, although Bennett’s paper does categorize groups by mean per</w:t>
      </w:r>
      <w:r w:rsidR="005B173A">
        <w:rPr>
          <w:rFonts w:ascii="Times New Roman" w:hAnsi="Times New Roman" w:cs="Times New Roman"/>
        </w:rPr>
        <w:t>cent. Braud and Anderson suggest</w:t>
      </w:r>
      <w:r w:rsidRPr="00CE438E">
        <w:rPr>
          <w:rFonts w:ascii="Times New Roman" w:hAnsi="Times New Roman" w:cs="Times New Roman"/>
        </w:rPr>
        <w:t xml:space="preserve">, in the new paradigm quantitative methods are not </w:t>
      </w:r>
      <w:r w:rsidR="005B173A" w:rsidRPr="00CE438E">
        <w:rPr>
          <w:rFonts w:ascii="Times New Roman" w:hAnsi="Times New Roman" w:cs="Times New Roman"/>
        </w:rPr>
        <w:t>privileged</w:t>
      </w:r>
      <w:r w:rsidRPr="00CE438E">
        <w:rPr>
          <w:rFonts w:ascii="Times New Roman" w:hAnsi="Times New Roman" w:cs="Times New Roman"/>
        </w:rPr>
        <w:t xml:space="preserve"> over qualitative approaches, and overtly experimental methods are similarly not given pride of place. Each method provides different information, and researchers may mix and match methods to suit their goals.</w:t>
      </w:r>
      <w:r w:rsidRPr="00CE438E">
        <w:rPr>
          <w:rStyle w:val="FootnoteReference"/>
          <w:rFonts w:ascii="Times New Roman" w:hAnsi="Times New Roman" w:cs="Times New Roman"/>
        </w:rPr>
        <w:footnoteReference w:id="17"/>
      </w:r>
      <w:r w:rsidRPr="00CE438E">
        <w:rPr>
          <w:rFonts w:ascii="Times New Roman" w:hAnsi="Times New Roman" w:cs="Times New Roman"/>
        </w:rPr>
        <w:t xml:space="preserve"> The growing awareness of the importance of qualitative methods in researching complex phenomena like human spirituality suggests that in some ways the field has moved back a century. However, there are an ever expanding range of very new questions that are asked now</w:t>
      </w:r>
      <w:r w:rsidR="003722A5">
        <w:rPr>
          <w:rFonts w:ascii="Times New Roman" w:hAnsi="Times New Roman" w:cs="Times New Roman"/>
        </w:rPr>
        <w:t xml:space="preserve"> than just several decades ago, and many of these questions are clearly best explored using a qualitative approach. </w:t>
      </w:r>
    </w:p>
    <w:p w:rsidR="002C5B20" w:rsidRDefault="002C5B20" w:rsidP="00626209">
      <w:pPr>
        <w:rPr>
          <w:rFonts w:ascii="Times New Roman" w:hAnsi="Times New Roman" w:cs="Times New Roman"/>
        </w:rPr>
      </w:pPr>
    </w:p>
    <w:p w:rsidR="006C16EA" w:rsidRPr="00CE438E" w:rsidRDefault="006C16EA" w:rsidP="00626209">
      <w:pPr>
        <w:rPr>
          <w:rFonts w:ascii="Times New Roman" w:hAnsi="Times New Roman" w:cs="Times New Roman"/>
        </w:rPr>
      </w:pPr>
    </w:p>
    <w:p w:rsidR="002C5B20" w:rsidRDefault="002C5B20" w:rsidP="00626209">
      <w:pPr>
        <w:rPr>
          <w:rFonts w:ascii="Times New Roman" w:hAnsi="Times New Roman" w:cs="Times New Roman"/>
          <w:b/>
        </w:rPr>
      </w:pPr>
      <w:r w:rsidRPr="00CE438E">
        <w:rPr>
          <w:rFonts w:ascii="Times New Roman" w:hAnsi="Times New Roman" w:cs="Times New Roman"/>
          <w:b/>
        </w:rPr>
        <w:lastRenderedPageBreak/>
        <w:t>Bibliography</w:t>
      </w: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 xml:space="preserve">Ben-Amos, Dan, ‘Toward a Definition of Folklore in Context’, in </w:t>
      </w:r>
      <w:r w:rsidRPr="00523601">
        <w:rPr>
          <w:rFonts w:ascii="Times New Roman" w:hAnsi="Times New Roman" w:cs="Times New Roman"/>
          <w:i/>
        </w:rPr>
        <w:t>The Journal of American Folklore</w:t>
      </w:r>
    </w:p>
    <w:p w:rsidR="00523601" w:rsidRPr="00523601" w:rsidRDefault="00523601" w:rsidP="00523601">
      <w:pPr>
        <w:spacing w:after="0" w:line="240" w:lineRule="auto"/>
        <w:ind w:left="562" w:hanging="562"/>
        <w:rPr>
          <w:rFonts w:ascii="Times New Roman" w:hAnsi="Times New Roman" w:cs="Times New Roman"/>
        </w:rPr>
      </w:pPr>
      <w:r>
        <w:rPr>
          <w:rFonts w:ascii="Times New Roman" w:hAnsi="Times New Roman" w:cs="Times New Roman"/>
        </w:rPr>
        <w:t xml:space="preserve">          </w:t>
      </w:r>
      <w:r w:rsidRPr="00523601">
        <w:rPr>
          <w:rFonts w:ascii="Times New Roman" w:hAnsi="Times New Roman" w:cs="Times New Roman"/>
        </w:rPr>
        <w:t>84. 331 (1971),  3-15</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Bennett, Gillian, ‘Aspects of supernatural belief, memorate and legend in a contemporary urban environment’,</w:t>
      </w:r>
      <w:r>
        <w:rPr>
          <w:rFonts w:ascii="Times New Roman" w:hAnsi="Times New Roman" w:cs="Times New Roman"/>
        </w:rPr>
        <w:t xml:space="preserve"> (unpublished doctoral thesis, </w:t>
      </w:r>
      <w:r w:rsidRPr="00523601">
        <w:rPr>
          <w:rFonts w:ascii="Times New Roman" w:hAnsi="Times New Roman" w:cs="Times New Roman"/>
        </w:rPr>
        <w:t>University of Sheffield, 1985)&lt; https://etheses.whiterose.ac.uk/1891/&gt; [accessed 13 March 2023]</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 xml:space="preserve">Bennett, Gillian, ‘“If I Knew You Were Coming, I’d Have Baked a Cake”: The Folklore of Foreknowledge in a Neighbourhood Group’, in </w:t>
      </w:r>
      <w:r w:rsidRPr="00523601">
        <w:rPr>
          <w:rFonts w:ascii="Times New Roman" w:hAnsi="Times New Roman" w:cs="Times New Roman"/>
          <w:i/>
        </w:rPr>
        <w:t>Out of the Ordinary: Folklore and the Supernatural</w:t>
      </w:r>
      <w:r w:rsidRPr="00523601">
        <w:rPr>
          <w:rFonts w:ascii="Times New Roman" w:hAnsi="Times New Roman" w:cs="Times New Roman"/>
        </w:rPr>
        <w:t>, ed. by Barbara Walker (Logan, Utah: Utah University Press, 1995), 122-142.</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 xml:space="preserve">Blain, Jenny, ‘Speaking Shamanistically: Seidr, Academia and Rationality’. </w:t>
      </w:r>
      <w:r w:rsidRPr="00523601">
        <w:rPr>
          <w:rFonts w:ascii="Times New Roman" w:hAnsi="Times New Roman" w:cs="Times New Roman"/>
          <w:i/>
        </w:rPr>
        <w:t>DISKUS 6</w:t>
      </w:r>
      <w:r w:rsidRPr="00523601">
        <w:rPr>
          <w:rFonts w:ascii="Times New Roman" w:hAnsi="Times New Roman" w:cs="Times New Roman"/>
        </w:rPr>
        <w:t xml:space="preserve"> (2000) &lt;http://jbasr.com/basr/diskus/diskus1-6/blain.txt&gt; [accessed 13 March 2023]</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 xml:space="preserve">Blain, Jenny, and Robert J. Wallis, ‘The 'Ergi' Seidman: Contestations of Gender, Shamanism and Sexuality in Northern Religion Past and Present’, in </w:t>
      </w:r>
      <w:r w:rsidRPr="00523601">
        <w:rPr>
          <w:rFonts w:ascii="Times New Roman" w:hAnsi="Times New Roman" w:cs="Times New Roman"/>
          <w:i/>
        </w:rPr>
        <w:t>Journal of Contemporary Religion</w:t>
      </w:r>
      <w:r w:rsidRPr="00523601">
        <w:rPr>
          <w:rFonts w:ascii="Times New Roman" w:hAnsi="Times New Roman" w:cs="Times New Roman"/>
        </w:rPr>
        <w:t xml:space="preserve"> 15.3 (2000), 395-411</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i/>
        </w:rPr>
      </w:pPr>
      <w:r w:rsidRPr="00523601">
        <w:rPr>
          <w:rFonts w:ascii="Times New Roman" w:hAnsi="Times New Roman" w:cs="Times New Roman"/>
        </w:rPr>
        <w:t xml:space="preserve">Braud, William, and Rosemarie Anderson, </w:t>
      </w:r>
      <w:r w:rsidRPr="00523601">
        <w:rPr>
          <w:rFonts w:ascii="Times New Roman" w:hAnsi="Times New Roman" w:cs="Times New Roman"/>
          <w:i/>
        </w:rPr>
        <w:t>Transpersonal Research Methods for the Social Sciences:</w:t>
      </w:r>
    </w:p>
    <w:p w:rsidR="00523601" w:rsidRPr="00523601" w:rsidRDefault="00523601" w:rsidP="00523601">
      <w:pPr>
        <w:spacing w:after="0" w:line="240" w:lineRule="auto"/>
        <w:ind w:left="562" w:hanging="562"/>
        <w:rPr>
          <w:rFonts w:ascii="Times New Roman" w:hAnsi="Times New Roman" w:cs="Times New Roman"/>
        </w:rPr>
      </w:pPr>
      <w:r>
        <w:rPr>
          <w:rFonts w:ascii="Times New Roman" w:hAnsi="Times New Roman" w:cs="Times New Roman"/>
          <w:i/>
        </w:rPr>
        <w:t xml:space="preserve">          </w:t>
      </w:r>
      <w:r w:rsidRPr="00523601">
        <w:rPr>
          <w:rFonts w:ascii="Times New Roman" w:hAnsi="Times New Roman" w:cs="Times New Roman"/>
          <w:i/>
        </w:rPr>
        <w:t>Honoring Human Experience</w:t>
      </w:r>
      <w:r w:rsidRPr="00523601">
        <w:rPr>
          <w:rFonts w:ascii="Times New Roman" w:hAnsi="Times New Roman" w:cs="Times New Roman"/>
        </w:rPr>
        <w:t xml:space="preserve"> (Thousand Oakes CA: SAGE Publications, 1998)</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 xml:space="preserve">Dorson, Richard, </w:t>
      </w:r>
      <w:r w:rsidRPr="00523601">
        <w:rPr>
          <w:rFonts w:ascii="Times New Roman" w:hAnsi="Times New Roman" w:cs="Times New Roman"/>
          <w:i/>
        </w:rPr>
        <w:t>Folklore and Folklife, An Introduction</w:t>
      </w:r>
      <w:r w:rsidRPr="00523601">
        <w:rPr>
          <w:rFonts w:ascii="Times New Roman" w:hAnsi="Times New Roman" w:cs="Times New Roman"/>
        </w:rPr>
        <w:t>,</w:t>
      </w:r>
    </w:p>
    <w:p w:rsidR="00523601" w:rsidRPr="00523601" w:rsidRDefault="00523601" w:rsidP="00523601">
      <w:pPr>
        <w:spacing w:after="0" w:line="240" w:lineRule="auto"/>
        <w:ind w:left="562" w:hanging="562"/>
        <w:rPr>
          <w:rFonts w:ascii="Times New Roman" w:hAnsi="Times New Roman" w:cs="Times New Roman"/>
        </w:rPr>
      </w:pPr>
      <w:r>
        <w:rPr>
          <w:rFonts w:ascii="Times New Roman" w:hAnsi="Times New Roman" w:cs="Times New Roman"/>
        </w:rPr>
        <w:t xml:space="preserve">          </w:t>
      </w:r>
      <w:r w:rsidRPr="00523601">
        <w:rPr>
          <w:rFonts w:ascii="Times New Roman" w:hAnsi="Times New Roman" w:cs="Times New Roman"/>
        </w:rPr>
        <w:t xml:space="preserve">(Chicago: University of Chicago Press, 1972) </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Linkedin Jenny Blain &lt;https://uk.linkedin.com/in/jenny-blain-9b508337&gt; [accessed 13 March 2023]</w:t>
      </w:r>
    </w:p>
    <w:p w:rsidR="00523601" w:rsidRPr="00523601" w:rsidRDefault="00523601" w:rsidP="00523601">
      <w:pPr>
        <w:spacing w:after="0" w:line="240" w:lineRule="auto"/>
        <w:ind w:left="562" w:hanging="562"/>
        <w:rPr>
          <w:rFonts w:ascii="Times New Roman" w:hAnsi="Times New Roman" w:cs="Times New Roman"/>
        </w:rPr>
      </w:pPr>
    </w:p>
    <w:p w:rsidR="00523601" w:rsidRPr="00523601" w:rsidRDefault="00523601" w:rsidP="00523601">
      <w:pPr>
        <w:spacing w:after="0" w:line="240" w:lineRule="auto"/>
        <w:ind w:left="562" w:hanging="562"/>
        <w:rPr>
          <w:rFonts w:ascii="Times New Roman" w:hAnsi="Times New Roman" w:cs="Times New Roman"/>
        </w:rPr>
      </w:pPr>
      <w:r w:rsidRPr="00523601">
        <w:rPr>
          <w:rFonts w:ascii="Times New Roman" w:hAnsi="Times New Roman" w:cs="Times New Roman"/>
        </w:rPr>
        <w:t xml:space="preserve">Wilson, C. Roderick, ‘Seeing They See Not’, in </w:t>
      </w:r>
      <w:r w:rsidRPr="00523601">
        <w:rPr>
          <w:rFonts w:ascii="Times New Roman" w:hAnsi="Times New Roman" w:cs="Times New Roman"/>
          <w:i/>
        </w:rPr>
        <w:t>Changed by Cross-Cultural Encounters: The Anthropology of Extraordinary Experience</w:t>
      </w:r>
      <w:r w:rsidRPr="00523601">
        <w:rPr>
          <w:rFonts w:ascii="Times New Roman" w:hAnsi="Times New Roman" w:cs="Times New Roman"/>
        </w:rPr>
        <w:t>, ed. by David E. Young and Jean-Guy Goulet  (Toronto: University of Toronto Press, 1994), pp. 197-208</w:t>
      </w:r>
    </w:p>
    <w:p w:rsidR="00523601" w:rsidRPr="00CE438E" w:rsidRDefault="00523601" w:rsidP="00626209">
      <w:pPr>
        <w:rPr>
          <w:rFonts w:ascii="Times New Roman" w:hAnsi="Times New Roman" w:cs="Times New Roman"/>
          <w:b/>
        </w:rPr>
      </w:pPr>
    </w:p>
    <w:p w:rsidR="00F53E1F" w:rsidRDefault="00F53E1F" w:rsidP="00626209"/>
    <w:p w:rsidR="00386B1A" w:rsidRDefault="00386B1A" w:rsidP="00626209"/>
    <w:p w:rsidR="00B36C0E" w:rsidRDefault="00B36C0E" w:rsidP="00BC5B4F"/>
    <w:p w:rsidR="00626209" w:rsidRDefault="00626209" w:rsidP="00626209"/>
    <w:p w:rsidR="00626209" w:rsidRDefault="00626209"/>
    <w:sectPr w:rsidR="0062620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5A1" w:rsidRDefault="004A65A1" w:rsidP="0053407A">
      <w:pPr>
        <w:spacing w:after="0" w:line="240" w:lineRule="auto"/>
      </w:pPr>
      <w:r>
        <w:separator/>
      </w:r>
    </w:p>
  </w:endnote>
  <w:endnote w:type="continuationSeparator" w:id="0">
    <w:p w:rsidR="004A65A1" w:rsidRDefault="004A65A1" w:rsidP="00534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12086"/>
      <w:docPartObj>
        <w:docPartGallery w:val="Page Numbers (Bottom of Page)"/>
        <w:docPartUnique/>
      </w:docPartObj>
    </w:sdtPr>
    <w:sdtEndPr>
      <w:rPr>
        <w:noProof/>
      </w:rPr>
    </w:sdtEndPr>
    <w:sdtContent>
      <w:p w:rsidR="002C5B20" w:rsidRDefault="002C5B20">
        <w:pPr>
          <w:pStyle w:val="Footer"/>
          <w:jc w:val="center"/>
        </w:pPr>
        <w:r>
          <w:fldChar w:fldCharType="begin"/>
        </w:r>
        <w:r>
          <w:instrText xml:space="preserve"> PAGE   \* MERGEFORMAT </w:instrText>
        </w:r>
        <w:r>
          <w:fldChar w:fldCharType="separate"/>
        </w:r>
        <w:r w:rsidR="002C3017">
          <w:rPr>
            <w:noProof/>
          </w:rPr>
          <w:t>2</w:t>
        </w:r>
        <w:r>
          <w:rPr>
            <w:noProof/>
          </w:rPr>
          <w:fldChar w:fldCharType="end"/>
        </w:r>
      </w:p>
    </w:sdtContent>
  </w:sdt>
  <w:p w:rsidR="002C5B20" w:rsidRDefault="002C5B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5A1" w:rsidRDefault="004A65A1" w:rsidP="0053407A">
      <w:pPr>
        <w:spacing w:after="0" w:line="240" w:lineRule="auto"/>
      </w:pPr>
      <w:r>
        <w:separator/>
      </w:r>
    </w:p>
  </w:footnote>
  <w:footnote w:type="continuationSeparator" w:id="0">
    <w:p w:rsidR="004A65A1" w:rsidRDefault="004A65A1" w:rsidP="0053407A">
      <w:pPr>
        <w:spacing w:after="0" w:line="240" w:lineRule="auto"/>
      </w:pPr>
      <w:r>
        <w:continuationSeparator/>
      </w:r>
    </w:p>
  </w:footnote>
  <w:footnote w:id="1">
    <w:p w:rsidR="0053407A" w:rsidRPr="006C16EA" w:rsidRDefault="0053407A">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1366F4" w:rsidRPr="006C16EA">
        <w:rPr>
          <w:rFonts w:ascii="Times New Roman" w:hAnsi="Times New Roman" w:cs="Times New Roman"/>
          <w:sz w:val="18"/>
        </w:rPr>
        <w:t>Gillian Bennett, ‘“</w:t>
      </w:r>
      <w:r w:rsidRPr="006C16EA">
        <w:rPr>
          <w:rFonts w:ascii="Times New Roman" w:hAnsi="Times New Roman" w:cs="Times New Roman"/>
          <w:sz w:val="18"/>
        </w:rPr>
        <w:t xml:space="preserve">If I Knew You Were Coming, I’d Have Baked a Cake”: The Folklore of Foreknowledge in a </w:t>
      </w:r>
      <w:r w:rsidR="00D0476C" w:rsidRPr="006C16EA">
        <w:rPr>
          <w:rFonts w:ascii="Times New Roman" w:hAnsi="Times New Roman" w:cs="Times New Roman"/>
          <w:sz w:val="18"/>
        </w:rPr>
        <w:t>Neighbourhood</w:t>
      </w:r>
      <w:r w:rsidRPr="006C16EA">
        <w:rPr>
          <w:rFonts w:ascii="Times New Roman" w:hAnsi="Times New Roman" w:cs="Times New Roman"/>
          <w:sz w:val="18"/>
        </w:rPr>
        <w:t xml:space="preserve"> Group’, in </w:t>
      </w:r>
      <w:r w:rsidRPr="006C16EA">
        <w:rPr>
          <w:rFonts w:ascii="Times New Roman" w:hAnsi="Times New Roman" w:cs="Times New Roman"/>
          <w:i/>
          <w:sz w:val="18"/>
        </w:rPr>
        <w:t>Out of the Ordinary: Folklore and the Supernatural</w:t>
      </w:r>
      <w:r w:rsidRPr="006C16EA">
        <w:rPr>
          <w:rFonts w:ascii="Times New Roman" w:hAnsi="Times New Roman" w:cs="Times New Roman"/>
          <w:sz w:val="18"/>
        </w:rPr>
        <w:t>, ed. by Barbara Walker (Logan, Utah: Utah University Press, 1995), pp. 122-142</w:t>
      </w:r>
      <w:r w:rsidR="001366F4" w:rsidRPr="006C16EA">
        <w:rPr>
          <w:rFonts w:ascii="Times New Roman" w:hAnsi="Times New Roman" w:cs="Times New Roman"/>
          <w:sz w:val="18"/>
        </w:rPr>
        <w:t>.</w:t>
      </w:r>
    </w:p>
  </w:footnote>
  <w:footnote w:id="2">
    <w:p w:rsidR="00A50EB8" w:rsidRPr="006C16EA" w:rsidRDefault="0053407A" w:rsidP="00A50EB8">
      <w:pPr>
        <w:pStyle w:val="FootnoteText"/>
        <w:rPr>
          <w:rFonts w:ascii="Times New Roman" w:hAnsi="Times New Roman" w:cs="Times New Roman"/>
          <w:sz w:val="18"/>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046D8E" w:rsidRPr="006C16EA">
        <w:rPr>
          <w:rFonts w:ascii="Times New Roman" w:hAnsi="Times New Roman" w:cs="Times New Roman"/>
          <w:sz w:val="18"/>
        </w:rPr>
        <w:t>Jenny Blain,</w:t>
      </w:r>
      <w:r w:rsidR="00A50EB8" w:rsidRPr="006C16EA">
        <w:rPr>
          <w:rFonts w:ascii="Times New Roman" w:hAnsi="Times New Roman" w:cs="Times New Roman"/>
          <w:sz w:val="18"/>
        </w:rPr>
        <w:t xml:space="preserve"> ‘Speaking Shamanistically: Seidr</w:t>
      </w:r>
      <w:r w:rsidR="00046D8E" w:rsidRPr="006C16EA">
        <w:rPr>
          <w:rFonts w:ascii="Times New Roman" w:hAnsi="Times New Roman" w:cs="Times New Roman"/>
          <w:sz w:val="18"/>
        </w:rPr>
        <w:t xml:space="preserve">, Academia and Rationality’. </w:t>
      </w:r>
      <w:r w:rsidR="00A50EB8" w:rsidRPr="006C16EA">
        <w:rPr>
          <w:rFonts w:ascii="Times New Roman" w:hAnsi="Times New Roman" w:cs="Times New Roman"/>
          <w:i/>
          <w:sz w:val="18"/>
        </w:rPr>
        <w:t xml:space="preserve">DISKUS </w:t>
      </w:r>
    </w:p>
    <w:p w:rsidR="0053407A" w:rsidRPr="006C16EA" w:rsidRDefault="00046D8E" w:rsidP="00A50EB8">
      <w:pPr>
        <w:pStyle w:val="FootnoteText"/>
        <w:rPr>
          <w:rFonts w:ascii="Times New Roman" w:hAnsi="Times New Roman" w:cs="Times New Roman"/>
          <w:sz w:val="18"/>
        </w:rPr>
      </w:pPr>
      <w:r w:rsidRPr="006C16EA">
        <w:rPr>
          <w:rFonts w:ascii="Times New Roman" w:hAnsi="Times New Roman" w:cs="Times New Roman"/>
          <w:sz w:val="18"/>
        </w:rPr>
        <w:t>6 (2000) &lt;</w:t>
      </w:r>
      <w:r w:rsidR="00A50EB8" w:rsidRPr="006C16EA">
        <w:rPr>
          <w:rFonts w:ascii="Times New Roman" w:hAnsi="Times New Roman" w:cs="Times New Roman"/>
          <w:sz w:val="18"/>
        </w:rPr>
        <w:t>http://jbasr.com/basr/diskus/diskus1-6/blain.txt</w:t>
      </w:r>
      <w:r w:rsidR="007E52EC">
        <w:rPr>
          <w:rFonts w:ascii="Times New Roman" w:hAnsi="Times New Roman" w:cs="Times New Roman"/>
          <w:sz w:val="18"/>
        </w:rPr>
        <w:t>&gt;</w:t>
      </w:r>
      <w:r w:rsidRPr="006C16EA">
        <w:rPr>
          <w:rFonts w:ascii="Times New Roman" w:hAnsi="Times New Roman" w:cs="Times New Roman"/>
          <w:sz w:val="18"/>
        </w:rPr>
        <w:t xml:space="preserve"> [accessed 13 March 2023]</w:t>
      </w:r>
    </w:p>
  </w:footnote>
  <w:footnote w:id="3">
    <w:p w:rsidR="00B15AF5" w:rsidRPr="006C16EA" w:rsidRDefault="00B15AF5">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046D8E" w:rsidRPr="006C16EA">
        <w:rPr>
          <w:rFonts w:ascii="Times New Roman" w:hAnsi="Times New Roman" w:cs="Times New Roman"/>
          <w:sz w:val="18"/>
        </w:rPr>
        <w:t xml:space="preserve">Gillian Bennett, </w:t>
      </w:r>
      <w:r w:rsidR="00F11BC5" w:rsidRPr="006C16EA">
        <w:rPr>
          <w:rFonts w:ascii="Times New Roman" w:hAnsi="Times New Roman" w:cs="Times New Roman"/>
          <w:sz w:val="18"/>
        </w:rPr>
        <w:t xml:space="preserve"> </w:t>
      </w:r>
      <w:r w:rsidR="007E52EC">
        <w:rPr>
          <w:rFonts w:ascii="Times New Roman" w:hAnsi="Times New Roman" w:cs="Times New Roman"/>
          <w:sz w:val="18"/>
        </w:rPr>
        <w:t>‘</w:t>
      </w:r>
      <w:r w:rsidRPr="007E52EC">
        <w:rPr>
          <w:rFonts w:ascii="Times New Roman" w:hAnsi="Times New Roman" w:cs="Times New Roman"/>
          <w:sz w:val="18"/>
        </w:rPr>
        <w:t>Aspects of supernatural belief, memorate and legend in a contemporary urban environment</w:t>
      </w:r>
      <w:r w:rsidR="007E52EC">
        <w:rPr>
          <w:rFonts w:ascii="Times New Roman" w:hAnsi="Times New Roman" w:cs="Times New Roman"/>
          <w:sz w:val="18"/>
        </w:rPr>
        <w:t xml:space="preserve">’, </w:t>
      </w:r>
      <w:r w:rsidRPr="006C16EA">
        <w:rPr>
          <w:rFonts w:ascii="Times New Roman" w:hAnsi="Times New Roman" w:cs="Times New Roman"/>
          <w:sz w:val="18"/>
        </w:rPr>
        <w:t>(</w:t>
      </w:r>
      <w:r w:rsidR="007E52EC">
        <w:rPr>
          <w:rFonts w:ascii="Times New Roman" w:hAnsi="Times New Roman" w:cs="Times New Roman"/>
          <w:sz w:val="18"/>
        </w:rPr>
        <w:t>unpublished doctoral</w:t>
      </w:r>
      <w:r w:rsidRPr="006C16EA">
        <w:rPr>
          <w:rFonts w:ascii="Times New Roman" w:hAnsi="Times New Roman" w:cs="Times New Roman"/>
          <w:sz w:val="18"/>
        </w:rPr>
        <w:t xml:space="preserve"> t</w:t>
      </w:r>
      <w:r w:rsidR="00F11BC5" w:rsidRPr="006C16EA">
        <w:rPr>
          <w:rFonts w:ascii="Times New Roman" w:hAnsi="Times New Roman" w:cs="Times New Roman"/>
          <w:sz w:val="18"/>
        </w:rPr>
        <w:t>hesis</w:t>
      </w:r>
      <w:r w:rsidR="00351C2F">
        <w:rPr>
          <w:rFonts w:ascii="Times New Roman" w:hAnsi="Times New Roman" w:cs="Times New Roman"/>
          <w:sz w:val="18"/>
        </w:rPr>
        <w:t xml:space="preserve">, </w:t>
      </w:r>
      <w:r w:rsidR="007E52EC">
        <w:rPr>
          <w:rFonts w:ascii="Times New Roman" w:hAnsi="Times New Roman" w:cs="Times New Roman"/>
          <w:sz w:val="18"/>
        </w:rPr>
        <w:t xml:space="preserve"> </w:t>
      </w:r>
      <w:r w:rsidR="00351C2F" w:rsidRPr="006C16EA">
        <w:rPr>
          <w:rFonts w:ascii="Times New Roman" w:hAnsi="Times New Roman" w:cs="Times New Roman"/>
          <w:sz w:val="18"/>
        </w:rPr>
        <w:t>University of Sheffield</w:t>
      </w:r>
      <w:r w:rsidR="00351C2F">
        <w:rPr>
          <w:rFonts w:ascii="Times New Roman" w:hAnsi="Times New Roman" w:cs="Times New Roman"/>
          <w:sz w:val="18"/>
        </w:rPr>
        <w:t>,</w:t>
      </w:r>
      <w:r w:rsidR="00351C2F" w:rsidRPr="006C16EA">
        <w:rPr>
          <w:rFonts w:ascii="Times New Roman" w:hAnsi="Times New Roman" w:cs="Times New Roman"/>
          <w:sz w:val="18"/>
        </w:rPr>
        <w:t xml:space="preserve"> </w:t>
      </w:r>
      <w:r w:rsidR="007E52EC">
        <w:rPr>
          <w:rFonts w:ascii="Times New Roman" w:hAnsi="Times New Roman" w:cs="Times New Roman"/>
          <w:sz w:val="18"/>
        </w:rPr>
        <w:t>1985</w:t>
      </w:r>
      <w:r w:rsidR="00351C2F">
        <w:rPr>
          <w:rFonts w:ascii="Times New Roman" w:hAnsi="Times New Roman" w:cs="Times New Roman"/>
          <w:sz w:val="18"/>
        </w:rPr>
        <w:t>)</w:t>
      </w:r>
      <w:r w:rsidR="00046D8E" w:rsidRPr="006C16EA">
        <w:rPr>
          <w:rFonts w:ascii="Times New Roman" w:hAnsi="Times New Roman" w:cs="Times New Roman"/>
          <w:sz w:val="18"/>
        </w:rPr>
        <w:t>&lt;</w:t>
      </w:r>
      <w:r w:rsidRPr="006C16EA">
        <w:rPr>
          <w:rFonts w:ascii="Times New Roman" w:hAnsi="Times New Roman" w:cs="Times New Roman"/>
          <w:sz w:val="18"/>
        </w:rPr>
        <w:t xml:space="preserve"> </w:t>
      </w:r>
      <w:hyperlink r:id="rId1" w:history="1">
        <w:r w:rsidR="00046D8E" w:rsidRPr="006C16EA">
          <w:rPr>
            <w:rStyle w:val="Hyperlink"/>
            <w:rFonts w:ascii="Times New Roman" w:hAnsi="Times New Roman" w:cs="Times New Roman"/>
            <w:sz w:val="18"/>
          </w:rPr>
          <w:t>https://etheses.whiterose.ac.uk/1891/</w:t>
        </w:r>
      </w:hyperlink>
      <w:r w:rsidR="00046D8E" w:rsidRPr="006C16EA">
        <w:rPr>
          <w:rFonts w:ascii="Times New Roman" w:hAnsi="Times New Roman" w:cs="Times New Roman"/>
          <w:sz w:val="18"/>
        </w:rPr>
        <w:t>&gt; [accessed 13 March 2023]</w:t>
      </w:r>
    </w:p>
  </w:footnote>
  <w:footnote w:id="4">
    <w:p w:rsidR="00F11BC5" w:rsidRPr="006C16EA" w:rsidRDefault="00761CF6" w:rsidP="00F11BC5">
      <w:pPr>
        <w:pStyle w:val="FootnoteText"/>
        <w:rPr>
          <w:rFonts w:ascii="Times New Roman" w:hAnsi="Times New Roman" w:cs="Times New Roman"/>
          <w:sz w:val="18"/>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351C2F">
        <w:rPr>
          <w:rFonts w:ascii="Times New Roman" w:hAnsi="Times New Roman" w:cs="Times New Roman"/>
          <w:sz w:val="18"/>
        </w:rPr>
        <w:t xml:space="preserve">See </w:t>
      </w:r>
      <w:r w:rsidR="00046D8E" w:rsidRPr="006C16EA">
        <w:rPr>
          <w:rFonts w:ascii="Times New Roman" w:hAnsi="Times New Roman" w:cs="Times New Roman"/>
          <w:sz w:val="18"/>
        </w:rPr>
        <w:t xml:space="preserve">Dan </w:t>
      </w:r>
      <w:r w:rsidRPr="006C16EA">
        <w:rPr>
          <w:rFonts w:ascii="Times New Roman" w:hAnsi="Times New Roman" w:cs="Times New Roman"/>
          <w:sz w:val="18"/>
        </w:rPr>
        <w:t>Ben-Amos,</w:t>
      </w:r>
      <w:r w:rsidR="00F11BC5" w:rsidRPr="006C16EA">
        <w:rPr>
          <w:rFonts w:ascii="Times New Roman" w:hAnsi="Times New Roman" w:cs="Times New Roman"/>
          <w:sz w:val="18"/>
        </w:rPr>
        <w:t xml:space="preserve"> ‘</w:t>
      </w:r>
      <w:r w:rsidRPr="006C16EA">
        <w:rPr>
          <w:rFonts w:ascii="Times New Roman" w:hAnsi="Times New Roman" w:cs="Times New Roman"/>
          <w:sz w:val="18"/>
        </w:rPr>
        <w:t>Toward a De</w:t>
      </w:r>
      <w:r w:rsidR="00F11BC5" w:rsidRPr="006C16EA">
        <w:rPr>
          <w:rFonts w:ascii="Times New Roman" w:hAnsi="Times New Roman" w:cs="Times New Roman"/>
          <w:sz w:val="18"/>
        </w:rPr>
        <w:t>finition of Folklore in Context’,</w:t>
      </w:r>
      <w:r w:rsidR="008420FB" w:rsidRPr="006C16EA">
        <w:rPr>
          <w:rFonts w:ascii="Times New Roman" w:hAnsi="Times New Roman" w:cs="Times New Roman"/>
          <w:sz w:val="18"/>
        </w:rPr>
        <w:t xml:space="preserve"> in</w:t>
      </w:r>
      <w:r w:rsidR="00F11BC5" w:rsidRPr="006C16EA">
        <w:rPr>
          <w:rFonts w:ascii="Times New Roman" w:hAnsi="Times New Roman" w:cs="Times New Roman"/>
          <w:sz w:val="18"/>
        </w:rPr>
        <w:t xml:space="preserve"> </w:t>
      </w:r>
      <w:r w:rsidR="00F11BC5" w:rsidRPr="006C16EA">
        <w:rPr>
          <w:rFonts w:ascii="Times New Roman" w:hAnsi="Times New Roman" w:cs="Times New Roman"/>
          <w:i/>
          <w:sz w:val="18"/>
        </w:rPr>
        <w:t>The Journal of American Folklore</w:t>
      </w:r>
    </w:p>
    <w:p w:rsidR="00761CF6" w:rsidRPr="006C16EA" w:rsidRDefault="00351C2F" w:rsidP="00F11BC5">
      <w:pPr>
        <w:pStyle w:val="FootnoteText"/>
        <w:rPr>
          <w:rFonts w:ascii="Times New Roman" w:hAnsi="Times New Roman" w:cs="Times New Roman"/>
          <w:sz w:val="18"/>
          <w:lang w:val="en-US"/>
        </w:rPr>
      </w:pPr>
      <w:r>
        <w:rPr>
          <w:rFonts w:ascii="Times New Roman" w:hAnsi="Times New Roman" w:cs="Times New Roman"/>
          <w:sz w:val="18"/>
        </w:rPr>
        <w:t>84. 331 (1971),  3-15, pp. 4-5.</w:t>
      </w:r>
    </w:p>
  </w:footnote>
  <w:footnote w:id="5">
    <w:p w:rsidR="00D57C8D" w:rsidRPr="006C16EA" w:rsidRDefault="00D57C8D">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F11BC5" w:rsidRPr="006C16EA">
        <w:rPr>
          <w:rFonts w:ascii="Times New Roman" w:hAnsi="Times New Roman" w:cs="Times New Roman"/>
          <w:sz w:val="18"/>
        </w:rPr>
        <w:t xml:space="preserve">John L. Austin, </w:t>
      </w:r>
      <w:r w:rsidR="00352E4B" w:rsidRPr="006C16EA">
        <w:rPr>
          <w:rFonts w:ascii="Times New Roman" w:hAnsi="Times New Roman" w:cs="Times New Roman"/>
          <w:i/>
          <w:sz w:val="18"/>
        </w:rPr>
        <w:t>How to Do Things with Words</w:t>
      </w:r>
      <w:r w:rsidR="00352E4B" w:rsidRPr="006C16EA">
        <w:rPr>
          <w:rFonts w:ascii="Times New Roman" w:hAnsi="Times New Roman" w:cs="Times New Roman"/>
          <w:sz w:val="18"/>
        </w:rPr>
        <w:t>,</w:t>
      </w:r>
      <w:r w:rsidRPr="006C16EA">
        <w:rPr>
          <w:rFonts w:ascii="Times New Roman" w:hAnsi="Times New Roman" w:cs="Times New Roman"/>
          <w:sz w:val="18"/>
        </w:rPr>
        <w:t xml:space="preserve"> Cambridge: Harvard University Press, 1962. </w:t>
      </w:r>
    </w:p>
  </w:footnote>
  <w:footnote w:id="6">
    <w:p w:rsidR="00D434D0" w:rsidRPr="006C16EA" w:rsidRDefault="00D434D0">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352E4B" w:rsidRPr="00351C2F">
        <w:rPr>
          <w:rFonts w:ascii="Times New Roman" w:hAnsi="Times New Roman" w:cs="Times New Roman"/>
          <w:sz w:val="18"/>
          <w:lang w:val="en-US"/>
        </w:rPr>
        <w:t>Aspects of supernatural belief,</w:t>
      </w:r>
      <w:r w:rsidR="00352E4B" w:rsidRPr="006C16EA">
        <w:rPr>
          <w:rFonts w:ascii="Times New Roman" w:hAnsi="Times New Roman" w:cs="Times New Roman"/>
          <w:sz w:val="18"/>
          <w:lang w:val="en-US"/>
        </w:rPr>
        <w:t xml:space="preserve"> p.</w:t>
      </w:r>
      <w:r w:rsidRPr="006C16EA">
        <w:rPr>
          <w:rFonts w:ascii="Times New Roman" w:hAnsi="Times New Roman" w:cs="Times New Roman"/>
          <w:sz w:val="18"/>
          <w:lang w:val="en-US"/>
        </w:rPr>
        <w:t xml:space="preserve"> 29. </w:t>
      </w:r>
    </w:p>
  </w:footnote>
  <w:footnote w:id="7">
    <w:p w:rsidR="000C4900" w:rsidRPr="006C16EA" w:rsidRDefault="000C4900" w:rsidP="000C4900">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Pr="00351C2F">
        <w:rPr>
          <w:rFonts w:ascii="Times New Roman" w:hAnsi="Times New Roman" w:cs="Times New Roman"/>
          <w:sz w:val="18"/>
          <w:lang w:val="en-US"/>
        </w:rPr>
        <w:t xml:space="preserve">If I knew, </w:t>
      </w:r>
      <w:r w:rsidR="00352E4B" w:rsidRPr="00351C2F">
        <w:rPr>
          <w:rFonts w:ascii="Times New Roman" w:hAnsi="Times New Roman" w:cs="Times New Roman"/>
          <w:sz w:val="18"/>
          <w:lang w:val="en-US"/>
        </w:rPr>
        <w:t xml:space="preserve">p. </w:t>
      </w:r>
      <w:r w:rsidRPr="00351C2F">
        <w:rPr>
          <w:rFonts w:ascii="Times New Roman" w:hAnsi="Times New Roman" w:cs="Times New Roman"/>
          <w:sz w:val="18"/>
          <w:lang w:val="en-US"/>
        </w:rPr>
        <w:t>124.</w:t>
      </w:r>
    </w:p>
  </w:footnote>
  <w:footnote w:id="8">
    <w:p w:rsidR="00C31DFC" w:rsidRPr="00351C2F" w:rsidRDefault="00C31DFC">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Pr="00351C2F">
        <w:rPr>
          <w:rFonts w:ascii="Times New Roman" w:hAnsi="Times New Roman" w:cs="Times New Roman"/>
          <w:sz w:val="18"/>
          <w:lang w:val="en-US"/>
        </w:rPr>
        <w:t xml:space="preserve">If I knew, </w:t>
      </w:r>
      <w:r w:rsidR="00352E4B" w:rsidRPr="00351C2F">
        <w:rPr>
          <w:rFonts w:ascii="Times New Roman" w:hAnsi="Times New Roman" w:cs="Times New Roman"/>
          <w:sz w:val="18"/>
          <w:lang w:val="en-US"/>
        </w:rPr>
        <w:t xml:space="preserve">p. </w:t>
      </w:r>
      <w:r w:rsidRPr="00351C2F">
        <w:rPr>
          <w:rFonts w:ascii="Times New Roman" w:hAnsi="Times New Roman" w:cs="Times New Roman"/>
          <w:sz w:val="18"/>
          <w:lang w:val="en-US"/>
        </w:rPr>
        <w:t>127.</w:t>
      </w:r>
    </w:p>
  </w:footnote>
  <w:footnote w:id="9">
    <w:p w:rsidR="00AC1615" w:rsidRPr="006C16EA" w:rsidRDefault="00AC1615">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Pr="00351C2F">
        <w:rPr>
          <w:rFonts w:ascii="Times New Roman" w:hAnsi="Times New Roman" w:cs="Times New Roman"/>
          <w:sz w:val="18"/>
          <w:lang w:val="en-US"/>
        </w:rPr>
        <w:t xml:space="preserve">If I knew, </w:t>
      </w:r>
      <w:r w:rsidR="00352E4B" w:rsidRPr="00351C2F">
        <w:rPr>
          <w:rFonts w:ascii="Times New Roman" w:hAnsi="Times New Roman" w:cs="Times New Roman"/>
          <w:sz w:val="18"/>
          <w:lang w:val="en-US"/>
        </w:rPr>
        <w:t xml:space="preserve">p. </w:t>
      </w:r>
      <w:r w:rsidRPr="00351C2F">
        <w:rPr>
          <w:rFonts w:ascii="Times New Roman" w:hAnsi="Times New Roman" w:cs="Times New Roman"/>
          <w:sz w:val="18"/>
          <w:lang w:val="en-US"/>
        </w:rPr>
        <w:t>128.</w:t>
      </w:r>
      <w:r w:rsidRPr="006C16EA">
        <w:rPr>
          <w:rFonts w:ascii="Times New Roman" w:hAnsi="Times New Roman" w:cs="Times New Roman"/>
          <w:sz w:val="18"/>
          <w:lang w:val="en-US"/>
        </w:rPr>
        <w:t xml:space="preserve"> </w:t>
      </w:r>
    </w:p>
  </w:footnote>
  <w:footnote w:id="10">
    <w:p w:rsidR="0052090E" w:rsidRPr="006C16EA" w:rsidRDefault="0052090E">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Linkedin Jenny Blain </w:t>
      </w:r>
      <w:r w:rsidR="00352E4B" w:rsidRPr="006C16EA">
        <w:rPr>
          <w:rFonts w:ascii="Times New Roman" w:hAnsi="Times New Roman" w:cs="Times New Roman"/>
          <w:sz w:val="18"/>
        </w:rPr>
        <w:t>&lt;</w:t>
      </w:r>
      <w:hyperlink r:id="rId2" w:history="1">
        <w:r w:rsidR="00352E4B" w:rsidRPr="006C16EA">
          <w:rPr>
            <w:rStyle w:val="Hyperlink"/>
            <w:rFonts w:ascii="Times New Roman" w:hAnsi="Times New Roman" w:cs="Times New Roman"/>
            <w:sz w:val="18"/>
          </w:rPr>
          <w:t>https://uk.linkedin.com/in/jenny-blain-9b508337</w:t>
        </w:r>
      </w:hyperlink>
      <w:r w:rsidR="00352E4B" w:rsidRPr="006C16EA">
        <w:rPr>
          <w:rFonts w:ascii="Times New Roman" w:hAnsi="Times New Roman" w:cs="Times New Roman"/>
          <w:sz w:val="18"/>
        </w:rPr>
        <w:t>&gt; [accessed 13 March 2023]</w:t>
      </w:r>
    </w:p>
  </w:footnote>
  <w:footnote w:id="11">
    <w:p w:rsidR="00BF31B9" w:rsidRPr="006C16EA" w:rsidRDefault="00BF31B9" w:rsidP="00BF31B9">
      <w:pPr>
        <w:pStyle w:val="FootnoteText"/>
        <w:rPr>
          <w:rFonts w:ascii="Times New Roman" w:hAnsi="Times New Roman" w:cs="Times New Roman"/>
          <w:sz w:val="18"/>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352E4B" w:rsidRPr="006C16EA">
        <w:rPr>
          <w:rFonts w:ascii="Times New Roman" w:hAnsi="Times New Roman" w:cs="Times New Roman"/>
          <w:sz w:val="18"/>
        </w:rPr>
        <w:t xml:space="preserve">Richard Dorson, </w:t>
      </w:r>
      <w:r w:rsidR="00352E4B" w:rsidRPr="006C16EA">
        <w:rPr>
          <w:rFonts w:ascii="Times New Roman" w:hAnsi="Times New Roman" w:cs="Times New Roman"/>
          <w:i/>
          <w:sz w:val="18"/>
        </w:rPr>
        <w:t>Folklore and Folklife, An Introduction</w:t>
      </w:r>
      <w:r w:rsidR="00352E4B" w:rsidRPr="006C16EA">
        <w:rPr>
          <w:rFonts w:ascii="Times New Roman" w:hAnsi="Times New Roman" w:cs="Times New Roman"/>
          <w:sz w:val="18"/>
        </w:rPr>
        <w:t>,</w:t>
      </w:r>
    </w:p>
    <w:p w:rsidR="00BF31B9" w:rsidRPr="006C16EA" w:rsidRDefault="00352E4B" w:rsidP="00BF31B9">
      <w:pPr>
        <w:pStyle w:val="FootnoteText"/>
        <w:rPr>
          <w:rFonts w:ascii="Times New Roman" w:hAnsi="Times New Roman" w:cs="Times New Roman"/>
          <w:sz w:val="18"/>
          <w:lang w:val="en-US"/>
        </w:rPr>
      </w:pPr>
      <w:r w:rsidRPr="006C16EA">
        <w:rPr>
          <w:rFonts w:ascii="Times New Roman" w:hAnsi="Times New Roman" w:cs="Times New Roman"/>
          <w:sz w:val="18"/>
        </w:rPr>
        <w:t>(</w:t>
      </w:r>
      <w:r w:rsidR="00BF31B9" w:rsidRPr="006C16EA">
        <w:rPr>
          <w:rFonts w:ascii="Times New Roman" w:hAnsi="Times New Roman" w:cs="Times New Roman"/>
          <w:sz w:val="18"/>
        </w:rPr>
        <w:t>Chica</w:t>
      </w:r>
      <w:r w:rsidRPr="006C16EA">
        <w:rPr>
          <w:rFonts w:ascii="Times New Roman" w:hAnsi="Times New Roman" w:cs="Times New Roman"/>
          <w:sz w:val="18"/>
        </w:rPr>
        <w:t>go: University of Chicago Press, 1972) pp. 2-7.</w:t>
      </w:r>
    </w:p>
  </w:footnote>
  <w:footnote w:id="12">
    <w:p w:rsidR="00804D28" w:rsidRPr="006C16EA" w:rsidRDefault="00804D28">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8420FB" w:rsidRPr="00351C2F">
        <w:rPr>
          <w:rFonts w:ascii="Times New Roman" w:hAnsi="Times New Roman" w:cs="Times New Roman"/>
          <w:sz w:val="18"/>
          <w:lang w:val="en-US"/>
        </w:rPr>
        <w:t>Speaking Shamanistically</w:t>
      </w:r>
      <w:r w:rsidRPr="00351C2F">
        <w:rPr>
          <w:rFonts w:ascii="Times New Roman" w:hAnsi="Times New Roman" w:cs="Times New Roman"/>
          <w:sz w:val="18"/>
          <w:lang w:val="en-US"/>
        </w:rPr>
        <w:t>.</w:t>
      </w:r>
    </w:p>
  </w:footnote>
  <w:footnote w:id="13">
    <w:p w:rsidR="00AF22AE" w:rsidRPr="006C16EA" w:rsidRDefault="00AF22AE">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8420FB" w:rsidRPr="006C16EA">
        <w:rPr>
          <w:rFonts w:ascii="Times New Roman" w:hAnsi="Times New Roman" w:cs="Times New Roman"/>
          <w:sz w:val="18"/>
        </w:rPr>
        <w:t>Jenny Blain and Robert J. Wallis, ‘</w:t>
      </w:r>
      <w:r w:rsidRPr="006C16EA">
        <w:rPr>
          <w:rFonts w:ascii="Times New Roman" w:hAnsi="Times New Roman" w:cs="Times New Roman"/>
          <w:sz w:val="18"/>
        </w:rPr>
        <w:t>The 'Ergi' Seidman: Contestations of Gender, Shamanism and Sexuality in Nort</w:t>
      </w:r>
      <w:r w:rsidR="008420FB" w:rsidRPr="006C16EA">
        <w:rPr>
          <w:rFonts w:ascii="Times New Roman" w:hAnsi="Times New Roman" w:cs="Times New Roman"/>
          <w:sz w:val="18"/>
        </w:rPr>
        <w:t>hern Religion Past and Present’, in</w:t>
      </w:r>
      <w:r w:rsidRPr="006C16EA">
        <w:rPr>
          <w:rFonts w:ascii="Times New Roman" w:hAnsi="Times New Roman" w:cs="Times New Roman"/>
          <w:sz w:val="18"/>
        </w:rPr>
        <w:t xml:space="preserve"> </w:t>
      </w:r>
      <w:r w:rsidRPr="006C16EA">
        <w:rPr>
          <w:rFonts w:ascii="Times New Roman" w:hAnsi="Times New Roman" w:cs="Times New Roman"/>
          <w:i/>
          <w:sz w:val="18"/>
        </w:rPr>
        <w:t>Journal of Contemporary Religion</w:t>
      </w:r>
      <w:r w:rsidRPr="006C16EA">
        <w:rPr>
          <w:rFonts w:ascii="Times New Roman" w:hAnsi="Times New Roman" w:cs="Times New Roman"/>
          <w:sz w:val="18"/>
        </w:rPr>
        <w:t xml:space="preserve"> 1</w:t>
      </w:r>
      <w:r w:rsidR="00110FF7">
        <w:rPr>
          <w:rFonts w:ascii="Times New Roman" w:hAnsi="Times New Roman" w:cs="Times New Roman"/>
          <w:sz w:val="18"/>
        </w:rPr>
        <w:t>5.</w:t>
      </w:r>
      <w:r w:rsidR="008420FB" w:rsidRPr="006C16EA">
        <w:rPr>
          <w:rFonts w:ascii="Times New Roman" w:hAnsi="Times New Roman" w:cs="Times New Roman"/>
          <w:sz w:val="18"/>
        </w:rPr>
        <w:t>3 (2000),</w:t>
      </w:r>
      <w:r w:rsidRPr="006C16EA">
        <w:rPr>
          <w:rFonts w:ascii="Times New Roman" w:hAnsi="Times New Roman" w:cs="Times New Roman"/>
          <w:sz w:val="18"/>
        </w:rPr>
        <w:t xml:space="preserve"> 395-411.</w:t>
      </w:r>
    </w:p>
  </w:footnote>
  <w:footnote w:id="14">
    <w:p w:rsidR="002806B0" w:rsidRPr="006C16EA" w:rsidRDefault="002806B0">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8420FB" w:rsidRPr="006C16EA">
        <w:rPr>
          <w:rFonts w:ascii="Times New Roman" w:hAnsi="Times New Roman" w:cs="Times New Roman"/>
          <w:sz w:val="18"/>
        </w:rPr>
        <w:t xml:space="preserve">See C. Roderick </w:t>
      </w:r>
      <w:r w:rsidRPr="006C16EA">
        <w:rPr>
          <w:rFonts w:ascii="Times New Roman" w:hAnsi="Times New Roman" w:cs="Times New Roman"/>
          <w:sz w:val="18"/>
        </w:rPr>
        <w:t>Wilson,</w:t>
      </w:r>
      <w:r w:rsidR="008420FB" w:rsidRPr="006C16EA">
        <w:rPr>
          <w:rFonts w:ascii="Times New Roman" w:hAnsi="Times New Roman" w:cs="Times New Roman"/>
          <w:sz w:val="18"/>
        </w:rPr>
        <w:t xml:space="preserve"> </w:t>
      </w:r>
      <w:r w:rsidR="001A4DF2" w:rsidRPr="006C16EA">
        <w:rPr>
          <w:rFonts w:ascii="Times New Roman" w:hAnsi="Times New Roman" w:cs="Times New Roman"/>
          <w:sz w:val="18"/>
        </w:rPr>
        <w:t>‘</w:t>
      </w:r>
      <w:r w:rsidRPr="006C16EA">
        <w:rPr>
          <w:rFonts w:ascii="Times New Roman" w:hAnsi="Times New Roman" w:cs="Times New Roman"/>
          <w:sz w:val="18"/>
        </w:rPr>
        <w:t>Seeing They See Not</w:t>
      </w:r>
      <w:r w:rsidR="001A4DF2" w:rsidRPr="006C16EA">
        <w:rPr>
          <w:rFonts w:ascii="Times New Roman" w:hAnsi="Times New Roman" w:cs="Times New Roman"/>
          <w:sz w:val="18"/>
        </w:rPr>
        <w:t>’, in</w:t>
      </w:r>
      <w:r w:rsidRPr="006C16EA">
        <w:rPr>
          <w:rFonts w:ascii="Times New Roman" w:hAnsi="Times New Roman" w:cs="Times New Roman"/>
          <w:sz w:val="18"/>
        </w:rPr>
        <w:t xml:space="preserve"> </w:t>
      </w:r>
      <w:r w:rsidR="001A4DF2" w:rsidRPr="006C16EA">
        <w:rPr>
          <w:rFonts w:ascii="Times New Roman" w:hAnsi="Times New Roman" w:cs="Times New Roman"/>
          <w:i/>
          <w:sz w:val="18"/>
        </w:rPr>
        <w:t>Changed by Cross-Cultural Encounters: The Anthropology of Extraordinary Experience</w:t>
      </w:r>
      <w:r w:rsidR="00110FF7">
        <w:rPr>
          <w:rFonts w:ascii="Times New Roman" w:hAnsi="Times New Roman" w:cs="Times New Roman"/>
          <w:sz w:val="18"/>
        </w:rPr>
        <w:t>, ed. b</w:t>
      </w:r>
      <w:r w:rsidR="001A4DF2" w:rsidRPr="006C16EA">
        <w:rPr>
          <w:rFonts w:ascii="Times New Roman" w:hAnsi="Times New Roman" w:cs="Times New Roman"/>
          <w:sz w:val="18"/>
        </w:rPr>
        <w:t xml:space="preserve">y </w:t>
      </w:r>
      <w:r w:rsidRPr="006C16EA">
        <w:rPr>
          <w:rFonts w:ascii="Times New Roman" w:hAnsi="Times New Roman" w:cs="Times New Roman"/>
          <w:sz w:val="18"/>
        </w:rPr>
        <w:t>David E. Young</w:t>
      </w:r>
      <w:r w:rsidR="001A4DF2" w:rsidRPr="006C16EA">
        <w:rPr>
          <w:rFonts w:ascii="Times New Roman" w:hAnsi="Times New Roman" w:cs="Times New Roman"/>
          <w:sz w:val="18"/>
        </w:rPr>
        <w:t xml:space="preserve"> and Jean-Guy Goulet  (</w:t>
      </w:r>
      <w:r w:rsidRPr="006C16EA">
        <w:rPr>
          <w:rFonts w:ascii="Times New Roman" w:hAnsi="Times New Roman" w:cs="Times New Roman"/>
          <w:sz w:val="18"/>
        </w:rPr>
        <w:t>Toronto: University of Toronto Press</w:t>
      </w:r>
      <w:r w:rsidR="001A4DF2" w:rsidRPr="006C16EA">
        <w:rPr>
          <w:rFonts w:ascii="Times New Roman" w:hAnsi="Times New Roman" w:cs="Times New Roman"/>
          <w:sz w:val="18"/>
        </w:rPr>
        <w:t xml:space="preserve">, </w:t>
      </w:r>
      <w:r w:rsidRPr="006C16EA">
        <w:rPr>
          <w:rFonts w:ascii="Times New Roman" w:hAnsi="Times New Roman" w:cs="Times New Roman"/>
          <w:sz w:val="18"/>
        </w:rPr>
        <w:t>1994</w:t>
      </w:r>
      <w:r w:rsidR="001A4DF2" w:rsidRPr="006C16EA">
        <w:rPr>
          <w:rFonts w:ascii="Times New Roman" w:hAnsi="Times New Roman" w:cs="Times New Roman"/>
          <w:sz w:val="18"/>
        </w:rPr>
        <w:t>),</w:t>
      </w:r>
      <w:r w:rsidRPr="006C16EA">
        <w:rPr>
          <w:rFonts w:ascii="Times New Roman" w:hAnsi="Times New Roman" w:cs="Times New Roman"/>
          <w:sz w:val="18"/>
        </w:rPr>
        <w:t xml:space="preserve"> pp. 197-208</w:t>
      </w:r>
      <w:r w:rsidR="001A4DF2" w:rsidRPr="006C16EA">
        <w:rPr>
          <w:rFonts w:ascii="Times New Roman" w:hAnsi="Times New Roman" w:cs="Times New Roman"/>
          <w:sz w:val="18"/>
        </w:rPr>
        <w:t>, pp. 200-202.</w:t>
      </w:r>
    </w:p>
  </w:footnote>
  <w:footnote w:id="15">
    <w:p w:rsidR="00F36F93" w:rsidRPr="006C16EA" w:rsidRDefault="00F36F93">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1A4DF2" w:rsidRPr="00110FF7">
        <w:rPr>
          <w:rFonts w:ascii="Times New Roman" w:hAnsi="Times New Roman" w:cs="Times New Roman"/>
          <w:sz w:val="18"/>
        </w:rPr>
        <w:t>If I knew, p. 12</w:t>
      </w:r>
      <w:r w:rsidRPr="00110FF7">
        <w:rPr>
          <w:rFonts w:ascii="Times New Roman" w:hAnsi="Times New Roman" w:cs="Times New Roman"/>
          <w:sz w:val="18"/>
          <w:lang w:val="en-US"/>
        </w:rPr>
        <w:t>7</w:t>
      </w:r>
      <w:r w:rsidRPr="006C16EA">
        <w:rPr>
          <w:rFonts w:ascii="Times New Roman" w:hAnsi="Times New Roman" w:cs="Times New Roman"/>
          <w:sz w:val="18"/>
          <w:lang w:val="en-US"/>
        </w:rPr>
        <w:t>.</w:t>
      </w:r>
    </w:p>
  </w:footnote>
  <w:footnote w:id="16">
    <w:p w:rsidR="00CC2E58" w:rsidRPr="006C16EA" w:rsidRDefault="00CC2E58" w:rsidP="00CC2E58">
      <w:pPr>
        <w:pStyle w:val="FootnoteText"/>
        <w:rPr>
          <w:rFonts w:ascii="Times New Roman" w:hAnsi="Times New Roman" w:cs="Times New Roman"/>
          <w:i/>
          <w:sz w:val="18"/>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1A4DF2" w:rsidRPr="006C16EA">
        <w:rPr>
          <w:rFonts w:ascii="Times New Roman" w:hAnsi="Times New Roman" w:cs="Times New Roman"/>
          <w:sz w:val="18"/>
        </w:rPr>
        <w:t xml:space="preserve">William </w:t>
      </w:r>
      <w:r w:rsidRPr="006C16EA">
        <w:rPr>
          <w:rFonts w:ascii="Times New Roman" w:hAnsi="Times New Roman" w:cs="Times New Roman"/>
          <w:sz w:val="18"/>
        </w:rPr>
        <w:t>Braud</w:t>
      </w:r>
      <w:r w:rsidR="001A4DF2" w:rsidRPr="006C16EA">
        <w:rPr>
          <w:rFonts w:ascii="Times New Roman" w:hAnsi="Times New Roman" w:cs="Times New Roman"/>
          <w:sz w:val="18"/>
        </w:rPr>
        <w:t xml:space="preserve"> and</w:t>
      </w:r>
      <w:r w:rsidRPr="006C16EA">
        <w:rPr>
          <w:rFonts w:ascii="Times New Roman" w:hAnsi="Times New Roman" w:cs="Times New Roman"/>
          <w:sz w:val="18"/>
        </w:rPr>
        <w:t xml:space="preserve"> Rosemarie Anderson</w:t>
      </w:r>
      <w:r w:rsidR="001A4DF2" w:rsidRPr="006C16EA">
        <w:rPr>
          <w:rFonts w:ascii="Times New Roman" w:hAnsi="Times New Roman" w:cs="Times New Roman"/>
          <w:sz w:val="18"/>
        </w:rPr>
        <w:t>,</w:t>
      </w:r>
      <w:r w:rsidRPr="006C16EA">
        <w:rPr>
          <w:rFonts w:ascii="Times New Roman" w:hAnsi="Times New Roman" w:cs="Times New Roman"/>
          <w:sz w:val="18"/>
        </w:rPr>
        <w:t xml:space="preserve"> </w:t>
      </w:r>
      <w:r w:rsidRPr="006C16EA">
        <w:rPr>
          <w:rFonts w:ascii="Times New Roman" w:hAnsi="Times New Roman" w:cs="Times New Roman"/>
          <w:i/>
          <w:sz w:val="18"/>
        </w:rPr>
        <w:t>Transpersonal Research Methods for the Social Sciences:</w:t>
      </w:r>
    </w:p>
    <w:p w:rsidR="00CC2E58" w:rsidRPr="006C16EA" w:rsidRDefault="00CC2E58" w:rsidP="00CC2E58">
      <w:pPr>
        <w:pStyle w:val="FootnoteText"/>
        <w:rPr>
          <w:rFonts w:ascii="Times New Roman" w:hAnsi="Times New Roman" w:cs="Times New Roman"/>
          <w:sz w:val="18"/>
          <w:lang w:val="en-US"/>
        </w:rPr>
      </w:pPr>
      <w:r w:rsidRPr="006C16EA">
        <w:rPr>
          <w:rFonts w:ascii="Times New Roman" w:hAnsi="Times New Roman" w:cs="Times New Roman"/>
          <w:i/>
          <w:sz w:val="18"/>
        </w:rPr>
        <w:t>Honoring Human Experience</w:t>
      </w:r>
      <w:r w:rsidR="001A4DF2" w:rsidRPr="006C16EA">
        <w:rPr>
          <w:rFonts w:ascii="Times New Roman" w:hAnsi="Times New Roman" w:cs="Times New Roman"/>
          <w:sz w:val="18"/>
        </w:rPr>
        <w:t xml:space="preserve"> (</w:t>
      </w:r>
      <w:r w:rsidRPr="006C16EA">
        <w:rPr>
          <w:rFonts w:ascii="Times New Roman" w:hAnsi="Times New Roman" w:cs="Times New Roman"/>
          <w:sz w:val="18"/>
        </w:rPr>
        <w:t>Thousand Oakes CA: SAGE Publications</w:t>
      </w:r>
      <w:r w:rsidR="001A4DF2" w:rsidRPr="006C16EA">
        <w:rPr>
          <w:rFonts w:ascii="Times New Roman" w:hAnsi="Times New Roman" w:cs="Times New Roman"/>
          <w:sz w:val="18"/>
        </w:rPr>
        <w:t>, 1998), p.</w:t>
      </w:r>
      <w:r w:rsidRPr="006C16EA">
        <w:rPr>
          <w:rFonts w:ascii="Times New Roman" w:hAnsi="Times New Roman" w:cs="Times New Roman"/>
          <w:sz w:val="18"/>
        </w:rPr>
        <w:t xml:space="preserve"> 17.</w:t>
      </w:r>
    </w:p>
  </w:footnote>
  <w:footnote w:id="17">
    <w:p w:rsidR="00E40576" w:rsidRPr="006C16EA" w:rsidRDefault="00E40576">
      <w:pPr>
        <w:pStyle w:val="FootnoteText"/>
        <w:rPr>
          <w:rFonts w:ascii="Times New Roman" w:hAnsi="Times New Roman" w:cs="Times New Roman"/>
          <w:sz w:val="18"/>
          <w:lang w:val="en-US"/>
        </w:rPr>
      </w:pPr>
      <w:r w:rsidRPr="006C16EA">
        <w:rPr>
          <w:rStyle w:val="FootnoteReference"/>
          <w:rFonts w:ascii="Times New Roman" w:hAnsi="Times New Roman" w:cs="Times New Roman"/>
          <w:sz w:val="18"/>
        </w:rPr>
        <w:footnoteRef/>
      </w:r>
      <w:r w:rsidRPr="006C16EA">
        <w:rPr>
          <w:rFonts w:ascii="Times New Roman" w:hAnsi="Times New Roman" w:cs="Times New Roman"/>
          <w:sz w:val="18"/>
        </w:rPr>
        <w:t xml:space="preserve"> </w:t>
      </w:r>
      <w:r w:rsidR="001A4DF2" w:rsidRPr="006C16EA">
        <w:rPr>
          <w:rFonts w:ascii="Times New Roman" w:hAnsi="Times New Roman" w:cs="Times New Roman"/>
          <w:sz w:val="18"/>
        </w:rPr>
        <w:t xml:space="preserve">Braud and Anderson, p. </w:t>
      </w:r>
      <w:r w:rsidRPr="006C16EA">
        <w:rPr>
          <w:rFonts w:ascii="Times New Roman" w:hAnsi="Times New Roman" w:cs="Times New Roman"/>
          <w:sz w:val="18"/>
          <w:lang w:val="en-US"/>
        </w:rPr>
        <w:t>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9D1"/>
    <w:rsid w:val="000119D1"/>
    <w:rsid w:val="00042503"/>
    <w:rsid w:val="00042BBF"/>
    <w:rsid w:val="00046D8E"/>
    <w:rsid w:val="000749E1"/>
    <w:rsid w:val="000C4900"/>
    <w:rsid w:val="00101238"/>
    <w:rsid w:val="00110FF7"/>
    <w:rsid w:val="001366F4"/>
    <w:rsid w:val="001811AB"/>
    <w:rsid w:val="001A4DF2"/>
    <w:rsid w:val="001D624E"/>
    <w:rsid w:val="002806B0"/>
    <w:rsid w:val="002C293A"/>
    <w:rsid w:val="002C3017"/>
    <w:rsid w:val="002C5B20"/>
    <w:rsid w:val="002E0568"/>
    <w:rsid w:val="003133F5"/>
    <w:rsid w:val="00351C2F"/>
    <w:rsid w:val="00352E4B"/>
    <w:rsid w:val="003722A5"/>
    <w:rsid w:val="00386B1A"/>
    <w:rsid w:val="003D4DEE"/>
    <w:rsid w:val="00454610"/>
    <w:rsid w:val="0049348D"/>
    <w:rsid w:val="004A65A1"/>
    <w:rsid w:val="004C1513"/>
    <w:rsid w:val="00505D55"/>
    <w:rsid w:val="0052090E"/>
    <w:rsid w:val="00523601"/>
    <w:rsid w:val="0053407A"/>
    <w:rsid w:val="005B173A"/>
    <w:rsid w:val="00620072"/>
    <w:rsid w:val="00626209"/>
    <w:rsid w:val="0064481E"/>
    <w:rsid w:val="006C16EA"/>
    <w:rsid w:val="0071251F"/>
    <w:rsid w:val="00741331"/>
    <w:rsid w:val="00761CF6"/>
    <w:rsid w:val="007E1250"/>
    <w:rsid w:val="007E324D"/>
    <w:rsid w:val="007E52EC"/>
    <w:rsid w:val="007E6C85"/>
    <w:rsid w:val="00804D28"/>
    <w:rsid w:val="00817CCE"/>
    <w:rsid w:val="008420FB"/>
    <w:rsid w:val="00847E88"/>
    <w:rsid w:val="008910D7"/>
    <w:rsid w:val="008B663C"/>
    <w:rsid w:val="008D304B"/>
    <w:rsid w:val="00901A93"/>
    <w:rsid w:val="00984193"/>
    <w:rsid w:val="009D2E05"/>
    <w:rsid w:val="00A00803"/>
    <w:rsid w:val="00A156A4"/>
    <w:rsid w:val="00A45C54"/>
    <w:rsid w:val="00A50EB8"/>
    <w:rsid w:val="00A76173"/>
    <w:rsid w:val="00AC1615"/>
    <w:rsid w:val="00AE4517"/>
    <w:rsid w:val="00AF22AE"/>
    <w:rsid w:val="00AF6ACD"/>
    <w:rsid w:val="00B13DA3"/>
    <w:rsid w:val="00B15AF5"/>
    <w:rsid w:val="00B36C0E"/>
    <w:rsid w:val="00B45049"/>
    <w:rsid w:val="00BA434D"/>
    <w:rsid w:val="00BC5B4F"/>
    <w:rsid w:val="00BF31B9"/>
    <w:rsid w:val="00C31DFC"/>
    <w:rsid w:val="00C520C5"/>
    <w:rsid w:val="00CB04C2"/>
    <w:rsid w:val="00CC2E58"/>
    <w:rsid w:val="00CD7CFB"/>
    <w:rsid w:val="00CE02CE"/>
    <w:rsid w:val="00CE438E"/>
    <w:rsid w:val="00D0476C"/>
    <w:rsid w:val="00D434D0"/>
    <w:rsid w:val="00D505D2"/>
    <w:rsid w:val="00D57C8D"/>
    <w:rsid w:val="00DE134C"/>
    <w:rsid w:val="00E40576"/>
    <w:rsid w:val="00E76886"/>
    <w:rsid w:val="00E84E6C"/>
    <w:rsid w:val="00EE48E8"/>
    <w:rsid w:val="00EF1EC6"/>
    <w:rsid w:val="00F11BC5"/>
    <w:rsid w:val="00F36F93"/>
    <w:rsid w:val="00F53E1F"/>
    <w:rsid w:val="00F70B07"/>
    <w:rsid w:val="00F80945"/>
    <w:rsid w:val="00F95DD5"/>
    <w:rsid w:val="00FD6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3407A"/>
    <w:pPr>
      <w:spacing w:after="0" w:line="240" w:lineRule="auto"/>
    </w:pPr>
    <w:rPr>
      <w:sz w:val="20"/>
      <w:szCs w:val="20"/>
    </w:rPr>
  </w:style>
  <w:style w:type="character" w:customStyle="1" w:styleId="FootnoteTextChar">
    <w:name w:val="Footnote Text Char"/>
    <w:basedOn w:val="DefaultParagraphFont"/>
    <w:link w:val="FootnoteText"/>
    <w:uiPriority w:val="99"/>
    <w:rsid w:val="0053407A"/>
    <w:rPr>
      <w:sz w:val="20"/>
      <w:szCs w:val="20"/>
    </w:rPr>
  </w:style>
  <w:style w:type="character" w:styleId="FootnoteReference">
    <w:name w:val="footnote reference"/>
    <w:basedOn w:val="DefaultParagraphFont"/>
    <w:uiPriority w:val="99"/>
    <w:semiHidden/>
    <w:unhideWhenUsed/>
    <w:rsid w:val="0053407A"/>
    <w:rPr>
      <w:vertAlign w:val="superscript"/>
    </w:rPr>
  </w:style>
  <w:style w:type="character" w:styleId="Hyperlink">
    <w:name w:val="Hyperlink"/>
    <w:basedOn w:val="DefaultParagraphFont"/>
    <w:uiPriority w:val="99"/>
    <w:unhideWhenUsed/>
    <w:rsid w:val="004C1513"/>
    <w:rPr>
      <w:color w:val="0000FF" w:themeColor="hyperlink"/>
      <w:u w:val="single"/>
    </w:rPr>
  </w:style>
  <w:style w:type="paragraph" w:styleId="Header">
    <w:name w:val="header"/>
    <w:basedOn w:val="Normal"/>
    <w:link w:val="HeaderChar"/>
    <w:uiPriority w:val="99"/>
    <w:unhideWhenUsed/>
    <w:rsid w:val="002C5B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B20"/>
  </w:style>
  <w:style w:type="paragraph" w:styleId="Footer">
    <w:name w:val="footer"/>
    <w:basedOn w:val="Normal"/>
    <w:link w:val="FooterChar"/>
    <w:uiPriority w:val="99"/>
    <w:unhideWhenUsed/>
    <w:rsid w:val="002C5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B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53407A"/>
    <w:pPr>
      <w:spacing w:after="0" w:line="240" w:lineRule="auto"/>
    </w:pPr>
    <w:rPr>
      <w:sz w:val="20"/>
      <w:szCs w:val="20"/>
    </w:rPr>
  </w:style>
  <w:style w:type="character" w:customStyle="1" w:styleId="FootnoteTextChar">
    <w:name w:val="Footnote Text Char"/>
    <w:basedOn w:val="DefaultParagraphFont"/>
    <w:link w:val="FootnoteText"/>
    <w:uiPriority w:val="99"/>
    <w:rsid w:val="0053407A"/>
    <w:rPr>
      <w:sz w:val="20"/>
      <w:szCs w:val="20"/>
    </w:rPr>
  </w:style>
  <w:style w:type="character" w:styleId="FootnoteReference">
    <w:name w:val="footnote reference"/>
    <w:basedOn w:val="DefaultParagraphFont"/>
    <w:uiPriority w:val="99"/>
    <w:semiHidden/>
    <w:unhideWhenUsed/>
    <w:rsid w:val="0053407A"/>
    <w:rPr>
      <w:vertAlign w:val="superscript"/>
    </w:rPr>
  </w:style>
  <w:style w:type="character" w:styleId="Hyperlink">
    <w:name w:val="Hyperlink"/>
    <w:basedOn w:val="DefaultParagraphFont"/>
    <w:uiPriority w:val="99"/>
    <w:unhideWhenUsed/>
    <w:rsid w:val="004C1513"/>
    <w:rPr>
      <w:color w:val="0000FF" w:themeColor="hyperlink"/>
      <w:u w:val="single"/>
    </w:rPr>
  </w:style>
  <w:style w:type="paragraph" w:styleId="Header">
    <w:name w:val="header"/>
    <w:basedOn w:val="Normal"/>
    <w:link w:val="HeaderChar"/>
    <w:uiPriority w:val="99"/>
    <w:unhideWhenUsed/>
    <w:rsid w:val="002C5B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B20"/>
  </w:style>
  <w:style w:type="paragraph" w:styleId="Footer">
    <w:name w:val="footer"/>
    <w:basedOn w:val="Normal"/>
    <w:link w:val="FooterChar"/>
    <w:uiPriority w:val="99"/>
    <w:unhideWhenUsed/>
    <w:rsid w:val="002C5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Microsoft_Word_97_-_2003_Document1.doc"/></Relationships>
</file>

<file path=word/_rels/footnotes.xml.rels><?xml version="1.0" encoding="UTF-8" standalone="yes"?>
<Relationships xmlns="http://schemas.openxmlformats.org/package/2006/relationships"><Relationship Id="rId2" Type="http://schemas.openxmlformats.org/officeDocument/2006/relationships/hyperlink" Target="https://uk.linkedin.com/in/jenny-blain-9b508337" TargetMode="External"/><Relationship Id="rId1" Type="http://schemas.openxmlformats.org/officeDocument/2006/relationships/hyperlink" Target="https://etheses.whiterose.ac.uk/18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CA55C-F6AB-461C-BA6F-62DB5E117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2074</TotalTime>
  <Pages>6</Pages>
  <Words>2390</Words>
  <Characters>13627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Murray</dc:creator>
  <cp:lastModifiedBy>Murray</cp:lastModifiedBy>
  <cp:revision>53</cp:revision>
  <dcterms:created xsi:type="dcterms:W3CDTF">2023-03-07T01:02:00Z</dcterms:created>
  <dcterms:modified xsi:type="dcterms:W3CDTF">2023-03-14T22:42:00Z</dcterms:modified>
</cp:coreProperties>
</file>