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C22A67" w14:textId="77777777" w:rsidR="008C689B" w:rsidRDefault="008C689B" w:rsidP="008C689B">
      <w:pPr>
        <w:spacing w:line="259" w:lineRule="auto"/>
        <w:jc w:val="center"/>
      </w:pPr>
      <w:r>
        <w:rPr>
          <w:noProof/>
          <w:lang w:val="en-GB" w:eastAsia="en-GB"/>
        </w:rPr>
        <w:drawing>
          <wp:inline distT="0" distB="0" distL="0" distR="0" wp14:anchorId="6B66570A" wp14:editId="502613CB">
            <wp:extent cx="1809750" cy="600075"/>
            <wp:effectExtent l="0" t="0" r="0" b="0"/>
            <wp:docPr id="322" name="Picture 322"/>
            <wp:cNvGraphicFramePr/>
            <a:graphic xmlns:a="http://schemas.openxmlformats.org/drawingml/2006/main">
              <a:graphicData uri="http://schemas.openxmlformats.org/drawingml/2006/picture">
                <pic:pic xmlns:pic="http://schemas.openxmlformats.org/drawingml/2006/picture">
                  <pic:nvPicPr>
                    <pic:cNvPr id="322" name="Picture 322"/>
                    <pic:cNvPicPr/>
                  </pic:nvPicPr>
                  <pic:blipFill>
                    <a:blip r:embed="rId8"/>
                    <a:stretch>
                      <a:fillRect/>
                    </a:stretch>
                  </pic:blipFill>
                  <pic:spPr>
                    <a:xfrm>
                      <a:off x="0" y="0"/>
                      <a:ext cx="1809750" cy="600075"/>
                    </a:xfrm>
                    <a:prstGeom prst="rect">
                      <a:avLst/>
                    </a:prstGeom>
                  </pic:spPr>
                </pic:pic>
              </a:graphicData>
            </a:graphic>
          </wp:inline>
        </w:drawing>
      </w:r>
    </w:p>
    <w:p w14:paraId="2A1E0F59" w14:textId="77777777" w:rsidR="008C689B" w:rsidRDefault="008C689B">
      <w:pPr>
        <w:spacing w:line="259" w:lineRule="auto"/>
        <w:jc w:val="left"/>
      </w:pPr>
    </w:p>
    <w:p w14:paraId="47FF5C34" w14:textId="77777777" w:rsidR="008C689B" w:rsidRDefault="008C689B">
      <w:pPr>
        <w:spacing w:line="259" w:lineRule="auto"/>
        <w:jc w:val="left"/>
      </w:pPr>
    </w:p>
    <w:p w14:paraId="33689E28" w14:textId="77777777" w:rsidR="008C689B" w:rsidRDefault="008C689B" w:rsidP="008C689B">
      <w:pPr>
        <w:spacing w:after="0" w:line="259" w:lineRule="auto"/>
        <w:ind w:left="110"/>
        <w:jc w:val="center"/>
        <w:rPr>
          <w:b/>
          <w:bCs/>
          <w:sz w:val="40"/>
          <w:szCs w:val="36"/>
        </w:rPr>
      </w:pPr>
      <w:r w:rsidRPr="008C689B">
        <w:rPr>
          <w:b/>
          <w:bCs/>
          <w:sz w:val="40"/>
          <w:szCs w:val="36"/>
        </w:rPr>
        <w:t>LCBB6015</w:t>
      </w:r>
    </w:p>
    <w:p w14:paraId="56D9D0E2" w14:textId="77777777" w:rsidR="00DF01B8" w:rsidRPr="008C689B" w:rsidRDefault="00DF01B8" w:rsidP="008C689B">
      <w:pPr>
        <w:spacing w:after="0" w:line="259" w:lineRule="auto"/>
        <w:ind w:left="110"/>
        <w:jc w:val="center"/>
        <w:rPr>
          <w:b/>
          <w:bCs/>
          <w:sz w:val="40"/>
          <w:szCs w:val="36"/>
        </w:rPr>
      </w:pPr>
    </w:p>
    <w:p w14:paraId="7265ABD8" w14:textId="35022AB6" w:rsidR="008C689B" w:rsidRPr="008C689B" w:rsidRDefault="008C689B" w:rsidP="008C689B">
      <w:pPr>
        <w:spacing w:line="259" w:lineRule="auto"/>
        <w:jc w:val="center"/>
        <w:rPr>
          <w:b/>
          <w:sz w:val="48"/>
          <w:szCs w:val="44"/>
        </w:rPr>
      </w:pPr>
      <w:r w:rsidRPr="008C689B">
        <w:rPr>
          <w:b/>
          <w:sz w:val="48"/>
          <w:szCs w:val="44"/>
        </w:rPr>
        <w:t>Strategic Management and Sustainability</w:t>
      </w:r>
    </w:p>
    <w:p w14:paraId="04993263" w14:textId="77777777" w:rsidR="008C689B" w:rsidRDefault="008C689B" w:rsidP="008C689B">
      <w:pPr>
        <w:spacing w:line="259" w:lineRule="auto"/>
        <w:jc w:val="center"/>
        <w:rPr>
          <w:b/>
          <w:sz w:val="48"/>
          <w:szCs w:val="44"/>
        </w:rPr>
      </w:pPr>
    </w:p>
    <w:p w14:paraId="783C8664" w14:textId="0D620652" w:rsidR="008C689B" w:rsidRDefault="008C689B" w:rsidP="008C689B">
      <w:pPr>
        <w:spacing w:line="259" w:lineRule="auto"/>
        <w:jc w:val="center"/>
        <w:rPr>
          <w:b/>
          <w:sz w:val="48"/>
          <w:szCs w:val="44"/>
        </w:rPr>
      </w:pPr>
      <w:r w:rsidRPr="008C689B">
        <w:rPr>
          <w:b/>
          <w:sz w:val="48"/>
          <w:szCs w:val="44"/>
        </w:rPr>
        <w:t>Component 1</w:t>
      </w:r>
    </w:p>
    <w:p w14:paraId="2D1B4A16" w14:textId="77777777" w:rsidR="008C689B" w:rsidRDefault="008C689B" w:rsidP="008C689B">
      <w:pPr>
        <w:spacing w:line="259" w:lineRule="auto"/>
        <w:jc w:val="center"/>
        <w:rPr>
          <w:b/>
          <w:sz w:val="48"/>
          <w:szCs w:val="44"/>
        </w:rPr>
      </w:pPr>
    </w:p>
    <w:p w14:paraId="1AC5717E" w14:textId="77777777" w:rsidR="008C689B" w:rsidRDefault="008C689B" w:rsidP="008C689B">
      <w:pPr>
        <w:spacing w:line="259" w:lineRule="auto"/>
        <w:jc w:val="center"/>
        <w:rPr>
          <w:b/>
          <w:sz w:val="48"/>
          <w:szCs w:val="44"/>
        </w:rPr>
      </w:pPr>
    </w:p>
    <w:p w14:paraId="062050FB" w14:textId="77777777" w:rsidR="008C689B" w:rsidRDefault="008C689B" w:rsidP="008C689B">
      <w:pPr>
        <w:spacing w:line="259" w:lineRule="auto"/>
        <w:jc w:val="center"/>
        <w:rPr>
          <w:b/>
          <w:sz w:val="48"/>
          <w:szCs w:val="44"/>
        </w:rPr>
      </w:pPr>
    </w:p>
    <w:p w14:paraId="056BAF6A" w14:textId="6180550C" w:rsidR="008C689B" w:rsidRPr="008C689B" w:rsidRDefault="008C689B" w:rsidP="008C689B">
      <w:pPr>
        <w:spacing w:line="259" w:lineRule="auto"/>
        <w:jc w:val="center"/>
        <w:rPr>
          <w:b/>
          <w:sz w:val="32"/>
          <w:szCs w:val="28"/>
        </w:rPr>
      </w:pPr>
      <w:r w:rsidRPr="008C689B">
        <w:rPr>
          <w:b/>
          <w:sz w:val="32"/>
          <w:szCs w:val="28"/>
        </w:rPr>
        <w:t>Student Name:</w:t>
      </w:r>
      <w:r w:rsidR="008A4C25">
        <w:rPr>
          <w:b/>
          <w:sz w:val="32"/>
          <w:szCs w:val="28"/>
        </w:rPr>
        <w:t>Cristian Sava</w:t>
      </w:r>
    </w:p>
    <w:p w14:paraId="4123F5E1" w14:textId="148A5A5E" w:rsidR="008C689B" w:rsidRPr="008C689B" w:rsidRDefault="008C689B" w:rsidP="008C689B">
      <w:pPr>
        <w:spacing w:line="259" w:lineRule="auto"/>
        <w:jc w:val="center"/>
        <w:rPr>
          <w:b/>
          <w:sz w:val="32"/>
          <w:szCs w:val="28"/>
        </w:rPr>
      </w:pPr>
      <w:r w:rsidRPr="008C689B">
        <w:rPr>
          <w:b/>
          <w:sz w:val="32"/>
          <w:szCs w:val="28"/>
        </w:rPr>
        <w:t>Student ID:</w:t>
      </w:r>
      <w:r w:rsidR="008A4C25">
        <w:rPr>
          <w:b/>
          <w:sz w:val="32"/>
          <w:szCs w:val="28"/>
        </w:rPr>
        <w:t>2125456</w:t>
      </w:r>
    </w:p>
    <w:p w14:paraId="1D8EE132" w14:textId="3E2033E2" w:rsidR="008C689B" w:rsidRPr="008C689B" w:rsidRDefault="008C689B" w:rsidP="008C689B">
      <w:pPr>
        <w:spacing w:line="259" w:lineRule="auto"/>
        <w:jc w:val="center"/>
        <w:rPr>
          <w:b/>
          <w:sz w:val="32"/>
          <w:szCs w:val="28"/>
        </w:rPr>
      </w:pPr>
      <w:r w:rsidRPr="008C689B">
        <w:rPr>
          <w:b/>
          <w:sz w:val="32"/>
          <w:szCs w:val="28"/>
        </w:rPr>
        <w:t>Date:</w:t>
      </w:r>
      <w:r w:rsidR="008A4C25">
        <w:rPr>
          <w:b/>
          <w:sz w:val="32"/>
          <w:szCs w:val="28"/>
        </w:rPr>
        <w:t>20/03/2026</w:t>
      </w:r>
      <w:bookmarkStart w:id="0" w:name="_GoBack"/>
      <w:bookmarkEnd w:id="0"/>
    </w:p>
    <w:p w14:paraId="5D5EE77F" w14:textId="2B84B7E0" w:rsidR="008C689B" w:rsidRPr="008C689B" w:rsidRDefault="008C689B" w:rsidP="008C689B">
      <w:pPr>
        <w:spacing w:line="259" w:lineRule="auto"/>
        <w:jc w:val="center"/>
        <w:rPr>
          <w:b/>
          <w:sz w:val="48"/>
          <w:szCs w:val="44"/>
        </w:rPr>
      </w:pPr>
      <w:r>
        <w:br w:type="page"/>
      </w:r>
    </w:p>
    <w:p w14:paraId="2126832E" w14:textId="08DE909F" w:rsidR="008C6ACB" w:rsidRDefault="008C6ACB" w:rsidP="008C6ACB">
      <w:pPr>
        <w:pStyle w:val="Heading1"/>
      </w:pPr>
      <w:bookmarkStart w:id="1" w:name="_Toc224163079"/>
      <w:r>
        <w:lastRenderedPageBreak/>
        <w:t>Executive Summary</w:t>
      </w:r>
      <w:bookmarkEnd w:id="1"/>
      <w:r>
        <w:t xml:space="preserve"> </w:t>
      </w:r>
    </w:p>
    <w:p w14:paraId="5D8342D1" w14:textId="64F8B13A" w:rsidR="008C6ACB" w:rsidRDefault="008C6ACB" w:rsidP="008C6ACB">
      <w:r>
        <w:t>The present report examines the strategic stance of the Toyota Motor Corporation</w:t>
      </w:r>
      <w:r w:rsidR="001C2FC2">
        <w:t>, which</w:t>
      </w:r>
      <w:r>
        <w:t xml:space="preserve"> is one of the largest in the world regarding automotive manufacturing. </w:t>
      </w:r>
      <w:r w:rsidR="001C2FC2">
        <w:t>The report aims</w:t>
      </w:r>
      <w:r>
        <w:t xml:space="preserve"> to analyse the internal and external conditions that affect the strategic performance of Toyota in the very competitive global automotive industry. Strategic management tools used in the study are PESTLE analysis and </w:t>
      </w:r>
      <w:r w:rsidR="001C2FC2">
        <w:t>Porter's</w:t>
      </w:r>
      <w:r>
        <w:t xml:space="preserve"> Five Forces</w:t>
      </w:r>
      <w:r w:rsidR="001C2FC2">
        <w:t>,</w:t>
      </w:r>
      <w:r>
        <w:t xml:space="preserve"> which help to measure the external environment</w:t>
      </w:r>
      <w:r w:rsidR="008C689B">
        <w:t>,</w:t>
      </w:r>
      <w:r>
        <w:t xml:space="preserve"> including technology, environmental laws and market competition</w:t>
      </w:r>
      <w:r w:rsidR="001C2FC2">
        <w:t>,</w:t>
      </w:r>
      <w:r>
        <w:t xml:space="preserve"> to name a few. Besides that, the Value Chain analysis and VRIO framework are used to assess the internal capabilities of Toyota in terms of identifying the main resources and competitive advantages of the company. The results reveal the high brand reputation in the world, hybrid technology development, and efficient production system as the primary core competencies of Toyota, and rising competition and the shift to electric cars are strategic challenges. The report, based on the analysis, suggests strategic recommendations to Toyota, such as increasing the speed of development of electric vehicles, improving technological innovation, and sustainable manufacturing to be able to remain competitive and grow over the long term.</w:t>
      </w:r>
    </w:p>
    <w:p w14:paraId="138D664A" w14:textId="77777777" w:rsidR="00926865" w:rsidRDefault="00926865" w:rsidP="008C6ACB"/>
    <w:p w14:paraId="692A23AD" w14:textId="77777777" w:rsidR="008C6ACB" w:rsidRDefault="008C6ACB">
      <w:pPr>
        <w:spacing w:line="259" w:lineRule="auto"/>
        <w:jc w:val="left"/>
      </w:pPr>
      <w:r>
        <w:br w:type="page"/>
      </w:r>
    </w:p>
    <w:sdt>
      <w:sdtPr>
        <w:id w:val="1157488551"/>
        <w:docPartObj>
          <w:docPartGallery w:val="Table of Contents"/>
          <w:docPartUnique/>
        </w:docPartObj>
      </w:sdtPr>
      <w:sdtEndPr>
        <w:rPr>
          <w:b/>
          <w:bCs/>
          <w:noProof/>
        </w:rPr>
      </w:sdtEndPr>
      <w:sdtContent>
        <w:p w14:paraId="4B0D6633" w14:textId="011FA304" w:rsidR="001C2FC2" w:rsidRPr="00DF01B8" w:rsidRDefault="001C2FC2" w:rsidP="00DF01B8">
          <w:pPr>
            <w:rPr>
              <w:b/>
              <w:bCs/>
              <w:sz w:val="32"/>
              <w:szCs w:val="28"/>
            </w:rPr>
          </w:pPr>
          <w:r w:rsidRPr="00DF01B8">
            <w:rPr>
              <w:b/>
              <w:bCs/>
              <w:sz w:val="32"/>
              <w:szCs w:val="28"/>
            </w:rPr>
            <w:t>Table of Contents</w:t>
          </w:r>
        </w:p>
        <w:p w14:paraId="394E45FB" w14:textId="4F288003" w:rsidR="00DF01B8" w:rsidRDefault="001C2FC2">
          <w:pPr>
            <w:pStyle w:val="TOC1"/>
            <w:tabs>
              <w:tab w:val="right" w:leader="dot" w:pos="9016"/>
            </w:tabs>
            <w:rPr>
              <w:rFonts w:asciiTheme="minorHAnsi" w:eastAsiaTheme="minorEastAsia" w:hAnsiTheme="minorHAnsi"/>
              <w:noProof/>
              <w:szCs w:val="24"/>
              <w:lang w:eastAsia="en-IN"/>
            </w:rPr>
          </w:pPr>
          <w:r>
            <w:fldChar w:fldCharType="begin"/>
          </w:r>
          <w:r>
            <w:instrText xml:space="preserve"> TOC \o "1-3" \h \z \u </w:instrText>
          </w:r>
          <w:r>
            <w:fldChar w:fldCharType="separate"/>
          </w:r>
          <w:hyperlink w:anchor="_Toc224163079" w:history="1">
            <w:r w:rsidR="00DF01B8" w:rsidRPr="001D1DDD">
              <w:rPr>
                <w:rStyle w:val="Hyperlink"/>
                <w:noProof/>
              </w:rPr>
              <w:t>Executive Summary</w:t>
            </w:r>
            <w:r w:rsidR="00DF01B8">
              <w:rPr>
                <w:noProof/>
                <w:webHidden/>
              </w:rPr>
              <w:tab/>
            </w:r>
            <w:r w:rsidR="00DF01B8">
              <w:rPr>
                <w:noProof/>
                <w:webHidden/>
              </w:rPr>
              <w:fldChar w:fldCharType="begin"/>
            </w:r>
            <w:r w:rsidR="00DF01B8">
              <w:rPr>
                <w:noProof/>
                <w:webHidden/>
              </w:rPr>
              <w:instrText xml:space="preserve"> PAGEREF _Toc224163079 \h </w:instrText>
            </w:r>
            <w:r w:rsidR="00DF01B8">
              <w:rPr>
                <w:noProof/>
                <w:webHidden/>
              </w:rPr>
            </w:r>
            <w:r w:rsidR="00DF01B8">
              <w:rPr>
                <w:noProof/>
                <w:webHidden/>
              </w:rPr>
              <w:fldChar w:fldCharType="separate"/>
            </w:r>
            <w:r w:rsidR="00DF01B8">
              <w:rPr>
                <w:noProof/>
                <w:webHidden/>
              </w:rPr>
              <w:t>2</w:t>
            </w:r>
            <w:r w:rsidR="00DF01B8">
              <w:rPr>
                <w:noProof/>
                <w:webHidden/>
              </w:rPr>
              <w:fldChar w:fldCharType="end"/>
            </w:r>
          </w:hyperlink>
        </w:p>
        <w:p w14:paraId="0ADF7F69" w14:textId="73D92C4E" w:rsidR="00DF01B8" w:rsidRDefault="00386BED">
          <w:pPr>
            <w:pStyle w:val="TOC1"/>
            <w:tabs>
              <w:tab w:val="right" w:leader="dot" w:pos="9016"/>
            </w:tabs>
            <w:rPr>
              <w:rFonts w:asciiTheme="minorHAnsi" w:eastAsiaTheme="minorEastAsia" w:hAnsiTheme="minorHAnsi"/>
              <w:noProof/>
              <w:szCs w:val="24"/>
              <w:lang w:eastAsia="en-IN"/>
            </w:rPr>
          </w:pPr>
          <w:hyperlink w:anchor="_Toc224163080" w:history="1">
            <w:r w:rsidR="00DF01B8" w:rsidRPr="001D1DDD">
              <w:rPr>
                <w:rStyle w:val="Hyperlink"/>
                <w:noProof/>
              </w:rPr>
              <w:t>Introduction</w:t>
            </w:r>
            <w:r w:rsidR="00DF01B8">
              <w:rPr>
                <w:noProof/>
                <w:webHidden/>
              </w:rPr>
              <w:tab/>
            </w:r>
            <w:r w:rsidR="00DF01B8">
              <w:rPr>
                <w:noProof/>
                <w:webHidden/>
              </w:rPr>
              <w:fldChar w:fldCharType="begin"/>
            </w:r>
            <w:r w:rsidR="00DF01B8">
              <w:rPr>
                <w:noProof/>
                <w:webHidden/>
              </w:rPr>
              <w:instrText xml:space="preserve"> PAGEREF _Toc224163080 \h </w:instrText>
            </w:r>
            <w:r w:rsidR="00DF01B8">
              <w:rPr>
                <w:noProof/>
                <w:webHidden/>
              </w:rPr>
            </w:r>
            <w:r w:rsidR="00DF01B8">
              <w:rPr>
                <w:noProof/>
                <w:webHidden/>
              </w:rPr>
              <w:fldChar w:fldCharType="separate"/>
            </w:r>
            <w:r w:rsidR="00DF01B8">
              <w:rPr>
                <w:noProof/>
                <w:webHidden/>
              </w:rPr>
              <w:t>4</w:t>
            </w:r>
            <w:r w:rsidR="00DF01B8">
              <w:rPr>
                <w:noProof/>
                <w:webHidden/>
              </w:rPr>
              <w:fldChar w:fldCharType="end"/>
            </w:r>
          </w:hyperlink>
        </w:p>
        <w:p w14:paraId="3B278EBA" w14:textId="3AC34CB1" w:rsidR="00DF01B8" w:rsidRDefault="00386BED">
          <w:pPr>
            <w:pStyle w:val="TOC1"/>
            <w:tabs>
              <w:tab w:val="right" w:leader="dot" w:pos="9016"/>
            </w:tabs>
            <w:rPr>
              <w:rFonts w:asciiTheme="minorHAnsi" w:eastAsiaTheme="minorEastAsia" w:hAnsiTheme="minorHAnsi"/>
              <w:noProof/>
              <w:szCs w:val="24"/>
              <w:lang w:eastAsia="en-IN"/>
            </w:rPr>
          </w:pPr>
          <w:hyperlink w:anchor="_Toc224163081" w:history="1">
            <w:r w:rsidR="00DF01B8" w:rsidRPr="001D1DDD">
              <w:rPr>
                <w:rStyle w:val="Hyperlink"/>
                <w:noProof/>
              </w:rPr>
              <w:t>Strategy Analysis</w:t>
            </w:r>
            <w:r w:rsidR="00DF01B8">
              <w:rPr>
                <w:noProof/>
                <w:webHidden/>
              </w:rPr>
              <w:tab/>
            </w:r>
            <w:r w:rsidR="00DF01B8">
              <w:rPr>
                <w:noProof/>
                <w:webHidden/>
              </w:rPr>
              <w:fldChar w:fldCharType="begin"/>
            </w:r>
            <w:r w:rsidR="00DF01B8">
              <w:rPr>
                <w:noProof/>
                <w:webHidden/>
              </w:rPr>
              <w:instrText xml:space="preserve"> PAGEREF _Toc224163081 \h </w:instrText>
            </w:r>
            <w:r w:rsidR="00DF01B8">
              <w:rPr>
                <w:noProof/>
                <w:webHidden/>
              </w:rPr>
            </w:r>
            <w:r w:rsidR="00DF01B8">
              <w:rPr>
                <w:noProof/>
                <w:webHidden/>
              </w:rPr>
              <w:fldChar w:fldCharType="separate"/>
            </w:r>
            <w:r w:rsidR="00DF01B8">
              <w:rPr>
                <w:noProof/>
                <w:webHidden/>
              </w:rPr>
              <w:t>5</w:t>
            </w:r>
            <w:r w:rsidR="00DF01B8">
              <w:rPr>
                <w:noProof/>
                <w:webHidden/>
              </w:rPr>
              <w:fldChar w:fldCharType="end"/>
            </w:r>
          </w:hyperlink>
        </w:p>
        <w:p w14:paraId="779B3628" w14:textId="57DBF9B2" w:rsidR="00DF01B8" w:rsidRDefault="00386BED">
          <w:pPr>
            <w:pStyle w:val="TOC2"/>
            <w:tabs>
              <w:tab w:val="right" w:leader="dot" w:pos="9016"/>
            </w:tabs>
            <w:rPr>
              <w:rFonts w:asciiTheme="minorHAnsi" w:eastAsiaTheme="minorEastAsia" w:hAnsiTheme="minorHAnsi"/>
              <w:noProof/>
              <w:szCs w:val="24"/>
              <w:lang w:eastAsia="en-IN"/>
            </w:rPr>
          </w:pPr>
          <w:hyperlink w:anchor="_Toc224163082" w:history="1">
            <w:r w:rsidR="00DF01B8" w:rsidRPr="001D1DDD">
              <w:rPr>
                <w:rStyle w:val="Hyperlink"/>
                <w:noProof/>
              </w:rPr>
              <w:t>External Environment Audit</w:t>
            </w:r>
            <w:r w:rsidR="00DF01B8">
              <w:rPr>
                <w:noProof/>
                <w:webHidden/>
              </w:rPr>
              <w:tab/>
            </w:r>
            <w:r w:rsidR="00DF01B8">
              <w:rPr>
                <w:noProof/>
                <w:webHidden/>
              </w:rPr>
              <w:fldChar w:fldCharType="begin"/>
            </w:r>
            <w:r w:rsidR="00DF01B8">
              <w:rPr>
                <w:noProof/>
                <w:webHidden/>
              </w:rPr>
              <w:instrText xml:space="preserve"> PAGEREF _Toc224163082 \h </w:instrText>
            </w:r>
            <w:r w:rsidR="00DF01B8">
              <w:rPr>
                <w:noProof/>
                <w:webHidden/>
              </w:rPr>
            </w:r>
            <w:r w:rsidR="00DF01B8">
              <w:rPr>
                <w:noProof/>
                <w:webHidden/>
              </w:rPr>
              <w:fldChar w:fldCharType="separate"/>
            </w:r>
            <w:r w:rsidR="00DF01B8">
              <w:rPr>
                <w:noProof/>
                <w:webHidden/>
              </w:rPr>
              <w:t>5</w:t>
            </w:r>
            <w:r w:rsidR="00DF01B8">
              <w:rPr>
                <w:noProof/>
                <w:webHidden/>
              </w:rPr>
              <w:fldChar w:fldCharType="end"/>
            </w:r>
          </w:hyperlink>
        </w:p>
        <w:p w14:paraId="18798C67" w14:textId="029D3680" w:rsidR="00DF01B8" w:rsidRDefault="00386BED">
          <w:pPr>
            <w:pStyle w:val="TOC2"/>
            <w:tabs>
              <w:tab w:val="right" w:leader="dot" w:pos="9016"/>
            </w:tabs>
            <w:rPr>
              <w:rFonts w:asciiTheme="minorHAnsi" w:eastAsiaTheme="minorEastAsia" w:hAnsiTheme="minorHAnsi"/>
              <w:noProof/>
              <w:szCs w:val="24"/>
              <w:lang w:eastAsia="en-IN"/>
            </w:rPr>
          </w:pPr>
          <w:hyperlink w:anchor="_Toc224163083" w:history="1">
            <w:r w:rsidR="00DF01B8" w:rsidRPr="001D1DDD">
              <w:rPr>
                <w:rStyle w:val="Hyperlink"/>
                <w:noProof/>
              </w:rPr>
              <w:t>Internal Environment Audit</w:t>
            </w:r>
            <w:r w:rsidR="00DF01B8">
              <w:rPr>
                <w:noProof/>
                <w:webHidden/>
              </w:rPr>
              <w:tab/>
            </w:r>
            <w:r w:rsidR="00DF01B8">
              <w:rPr>
                <w:noProof/>
                <w:webHidden/>
              </w:rPr>
              <w:fldChar w:fldCharType="begin"/>
            </w:r>
            <w:r w:rsidR="00DF01B8">
              <w:rPr>
                <w:noProof/>
                <w:webHidden/>
              </w:rPr>
              <w:instrText xml:space="preserve"> PAGEREF _Toc224163083 \h </w:instrText>
            </w:r>
            <w:r w:rsidR="00DF01B8">
              <w:rPr>
                <w:noProof/>
                <w:webHidden/>
              </w:rPr>
            </w:r>
            <w:r w:rsidR="00DF01B8">
              <w:rPr>
                <w:noProof/>
                <w:webHidden/>
              </w:rPr>
              <w:fldChar w:fldCharType="separate"/>
            </w:r>
            <w:r w:rsidR="00DF01B8">
              <w:rPr>
                <w:noProof/>
                <w:webHidden/>
              </w:rPr>
              <w:t>6</w:t>
            </w:r>
            <w:r w:rsidR="00DF01B8">
              <w:rPr>
                <w:noProof/>
                <w:webHidden/>
              </w:rPr>
              <w:fldChar w:fldCharType="end"/>
            </w:r>
          </w:hyperlink>
        </w:p>
        <w:p w14:paraId="0A0C063E" w14:textId="1AAB1DCA" w:rsidR="00DF01B8" w:rsidRDefault="00386BED">
          <w:pPr>
            <w:pStyle w:val="TOC2"/>
            <w:tabs>
              <w:tab w:val="right" w:leader="dot" w:pos="9016"/>
            </w:tabs>
            <w:rPr>
              <w:rFonts w:asciiTheme="minorHAnsi" w:eastAsiaTheme="minorEastAsia" w:hAnsiTheme="minorHAnsi"/>
              <w:noProof/>
              <w:szCs w:val="24"/>
              <w:lang w:eastAsia="en-IN"/>
            </w:rPr>
          </w:pPr>
          <w:hyperlink w:anchor="_Toc224163084" w:history="1">
            <w:r w:rsidR="00DF01B8" w:rsidRPr="001D1DDD">
              <w:rPr>
                <w:rStyle w:val="Hyperlink"/>
                <w:noProof/>
              </w:rPr>
              <w:t>SWOT Analysis</w:t>
            </w:r>
            <w:r w:rsidR="00DF01B8">
              <w:rPr>
                <w:noProof/>
                <w:webHidden/>
              </w:rPr>
              <w:tab/>
            </w:r>
            <w:r w:rsidR="00DF01B8">
              <w:rPr>
                <w:noProof/>
                <w:webHidden/>
              </w:rPr>
              <w:fldChar w:fldCharType="begin"/>
            </w:r>
            <w:r w:rsidR="00DF01B8">
              <w:rPr>
                <w:noProof/>
                <w:webHidden/>
              </w:rPr>
              <w:instrText xml:space="preserve"> PAGEREF _Toc224163084 \h </w:instrText>
            </w:r>
            <w:r w:rsidR="00DF01B8">
              <w:rPr>
                <w:noProof/>
                <w:webHidden/>
              </w:rPr>
            </w:r>
            <w:r w:rsidR="00DF01B8">
              <w:rPr>
                <w:noProof/>
                <w:webHidden/>
              </w:rPr>
              <w:fldChar w:fldCharType="separate"/>
            </w:r>
            <w:r w:rsidR="00DF01B8">
              <w:rPr>
                <w:noProof/>
                <w:webHidden/>
              </w:rPr>
              <w:t>7</w:t>
            </w:r>
            <w:r w:rsidR="00DF01B8">
              <w:rPr>
                <w:noProof/>
                <w:webHidden/>
              </w:rPr>
              <w:fldChar w:fldCharType="end"/>
            </w:r>
          </w:hyperlink>
        </w:p>
        <w:p w14:paraId="0A581C31" w14:textId="4384B946" w:rsidR="00DF01B8" w:rsidRDefault="00386BED">
          <w:pPr>
            <w:pStyle w:val="TOC1"/>
            <w:tabs>
              <w:tab w:val="right" w:leader="dot" w:pos="9016"/>
            </w:tabs>
            <w:rPr>
              <w:rFonts w:asciiTheme="minorHAnsi" w:eastAsiaTheme="minorEastAsia" w:hAnsiTheme="minorHAnsi"/>
              <w:noProof/>
              <w:szCs w:val="24"/>
              <w:lang w:eastAsia="en-IN"/>
            </w:rPr>
          </w:pPr>
          <w:hyperlink w:anchor="_Toc224163085" w:history="1">
            <w:r w:rsidR="00DF01B8" w:rsidRPr="001D1DDD">
              <w:rPr>
                <w:rStyle w:val="Hyperlink"/>
                <w:noProof/>
              </w:rPr>
              <w:t>Strategy Formulation</w:t>
            </w:r>
            <w:r w:rsidR="00DF01B8">
              <w:rPr>
                <w:noProof/>
                <w:webHidden/>
              </w:rPr>
              <w:tab/>
            </w:r>
            <w:r w:rsidR="00DF01B8">
              <w:rPr>
                <w:noProof/>
                <w:webHidden/>
              </w:rPr>
              <w:fldChar w:fldCharType="begin"/>
            </w:r>
            <w:r w:rsidR="00DF01B8">
              <w:rPr>
                <w:noProof/>
                <w:webHidden/>
              </w:rPr>
              <w:instrText xml:space="preserve"> PAGEREF _Toc224163085 \h </w:instrText>
            </w:r>
            <w:r w:rsidR="00DF01B8">
              <w:rPr>
                <w:noProof/>
                <w:webHidden/>
              </w:rPr>
            </w:r>
            <w:r w:rsidR="00DF01B8">
              <w:rPr>
                <w:noProof/>
                <w:webHidden/>
              </w:rPr>
              <w:fldChar w:fldCharType="separate"/>
            </w:r>
            <w:r w:rsidR="00DF01B8">
              <w:rPr>
                <w:noProof/>
                <w:webHidden/>
              </w:rPr>
              <w:t>8</w:t>
            </w:r>
            <w:r w:rsidR="00DF01B8">
              <w:rPr>
                <w:noProof/>
                <w:webHidden/>
              </w:rPr>
              <w:fldChar w:fldCharType="end"/>
            </w:r>
          </w:hyperlink>
        </w:p>
        <w:p w14:paraId="713E48F5" w14:textId="6FD5E9C8" w:rsidR="00DF01B8" w:rsidRDefault="00386BED">
          <w:pPr>
            <w:pStyle w:val="TOC1"/>
            <w:tabs>
              <w:tab w:val="right" w:leader="dot" w:pos="9016"/>
            </w:tabs>
            <w:rPr>
              <w:rFonts w:asciiTheme="minorHAnsi" w:eastAsiaTheme="minorEastAsia" w:hAnsiTheme="minorHAnsi"/>
              <w:noProof/>
              <w:szCs w:val="24"/>
              <w:lang w:eastAsia="en-IN"/>
            </w:rPr>
          </w:pPr>
          <w:hyperlink w:anchor="_Toc224163086" w:history="1">
            <w:r w:rsidR="00DF01B8" w:rsidRPr="001D1DDD">
              <w:rPr>
                <w:rStyle w:val="Hyperlink"/>
                <w:noProof/>
              </w:rPr>
              <w:t>Conclusion and Recommendations</w:t>
            </w:r>
            <w:r w:rsidR="00DF01B8">
              <w:rPr>
                <w:noProof/>
                <w:webHidden/>
              </w:rPr>
              <w:tab/>
            </w:r>
            <w:r w:rsidR="00DF01B8">
              <w:rPr>
                <w:noProof/>
                <w:webHidden/>
              </w:rPr>
              <w:fldChar w:fldCharType="begin"/>
            </w:r>
            <w:r w:rsidR="00DF01B8">
              <w:rPr>
                <w:noProof/>
                <w:webHidden/>
              </w:rPr>
              <w:instrText xml:space="preserve"> PAGEREF _Toc224163086 \h </w:instrText>
            </w:r>
            <w:r w:rsidR="00DF01B8">
              <w:rPr>
                <w:noProof/>
                <w:webHidden/>
              </w:rPr>
            </w:r>
            <w:r w:rsidR="00DF01B8">
              <w:rPr>
                <w:noProof/>
                <w:webHidden/>
              </w:rPr>
              <w:fldChar w:fldCharType="separate"/>
            </w:r>
            <w:r w:rsidR="00DF01B8">
              <w:rPr>
                <w:noProof/>
                <w:webHidden/>
              </w:rPr>
              <w:t>11</w:t>
            </w:r>
            <w:r w:rsidR="00DF01B8">
              <w:rPr>
                <w:noProof/>
                <w:webHidden/>
              </w:rPr>
              <w:fldChar w:fldCharType="end"/>
            </w:r>
          </w:hyperlink>
        </w:p>
        <w:p w14:paraId="7D81D1F1" w14:textId="68D8A930" w:rsidR="00DF01B8" w:rsidRDefault="00386BED">
          <w:pPr>
            <w:pStyle w:val="TOC1"/>
            <w:tabs>
              <w:tab w:val="right" w:leader="dot" w:pos="9016"/>
            </w:tabs>
            <w:rPr>
              <w:rFonts w:asciiTheme="minorHAnsi" w:eastAsiaTheme="minorEastAsia" w:hAnsiTheme="minorHAnsi"/>
              <w:noProof/>
              <w:szCs w:val="24"/>
              <w:lang w:eastAsia="en-IN"/>
            </w:rPr>
          </w:pPr>
          <w:hyperlink w:anchor="_Toc224163087" w:history="1">
            <w:r w:rsidR="00DF01B8" w:rsidRPr="001D1DDD">
              <w:rPr>
                <w:rStyle w:val="Hyperlink"/>
                <w:noProof/>
              </w:rPr>
              <w:t>References</w:t>
            </w:r>
            <w:r w:rsidR="00DF01B8">
              <w:rPr>
                <w:noProof/>
                <w:webHidden/>
              </w:rPr>
              <w:tab/>
            </w:r>
            <w:r w:rsidR="00DF01B8">
              <w:rPr>
                <w:noProof/>
                <w:webHidden/>
              </w:rPr>
              <w:fldChar w:fldCharType="begin"/>
            </w:r>
            <w:r w:rsidR="00DF01B8">
              <w:rPr>
                <w:noProof/>
                <w:webHidden/>
              </w:rPr>
              <w:instrText xml:space="preserve"> PAGEREF _Toc224163087 \h </w:instrText>
            </w:r>
            <w:r w:rsidR="00DF01B8">
              <w:rPr>
                <w:noProof/>
                <w:webHidden/>
              </w:rPr>
            </w:r>
            <w:r w:rsidR="00DF01B8">
              <w:rPr>
                <w:noProof/>
                <w:webHidden/>
              </w:rPr>
              <w:fldChar w:fldCharType="separate"/>
            </w:r>
            <w:r w:rsidR="00DF01B8">
              <w:rPr>
                <w:noProof/>
                <w:webHidden/>
              </w:rPr>
              <w:t>13</w:t>
            </w:r>
            <w:r w:rsidR="00DF01B8">
              <w:rPr>
                <w:noProof/>
                <w:webHidden/>
              </w:rPr>
              <w:fldChar w:fldCharType="end"/>
            </w:r>
          </w:hyperlink>
        </w:p>
        <w:p w14:paraId="5C16A132" w14:textId="785FFCF7" w:rsidR="001C2FC2" w:rsidRDefault="001C2FC2">
          <w:r>
            <w:rPr>
              <w:b/>
              <w:bCs/>
              <w:noProof/>
            </w:rPr>
            <w:fldChar w:fldCharType="end"/>
          </w:r>
        </w:p>
      </w:sdtContent>
    </w:sdt>
    <w:p w14:paraId="62FD97D7" w14:textId="77777777" w:rsidR="001C2FC2" w:rsidRDefault="001C2FC2">
      <w:pPr>
        <w:spacing w:line="259" w:lineRule="auto"/>
        <w:jc w:val="left"/>
        <w:rPr>
          <w:rFonts w:cs="Times New Roman"/>
          <w:b/>
          <w:bCs/>
          <w:color w:val="000000" w:themeColor="text1"/>
          <w:sz w:val="36"/>
        </w:rPr>
      </w:pPr>
      <w:r>
        <w:br w:type="page"/>
      </w:r>
    </w:p>
    <w:p w14:paraId="0FA7343B" w14:textId="31C70915" w:rsidR="008C6ACB" w:rsidRDefault="008C6ACB" w:rsidP="008C6ACB">
      <w:pPr>
        <w:pStyle w:val="Heading1"/>
      </w:pPr>
      <w:bookmarkStart w:id="2" w:name="_Toc224163080"/>
      <w:r>
        <w:lastRenderedPageBreak/>
        <w:t>Introduction</w:t>
      </w:r>
      <w:bookmarkEnd w:id="2"/>
      <w:r w:rsidR="00DF01B8">
        <w:t xml:space="preserve"> </w:t>
      </w:r>
    </w:p>
    <w:p w14:paraId="79410328" w14:textId="2C2A5317" w:rsidR="00790258" w:rsidRDefault="008C6ACB" w:rsidP="008C6ACB">
      <w:r>
        <w:t xml:space="preserve">Strategic management is a crucial process that facilitates the analysis of the internal and external environment of organisations, </w:t>
      </w:r>
      <w:r w:rsidR="001C2FC2">
        <w:t xml:space="preserve">the </w:t>
      </w:r>
      <w:r>
        <w:t xml:space="preserve">formulation of effective strategies and </w:t>
      </w:r>
      <w:r w:rsidR="001C2FC2">
        <w:t xml:space="preserve">the </w:t>
      </w:r>
      <w:r>
        <w:t>realisation of long-term competitive advantage. It assists the companies to find openings, counter industry threats</w:t>
      </w:r>
      <w:r w:rsidR="001C2FC2">
        <w:t>,</w:t>
      </w:r>
      <w:r>
        <w:t xml:space="preserve"> and direct resources effectively in order to accomplish the organisational objectives. Strategic management is especially significant in the context of </w:t>
      </w:r>
      <w:r w:rsidR="001C2FC2">
        <w:t>a</w:t>
      </w:r>
      <w:r>
        <w:t xml:space="preserve"> highly competitive industry, like the automotive </w:t>
      </w:r>
      <w:r w:rsidR="001C2FC2">
        <w:t>industry</w:t>
      </w:r>
      <w:r>
        <w:t>, since companies in this sphere have to face the challenge of continuous adaptability to technological innovations, altering consumer tastes and preferences and rigid environmental standards. Good strategic planning enables organisations to be sustainable and enhance their performance and market standing. Toyota Motor Corporation is among the top automotive companies in the world. Kiichiro Toyoda founded the company in the year 1937 and has its headquarters in Toyota City, Japan. Toyota is a multinational corporation that manufactures numerous brands of vehicles</w:t>
      </w:r>
      <w:r w:rsidR="001C2FC2">
        <w:t>,</w:t>
      </w:r>
      <w:r>
        <w:t xml:space="preserve"> such as passenger vehicles, hybrid and electric cars</w:t>
      </w:r>
      <w:r w:rsidR="00926865">
        <w:t xml:space="preserve"> (</w:t>
      </w:r>
      <w:r w:rsidR="00926865" w:rsidRPr="00926865">
        <w:t>Toyota Motor Europe</w:t>
      </w:r>
      <w:r w:rsidR="00926865">
        <w:t xml:space="preserve">, </w:t>
      </w:r>
      <w:r w:rsidR="00926865" w:rsidRPr="00926865">
        <w:t>2025)</w:t>
      </w:r>
      <w:r>
        <w:t xml:space="preserve">. The company is also a </w:t>
      </w:r>
      <w:r w:rsidR="001C2FC2">
        <w:t>reputable</w:t>
      </w:r>
      <w:r>
        <w:t xml:space="preserve"> company with superior quality products, </w:t>
      </w:r>
      <w:r w:rsidR="00F905F9">
        <w:t xml:space="preserve">an </w:t>
      </w:r>
      <w:r>
        <w:t xml:space="preserve">innovative production system and </w:t>
      </w:r>
      <w:r w:rsidR="001C2FC2">
        <w:t xml:space="preserve">a </w:t>
      </w:r>
      <w:r>
        <w:t>great commitment to sustainability. The vision of Toyota aims at developing sustainable mobility and enhancing transportation across the globe</w:t>
      </w:r>
      <w:r w:rsidR="00790258" w:rsidRPr="00790258">
        <w:t>.</w:t>
      </w:r>
    </w:p>
    <w:p w14:paraId="288FE7F6" w14:textId="77777777" w:rsidR="00926865" w:rsidRDefault="00926865" w:rsidP="00926865">
      <w:pPr>
        <w:keepNext/>
        <w:jc w:val="center"/>
      </w:pPr>
      <w:r w:rsidRPr="00926865">
        <w:rPr>
          <w:noProof/>
          <w:lang w:val="en-GB" w:eastAsia="en-GB"/>
        </w:rPr>
        <w:drawing>
          <wp:inline distT="0" distB="0" distL="0" distR="0" wp14:anchorId="27F914C1" wp14:editId="0C3AD98B">
            <wp:extent cx="3873500" cy="2931298"/>
            <wp:effectExtent l="0" t="0" r="0" b="2540"/>
            <wp:docPr id="4302056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205658" name=""/>
                    <pic:cNvPicPr/>
                  </pic:nvPicPr>
                  <pic:blipFill>
                    <a:blip r:embed="rId9"/>
                    <a:stretch>
                      <a:fillRect/>
                    </a:stretch>
                  </pic:blipFill>
                  <pic:spPr>
                    <a:xfrm>
                      <a:off x="0" y="0"/>
                      <a:ext cx="3875836" cy="2933066"/>
                    </a:xfrm>
                    <a:prstGeom prst="rect">
                      <a:avLst/>
                    </a:prstGeom>
                  </pic:spPr>
                </pic:pic>
              </a:graphicData>
            </a:graphic>
          </wp:inline>
        </w:drawing>
      </w:r>
    </w:p>
    <w:p w14:paraId="0D34BE7F" w14:textId="33C1B523" w:rsidR="00926865" w:rsidRPr="00790258" w:rsidRDefault="00926865" w:rsidP="00926865">
      <w:pPr>
        <w:pStyle w:val="Caption"/>
        <w:jc w:val="center"/>
      </w:pPr>
      <w:r>
        <w:t xml:space="preserve">Figure </w:t>
      </w:r>
      <w:fldSimple w:instr=" SEQ Figure \* ARABIC ">
        <w:r>
          <w:rPr>
            <w:noProof/>
          </w:rPr>
          <w:t>1</w:t>
        </w:r>
      </w:fldSimple>
      <w:r>
        <w:t xml:space="preserve">: Logo (Source: </w:t>
      </w:r>
      <w:r w:rsidRPr="00926865">
        <w:t>Toyota Motor Europe</w:t>
      </w:r>
      <w:r>
        <w:t xml:space="preserve">, </w:t>
      </w:r>
      <w:r w:rsidRPr="00926865">
        <w:t>2025)</w:t>
      </w:r>
    </w:p>
    <w:p w14:paraId="21EA36B3" w14:textId="77777777" w:rsidR="008C6ACB" w:rsidRDefault="008C6ACB">
      <w:pPr>
        <w:spacing w:line="259" w:lineRule="auto"/>
        <w:jc w:val="left"/>
        <w:rPr>
          <w:b/>
          <w:bCs/>
        </w:rPr>
      </w:pPr>
      <w:r>
        <w:rPr>
          <w:b/>
          <w:bCs/>
        </w:rPr>
        <w:br w:type="page"/>
      </w:r>
    </w:p>
    <w:p w14:paraId="2B41C3DF" w14:textId="65DE72E2" w:rsidR="00217A93" w:rsidRPr="00217A93" w:rsidRDefault="00217A93" w:rsidP="008C6ACB">
      <w:pPr>
        <w:pStyle w:val="Heading1"/>
      </w:pPr>
      <w:bookmarkStart w:id="3" w:name="_Toc224163081"/>
      <w:r w:rsidRPr="00217A93">
        <w:lastRenderedPageBreak/>
        <w:t>Strategy Analysis</w:t>
      </w:r>
      <w:bookmarkEnd w:id="3"/>
    </w:p>
    <w:p w14:paraId="7CA70200" w14:textId="77777777" w:rsidR="002F65BC" w:rsidRDefault="00217A93" w:rsidP="002F65BC">
      <w:pPr>
        <w:pStyle w:val="Heading2"/>
      </w:pPr>
      <w:bookmarkStart w:id="4" w:name="_Toc224163082"/>
      <w:r w:rsidRPr="00217A93">
        <w:t>External Environment Audit</w:t>
      </w:r>
      <w:bookmarkEnd w:id="4"/>
      <w:r w:rsidR="002F65BC">
        <w:t xml:space="preserve"> </w:t>
      </w:r>
    </w:p>
    <w:p w14:paraId="571DE95A" w14:textId="2E04C1D9" w:rsidR="00217A93" w:rsidRPr="002F65BC" w:rsidRDefault="00217A93" w:rsidP="002F65BC">
      <w:pPr>
        <w:rPr>
          <w:b/>
          <w:bCs/>
        </w:rPr>
      </w:pPr>
      <w:r w:rsidRPr="002F65BC">
        <w:rPr>
          <w:b/>
          <w:bCs/>
        </w:rPr>
        <w:t>PESTLE Analysis</w:t>
      </w:r>
    </w:p>
    <w:tbl>
      <w:tblPr>
        <w:tblStyle w:val="GridTable5Dark-Accent3"/>
        <w:tblW w:w="0" w:type="auto"/>
        <w:tblLook w:val="04A0" w:firstRow="1" w:lastRow="0" w:firstColumn="1" w:lastColumn="0" w:noHBand="0" w:noVBand="1"/>
      </w:tblPr>
      <w:tblGrid>
        <w:gridCol w:w="1759"/>
        <w:gridCol w:w="7257"/>
      </w:tblGrid>
      <w:tr w:rsidR="001C2FC2" w:rsidRPr="001C2FC2" w14:paraId="47C80A83" w14:textId="77777777" w:rsidTr="001C2FC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924470" w14:textId="77777777" w:rsidR="001C2FC2" w:rsidRPr="001C2FC2" w:rsidRDefault="001C2FC2" w:rsidP="001C2FC2">
            <w:pPr>
              <w:spacing w:after="160"/>
            </w:pPr>
            <w:r w:rsidRPr="001C2FC2">
              <w:t>Factor</w:t>
            </w:r>
          </w:p>
        </w:tc>
        <w:tc>
          <w:tcPr>
            <w:tcW w:w="0" w:type="auto"/>
            <w:hideMark/>
          </w:tcPr>
          <w:p w14:paraId="5158692F" w14:textId="77777777" w:rsidR="001C2FC2" w:rsidRPr="001C2FC2" w:rsidRDefault="001C2FC2" w:rsidP="001C2FC2">
            <w:pPr>
              <w:spacing w:after="160"/>
              <w:cnfStyle w:val="100000000000" w:firstRow="1" w:lastRow="0" w:firstColumn="0" w:lastColumn="0" w:oddVBand="0" w:evenVBand="0" w:oddHBand="0" w:evenHBand="0" w:firstRowFirstColumn="0" w:firstRowLastColumn="0" w:lastRowFirstColumn="0" w:lastRowLastColumn="0"/>
            </w:pPr>
            <w:r w:rsidRPr="001C2FC2">
              <w:t>Analysis</w:t>
            </w:r>
          </w:p>
        </w:tc>
      </w:tr>
      <w:tr w:rsidR="001C2FC2" w:rsidRPr="001C2FC2" w14:paraId="4314BECB" w14:textId="77777777" w:rsidTr="001C2F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4826A5" w14:textId="77777777" w:rsidR="001C2FC2" w:rsidRPr="001C2FC2" w:rsidRDefault="001C2FC2" w:rsidP="001C2FC2">
            <w:pPr>
              <w:spacing w:after="160"/>
            </w:pPr>
            <w:r w:rsidRPr="001C2FC2">
              <w:t>Political</w:t>
            </w:r>
          </w:p>
        </w:tc>
        <w:tc>
          <w:tcPr>
            <w:tcW w:w="0" w:type="auto"/>
            <w:hideMark/>
          </w:tcPr>
          <w:p w14:paraId="4AFF66BA" w14:textId="1538C476" w:rsidR="001C2FC2" w:rsidRPr="001C2FC2" w:rsidRDefault="001C2FC2" w:rsidP="001C2FC2">
            <w:pPr>
              <w:spacing w:after="160"/>
              <w:cnfStyle w:val="000000100000" w:firstRow="0" w:lastRow="0" w:firstColumn="0" w:lastColumn="0" w:oddVBand="0" w:evenVBand="0" w:oddHBand="1" w:evenHBand="0" w:firstRowFirstColumn="0" w:firstRowLastColumn="0" w:lastRowFirstColumn="0" w:lastRowLastColumn="0"/>
            </w:pPr>
            <w:r w:rsidRPr="001C2FC2">
              <w:t>Political factors influence the automotive industry through government regulations, trade policies and environmental initiatives. Many governments promote environmentally friendly vehicles through subsidies and strict emission standards</w:t>
            </w:r>
            <w:r w:rsidR="002F65BC">
              <w:t xml:space="preserve"> (</w:t>
            </w:r>
            <w:r w:rsidR="002F65BC" w:rsidRPr="002F65BC">
              <w:t>European Automobile Manufacturers’ Association</w:t>
            </w:r>
            <w:r w:rsidR="002F65BC">
              <w:t xml:space="preserve">, </w:t>
            </w:r>
            <w:r w:rsidR="002F65BC" w:rsidRPr="002F65BC">
              <w:t>2021)</w:t>
            </w:r>
            <w:r w:rsidRPr="001C2FC2">
              <w:t>. Toyota must comply with these regulations while adapting its production strategies to meet sustainability goals. Trade policies and tariffs can also affect Toyota’s global supply chain and vehicle exports</w:t>
            </w:r>
            <w:r w:rsidR="002A341D">
              <w:t xml:space="preserve"> (</w:t>
            </w:r>
            <w:r w:rsidR="002A341D" w:rsidRPr="002A341D">
              <w:t>Al‐Swidi</w:t>
            </w:r>
            <w:r w:rsidR="002A341D">
              <w:t xml:space="preserve"> et al</w:t>
            </w:r>
            <w:r w:rsidR="002A341D" w:rsidRPr="002A341D">
              <w:t>., 2023</w:t>
            </w:r>
            <w:r w:rsidR="002A341D">
              <w:t>)</w:t>
            </w:r>
            <w:r w:rsidRPr="001C2FC2">
              <w:t>.</w:t>
            </w:r>
          </w:p>
        </w:tc>
      </w:tr>
      <w:tr w:rsidR="001C2FC2" w:rsidRPr="001C2FC2" w14:paraId="2DA22156" w14:textId="77777777" w:rsidTr="001C2FC2">
        <w:tc>
          <w:tcPr>
            <w:cnfStyle w:val="001000000000" w:firstRow="0" w:lastRow="0" w:firstColumn="1" w:lastColumn="0" w:oddVBand="0" w:evenVBand="0" w:oddHBand="0" w:evenHBand="0" w:firstRowFirstColumn="0" w:firstRowLastColumn="0" w:lastRowFirstColumn="0" w:lastRowLastColumn="0"/>
            <w:tcW w:w="0" w:type="auto"/>
            <w:hideMark/>
          </w:tcPr>
          <w:p w14:paraId="0DE847B1" w14:textId="77777777" w:rsidR="001C2FC2" w:rsidRPr="001C2FC2" w:rsidRDefault="001C2FC2" w:rsidP="001C2FC2">
            <w:pPr>
              <w:spacing w:after="160"/>
            </w:pPr>
            <w:r w:rsidRPr="001C2FC2">
              <w:t>Economic</w:t>
            </w:r>
          </w:p>
        </w:tc>
        <w:tc>
          <w:tcPr>
            <w:tcW w:w="0" w:type="auto"/>
            <w:hideMark/>
          </w:tcPr>
          <w:p w14:paraId="231311E4" w14:textId="77777777" w:rsidR="001C2FC2" w:rsidRPr="001C2FC2" w:rsidRDefault="001C2FC2" w:rsidP="001C2FC2">
            <w:pPr>
              <w:spacing w:after="160"/>
              <w:cnfStyle w:val="000000000000" w:firstRow="0" w:lastRow="0" w:firstColumn="0" w:lastColumn="0" w:oddVBand="0" w:evenVBand="0" w:oddHBand="0" w:evenHBand="0" w:firstRowFirstColumn="0" w:firstRowLastColumn="0" w:lastRowFirstColumn="0" w:lastRowLastColumn="0"/>
            </w:pPr>
            <w:r w:rsidRPr="001C2FC2">
              <w:t>Economic conditions such as inflation, fuel prices and economic growth influence consumer purchasing power. During economic downturns, vehicle demand may decline due to reduced spending. However, rising fuel prices increase demand for fuel-efficient and hybrid vehicles, creating opportunities for Toyota to promote its hybrid technology and efficient models in global markets.</w:t>
            </w:r>
          </w:p>
        </w:tc>
      </w:tr>
      <w:tr w:rsidR="001C2FC2" w:rsidRPr="001C2FC2" w14:paraId="161A7FBD" w14:textId="77777777" w:rsidTr="001C2F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E59AFC" w14:textId="77777777" w:rsidR="001C2FC2" w:rsidRPr="001C2FC2" w:rsidRDefault="001C2FC2" w:rsidP="001C2FC2">
            <w:pPr>
              <w:spacing w:after="160"/>
            </w:pPr>
            <w:r w:rsidRPr="001C2FC2">
              <w:t>Social</w:t>
            </w:r>
          </w:p>
        </w:tc>
        <w:tc>
          <w:tcPr>
            <w:tcW w:w="0" w:type="auto"/>
            <w:hideMark/>
          </w:tcPr>
          <w:p w14:paraId="66779EF8" w14:textId="4AA3EB95" w:rsidR="001C2FC2" w:rsidRPr="001C2FC2" w:rsidRDefault="001C2FC2" w:rsidP="001C2FC2">
            <w:pPr>
              <w:spacing w:after="160"/>
              <w:cnfStyle w:val="000000100000" w:firstRow="0" w:lastRow="0" w:firstColumn="0" w:lastColumn="0" w:oddVBand="0" w:evenVBand="0" w:oddHBand="1" w:evenHBand="0" w:firstRowFirstColumn="0" w:firstRowLastColumn="0" w:lastRowFirstColumn="0" w:lastRowLastColumn="0"/>
            </w:pPr>
            <w:r w:rsidRPr="001C2FC2">
              <w:t>Social trends show growing consumer awareness of environmental sustainability. Customers increasingly prefer energy-efficient vehicles that reduce environmental impact. Urbanisation and changing lifestyles have also increased demand for compact vehicles and innovative mobility solutions. Toyota can respond to these trends by expanding its hybrid and electric vehicle offerings</w:t>
            </w:r>
            <w:r w:rsidR="002A341D">
              <w:t xml:space="preserve"> (</w:t>
            </w:r>
            <w:r w:rsidR="002A341D" w:rsidRPr="002A341D">
              <w:t>Islam, 2024</w:t>
            </w:r>
            <w:r w:rsidR="002A341D">
              <w:t>)</w:t>
            </w:r>
            <w:r w:rsidRPr="001C2FC2">
              <w:t>.</w:t>
            </w:r>
          </w:p>
        </w:tc>
      </w:tr>
      <w:tr w:rsidR="001C2FC2" w:rsidRPr="001C2FC2" w14:paraId="2B303046" w14:textId="77777777" w:rsidTr="001C2FC2">
        <w:tc>
          <w:tcPr>
            <w:cnfStyle w:val="001000000000" w:firstRow="0" w:lastRow="0" w:firstColumn="1" w:lastColumn="0" w:oddVBand="0" w:evenVBand="0" w:oddHBand="0" w:evenHBand="0" w:firstRowFirstColumn="0" w:firstRowLastColumn="0" w:lastRowFirstColumn="0" w:lastRowLastColumn="0"/>
            <w:tcW w:w="0" w:type="auto"/>
            <w:hideMark/>
          </w:tcPr>
          <w:p w14:paraId="11A341DE" w14:textId="77777777" w:rsidR="001C2FC2" w:rsidRPr="001C2FC2" w:rsidRDefault="001C2FC2" w:rsidP="001C2FC2">
            <w:pPr>
              <w:spacing w:after="160"/>
            </w:pPr>
            <w:r w:rsidRPr="001C2FC2">
              <w:t>Technological</w:t>
            </w:r>
          </w:p>
        </w:tc>
        <w:tc>
          <w:tcPr>
            <w:tcW w:w="0" w:type="auto"/>
            <w:hideMark/>
          </w:tcPr>
          <w:p w14:paraId="3F228AB6" w14:textId="77777777" w:rsidR="001C2FC2" w:rsidRPr="001C2FC2" w:rsidRDefault="001C2FC2" w:rsidP="001C2FC2">
            <w:pPr>
              <w:spacing w:after="160"/>
              <w:cnfStyle w:val="000000000000" w:firstRow="0" w:lastRow="0" w:firstColumn="0" w:lastColumn="0" w:oddVBand="0" w:evenVBand="0" w:oddHBand="0" w:evenHBand="0" w:firstRowFirstColumn="0" w:firstRowLastColumn="0" w:lastRowFirstColumn="0" w:lastRowLastColumn="0"/>
            </w:pPr>
            <w:r w:rsidRPr="001C2FC2">
              <w:t>Technological advancements such as electric vehicles, artificial intelligence and autonomous driving are transforming the automotive industry. Toyota invests heavily in research and development to remain competitive and innovative. Continuous technological improvement is necessary for Toyota to maintain leadership in hybrid technology and expand into advanced vehicle systems.</w:t>
            </w:r>
          </w:p>
        </w:tc>
      </w:tr>
      <w:tr w:rsidR="001C2FC2" w:rsidRPr="001C2FC2" w14:paraId="303AFD9C" w14:textId="77777777" w:rsidTr="001C2F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B8C432" w14:textId="77777777" w:rsidR="001C2FC2" w:rsidRPr="001C2FC2" w:rsidRDefault="001C2FC2" w:rsidP="001C2FC2">
            <w:pPr>
              <w:spacing w:after="160"/>
            </w:pPr>
            <w:r w:rsidRPr="001C2FC2">
              <w:lastRenderedPageBreak/>
              <w:t>Legal</w:t>
            </w:r>
          </w:p>
        </w:tc>
        <w:tc>
          <w:tcPr>
            <w:tcW w:w="0" w:type="auto"/>
            <w:hideMark/>
          </w:tcPr>
          <w:p w14:paraId="354B990B" w14:textId="22384089" w:rsidR="001C2FC2" w:rsidRPr="001C2FC2" w:rsidRDefault="001C2FC2" w:rsidP="001C2FC2">
            <w:pPr>
              <w:spacing w:after="160"/>
              <w:cnfStyle w:val="000000100000" w:firstRow="0" w:lastRow="0" w:firstColumn="0" w:lastColumn="0" w:oddVBand="0" w:evenVBand="0" w:oddHBand="1" w:evenHBand="0" w:firstRowFirstColumn="0" w:firstRowLastColumn="0" w:lastRowFirstColumn="0" w:lastRowLastColumn="0"/>
            </w:pPr>
            <w:r w:rsidRPr="001C2FC2">
              <w:t>Automotive companies must follow strict safety regulations, emission standards and environmental laws. Toyota must comply with these legal requirements in every market where it operates to avoid penalties and maintain its reputation for quality and reliability</w:t>
            </w:r>
            <w:r w:rsidR="00F03EC4">
              <w:t xml:space="preserve"> (</w:t>
            </w:r>
            <w:r w:rsidR="00F03EC4" w:rsidRPr="00F03EC4">
              <w:t>Hyun,</w:t>
            </w:r>
            <w:r w:rsidR="00F03EC4">
              <w:t xml:space="preserve"> </w:t>
            </w:r>
            <w:r w:rsidR="00F03EC4" w:rsidRPr="00F03EC4">
              <w:t>2025</w:t>
            </w:r>
            <w:r w:rsidR="00F03EC4">
              <w:t>)</w:t>
            </w:r>
            <w:r w:rsidR="00F03EC4" w:rsidRPr="00F03EC4">
              <w:t xml:space="preserve">. </w:t>
            </w:r>
          </w:p>
        </w:tc>
      </w:tr>
      <w:tr w:rsidR="001C2FC2" w:rsidRPr="001C2FC2" w14:paraId="2594B4ED" w14:textId="77777777" w:rsidTr="001C2FC2">
        <w:tc>
          <w:tcPr>
            <w:cnfStyle w:val="001000000000" w:firstRow="0" w:lastRow="0" w:firstColumn="1" w:lastColumn="0" w:oddVBand="0" w:evenVBand="0" w:oddHBand="0" w:evenHBand="0" w:firstRowFirstColumn="0" w:firstRowLastColumn="0" w:lastRowFirstColumn="0" w:lastRowLastColumn="0"/>
            <w:tcW w:w="0" w:type="auto"/>
            <w:hideMark/>
          </w:tcPr>
          <w:p w14:paraId="62200F81" w14:textId="77777777" w:rsidR="001C2FC2" w:rsidRPr="001C2FC2" w:rsidRDefault="001C2FC2" w:rsidP="001C2FC2">
            <w:pPr>
              <w:spacing w:after="160"/>
            </w:pPr>
            <w:r w:rsidRPr="001C2FC2">
              <w:t>Environmental</w:t>
            </w:r>
          </w:p>
        </w:tc>
        <w:tc>
          <w:tcPr>
            <w:tcW w:w="0" w:type="auto"/>
            <w:hideMark/>
          </w:tcPr>
          <w:p w14:paraId="02FFACCC" w14:textId="147FCA67" w:rsidR="001C2FC2" w:rsidRPr="001C2FC2" w:rsidRDefault="001C2FC2" w:rsidP="001C2FC2">
            <w:pPr>
              <w:spacing w:after="160"/>
              <w:cnfStyle w:val="000000000000" w:firstRow="0" w:lastRow="0" w:firstColumn="0" w:lastColumn="0" w:oddVBand="0" w:evenVBand="0" w:oddHBand="0" w:evenHBand="0" w:firstRowFirstColumn="0" w:firstRowLastColumn="0" w:lastRowFirstColumn="0" w:lastRowLastColumn="0"/>
            </w:pPr>
            <w:r w:rsidRPr="001C2FC2">
              <w:t>Environmental concerns such as climate change and pollution increase pressure on automotive companies to reduce carbon emissions. Toyota addresses these issues by developing hybrid vehicles, hydrogen fuel technology and sustainable production processes to support environmental protection</w:t>
            </w:r>
            <w:r w:rsidR="00F03EC4">
              <w:t xml:space="preserve"> (</w:t>
            </w:r>
            <w:r w:rsidR="00F03EC4" w:rsidRPr="00F03EC4">
              <w:t>Mi</w:t>
            </w:r>
            <w:r w:rsidR="00F03EC4">
              <w:t xml:space="preserve"> </w:t>
            </w:r>
            <w:r w:rsidR="00F03EC4" w:rsidRPr="00F03EC4">
              <w:t>and Masrur,</w:t>
            </w:r>
            <w:r w:rsidR="00F03EC4">
              <w:t xml:space="preserve"> </w:t>
            </w:r>
            <w:r w:rsidR="00F03EC4" w:rsidRPr="00F03EC4">
              <w:t>2025</w:t>
            </w:r>
            <w:r w:rsidR="00F03EC4">
              <w:t>)</w:t>
            </w:r>
            <w:r w:rsidRPr="001C2FC2">
              <w:t>.</w:t>
            </w:r>
          </w:p>
        </w:tc>
      </w:tr>
    </w:tbl>
    <w:p w14:paraId="20BC23B5" w14:textId="63200BE1" w:rsidR="00217A93" w:rsidRPr="00217A93" w:rsidRDefault="00217A93" w:rsidP="00217A93"/>
    <w:p w14:paraId="6CB2A534" w14:textId="73D8045E" w:rsidR="00217A93" w:rsidRPr="00217A93" w:rsidRDefault="00217A93" w:rsidP="00217A93">
      <w:pPr>
        <w:rPr>
          <w:b/>
          <w:bCs/>
        </w:rPr>
      </w:pPr>
      <w:r w:rsidRPr="00217A93">
        <w:rPr>
          <w:b/>
          <w:bCs/>
        </w:rPr>
        <w:t>Porter’s Five Forces Analysis</w:t>
      </w:r>
    </w:p>
    <w:p w14:paraId="41274509" w14:textId="73AC9ED6" w:rsidR="008C6ACB" w:rsidRDefault="008C689B" w:rsidP="008C6ACB">
      <w:r>
        <w:t>Porter's</w:t>
      </w:r>
      <w:r w:rsidR="008C6ACB">
        <w:t xml:space="preserve"> five </w:t>
      </w:r>
      <w:r w:rsidR="001C2FC2">
        <w:t>forces</w:t>
      </w:r>
      <w:r w:rsidR="008C6ACB">
        <w:t xml:space="preserve"> model assists in assessing the competitive scenario in the automotive industry. The entry threat is not very high as the production of automobiles needs huge capital investments, technological skills and brand recognition</w:t>
      </w:r>
      <w:r w:rsidR="00F03EC4">
        <w:t xml:space="preserve"> (</w:t>
      </w:r>
      <w:r w:rsidR="00F03EC4" w:rsidRPr="00F03EC4">
        <w:t>Geng,</w:t>
      </w:r>
      <w:r w:rsidR="00F03EC4">
        <w:t xml:space="preserve"> </w:t>
      </w:r>
      <w:r w:rsidR="00F03EC4" w:rsidRPr="00F03EC4">
        <w:t>2025</w:t>
      </w:r>
      <w:r w:rsidR="00F03EC4">
        <w:t>)</w:t>
      </w:r>
      <w:r w:rsidR="008C6ACB">
        <w:t>. These barriers are very high</w:t>
      </w:r>
      <w:r w:rsidR="001C2FC2">
        <w:t>,</w:t>
      </w:r>
      <w:r w:rsidR="008C6ACB">
        <w:t xml:space="preserve"> and new firms can hardly penetrate the market.</w:t>
      </w:r>
      <w:r w:rsidR="00FA3633">
        <w:t xml:space="preserve"> </w:t>
      </w:r>
      <w:r w:rsidR="008C6ACB">
        <w:t>Supplier bargaining power is moderate in nature since the automotive industry requires specialised products like batteries, semiconductors and advanced electronics. The scarcity of suppliers of these essential components has the potential of impacting on the costs of production and stability of the supply chain.</w:t>
      </w:r>
    </w:p>
    <w:p w14:paraId="3D7A8D9C" w14:textId="4B7C34C8" w:rsidR="008C6ACB" w:rsidRDefault="001C2FC2" w:rsidP="008C6ACB">
      <w:r>
        <w:t>The bargaining</w:t>
      </w:r>
      <w:r w:rsidR="008C6ACB">
        <w:t xml:space="preserve"> power of buyers is also quite high</w:t>
      </w:r>
      <w:r>
        <w:t>,</w:t>
      </w:r>
      <w:r w:rsidR="008C6ACB">
        <w:t xml:space="preserve"> as there are numerous options </w:t>
      </w:r>
      <w:r w:rsidR="008C689B">
        <w:t>for</w:t>
      </w:r>
      <w:r w:rsidR="008C6ACB">
        <w:t xml:space="preserve"> consuming automotive brands competing with each other. Customers tend to compare prices, fuel consumption, safety and technological functions and decide to buy prior to making the purchase.</w:t>
      </w:r>
      <w:r w:rsidR="00FA3633">
        <w:t xml:space="preserve"> </w:t>
      </w:r>
      <w:r w:rsidR="008C6ACB">
        <w:t>Substitutes are threatened by other means of transportation</w:t>
      </w:r>
      <w:r>
        <w:t>,</w:t>
      </w:r>
      <w:r w:rsidR="008C6ACB">
        <w:t xml:space="preserve"> like the use of public transport, ride-hailing services and mobility platforms. Such substitutes can decrease the number of vehicles that people require to own in cities.</w:t>
      </w:r>
      <w:r>
        <w:t xml:space="preserve"> </w:t>
      </w:r>
      <w:r w:rsidR="008C6ACB">
        <w:t>Lastly, the level of competition in the automotive industry is very high. International companies like Tesla, Volkswagen, BMW and Ford are the stiffest competitors that offer pressure to other companies like Toyota to keep on innovating.</w:t>
      </w:r>
    </w:p>
    <w:p w14:paraId="219779E2" w14:textId="412C6E7A" w:rsidR="008C6ACB" w:rsidRDefault="008C6ACB" w:rsidP="008C6ACB">
      <w:pPr>
        <w:pStyle w:val="Heading2"/>
      </w:pPr>
      <w:bookmarkStart w:id="5" w:name="_Toc224163083"/>
      <w:r>
        <w:t>Internal Environment Audit</w:t>
      </w:r>
      <w:bookmarkEnd w:id="5"/>
    </w:p>
    <w:p w14:paraId="4B2B8F45" w14:textId="68110156" w:rsidR="008C6ACB" w:rsidRPr="008C6ACB" w:rsidRDefault="008C6ACB" w:rsidP="008C6ACB">
      <w:pPr>
        <w:rPr>
          <w:b/>
          <w:bCs/>
        </w:rPr>
      </w:pPr>
      <w:r w:rsidRPr="008C6ACB">
        <w:rPr>
          <w:b/>
          <w:bCs/>
        </w:rPr>
        <w:t>Value Chain Analysis</w:t>
      </w:r>
      <w:r w:rsidR="00952775">
        <w:rPr>
          <w:b/>
          <w:bCs/>
        </w:rPr>
        <w:t xml:space="preserve"> </w:t>
      </w:r>
    </w:p>
    <w:p w14:paraId="41B07665" w14:textId="6D5ED5B7" w:rsidR="008C6ACB" w:rsidRDefault="008C6ACB" w:rsidP="008C6ACB">
      <w:r>
        <w:lastRenderedPageBreak/>
        <w:t xml:space="preserve">Value Chain Analysis assists in determining the value creation process of Toyota in </w:t>
      </w:r>
      <w:r w:rsidR="001C2FC2">
        <w:t>its</w:t>
      </w:r>
      <w:r>
        <w:t xml:space="preserve"> operational processes. The inbound logistics of Toyota include good relations with suppliers and effective systems of inventory management</w:t>
      </w:r>
      <w:r w:rsidR="00F03EC4">
        <w:t xml:space="preserve"> (</w:t>
      </w:r>
      <w:r w:rsidR="00F03EC4" w:rsidRPr="00F03EC4">
        <w:t>Kumari</w:t>
      </w:r>
      <w:r w:rsidR="00F03EC4">
        <w:t xml:space="preserve"> </w:t>
      </w:r>
      <w:r w:rsidR="00F03EC4" w:rsidRPr="00F03EC4">
        <w:t>and Kumar,</w:t>
      </w:r>
      <w:r w:rsidR="00F03EC4">
        <w:t xml:space="preserve"> </w:t>
      </w:r>
      <w:r w:rsidR="00F03EC4" w:rsidRPr="00F03EC4">
        <w:t>2023</w:t>
      </w:r>
      <w:r w:rsidR="00F03EC4">
        <w:t>)</w:t>
      </w:r>
      <w:r w:rsidR="00F03EC4" w:rsidRPr="00F03EC4">
        <w:t xml:space="preserve">. </w:t>
      </w:r>
      <w:r>
        <w:t>The company operates the Just-in-Time system of production that minimises waste and enhances the efficiency of production. In its operations, Toyota has concentrated on quality manufacturing via the Toyota Production System</w:t>
      </w:r>
      <w:r w:rsidR="001C2FC2">
        <w:t>,</w:t>
      </w:r>
      <w:r>
        <w:t xml:space="preserve"> which is a famous system that concentrates on continuous improvement and efficiency.</w:t>
      </w:r>
      <w:r w:rsidR="00FA3633">
        <w:t xml:space="preserve"> </w:t>
      </w:r>
      <w:r>
        <w:t>The outbound logistics make sure that the Toyota vehicles are distributed effectively in the world markets via a wide network of distribution channels.</w:t>
      </w:r>
    </w:p>
    <w:p w14:paraId="29BAD403" w14:textId="20C8A016" w:rsidR="008C6ACB" w:rsidRPr="008C6ACB" w:rsidRDefault="001C2FC2" w:rsidP="008C6ACB">
      <w:pPr>
        <w:rPr>
          <w:b/>
          <w:bCs/>
        </w:rPr>
      </w:pPr>
      <w:r>
        <w:rPr>
          <w:b/>
          <w:bCs/>
        </w:rPr>
        <w:t>Resource-Based</w:t>
      </w:r>
      <w:r w:rsidR="008C6ACB" w:rsidRPr="008C6ACB">
        <w:rPr>
          <w:b/>
          <w:bCs/>
        </w:rPr>
        <w:t xml:space="preserve"> View (RBV)</w:t>
      </w:r>
    </w:p>
    <w:p w14:paraId="466A8D2B" w14:textId="18C10C80" w:rsidR="008C6ACB" w:rsidRDefault="001C2FC2" w:rsidP="008C6ACB">
      <w:r>
        <w:t>Resource-Based</w:t>
      </w:r>
      <w:r w:rsidR="008C6ACB">
        <w:t xml:space="preserve"> View stresses internal resources and capabilities that contribute to the attainment of a competitive advantage by organisations. Toyota has </w:t>
      </w:r>
      <w:r>
        <w:t>several</w:t>
      </w:r>
      <w:r w:rsidR="008C6ACB">
        <w:t xml:space="preserve"> valuable resources</w:t>
      </w:r>
      <w:r>
        <w:t>,</w:t>
      </w:r>
      <w:r w:rsidR="008C6ACB">
        <w:t xml:space="preserve"> such as </w:t>
      </w:r>
      <w:r>
        <w:t xml:space="preserve">a </w:t>
      </w:r>
      <w:r w:rsidR="008C6ACB">
        <w:t>good brand name, technological competence and effective production. The vast research and development capabilities enable the company to be innovative at all times in matters like hybrid technology and sustainable mobility.</w:t>
      </w:r>
      <w:r w:rsidR="00FA3633">
        <w:t xml:space="preserve"> </w:t>
      </w:r>
      <w:r w:rsidR="008C6ACB">
        <w:t xml:space="preserve">Also, Toyota employs a </w:t>
      </w:r>
      <w:r>
        <w:t>well-qualified</w:t>
      </w:r>
      <w:r w:rsidR="008C6ACB">
        <w:t xml:space="preserve"> human resource and an effective organisational culture that aims at enhancing quality and efficiency in its operations.</w:t>
      </w:r>
    </w:p>
    <w:p w14:paraId="00B67EC5" w14:textId="4BB21DD2" w:rsidR="008C6ACB" w:rsidRPr="008C6ACB" w:rsidRDefault="008C6ACB" w:rsidP="008C6ACB">
      <w:pPr>
        <w:rPr>
          <w:b/>
          <w:bCs/>
        </w:rPr>
      </w:pPr>
      <w:r w:rsidRPr="008C6ACB">
        <w:rPr>
          <w:b/>
          <w:bCs/>
        </w:rPr>
        <w:t>VRIO Framework</w:t>
      </w:r>
    </w:p>
    <w:p w14:paraId="695F1AF4" w14:textId="7E8BBF4F" w:rsidR="00217A93" w:rsidRPr="00217A93" w:rsidRDefault="008C6ACB" w:rsidP="008C6ACB">
      <w:r>
        <w:t xml:space="preserve">The VRIO framework assesses the ability of </w:t>
      </w:r>
      <w:r w:rsidR="001C2FC2">
        <w:t>the company's resources</w:t>
      </w:r>
      <w:r>
        <w:t xml:space="preserve"> to bring sustained competitive advantage. </w:t>
      </w:r>
      <w:r w:rsidR="001C2FC2">
        <w:t>Toyota's hybrid technology is worthy as it offers</w:t>
      </w:r>
      <w:r>
        <w:t xml:space="preserve"> fuel efficiency and environmental sustainability. This technology is not </w:t>
      </w:r>
      <w:r w:rsidR="001C2FC2">
        <w:t>yet</w:t>
      </w:r>
      <w:r>
        <w:t xml:space="preserve"> common, as other competitors have not attained such efficiency in technology</w:t>
      </w:r>
      <w:r w:rsidR="00F03EC4">
        <w:t xml:space="preserve"> (</w:t>
      </w:r>
      <w:r w:rsidR="00F03EC4" w:rsidRPr="00F03EC4">
        <w:t>Gibrilla,</w:t>
      </w:r>
      <w:r w:rsidR="00F03EC4">
        <w:t xml:space="preserve"> </w:t>
      </w:r>
      <w:r w:rsidR="00F03EC4" w:rsidRPr="00F03EC4">
        <w:t>2023</w:t>
      </w:r>
      <w:r w:rsidR="00F03EC4">
        <w:t>)</w:t>
      </w:r>
      <w:r w:rsidR="00F03EC4" w:rsidRPr="00F03EC4">
        <w:t>. </w:t>
      </w:r>
      <w:r>
        <w:t xml:space="preserve">The imitation is also not easy because Toyota has invested in long-term research and specialised in engineering. Moreover, Toyota is highly structured to be able to exploit these resources </w:t>
      </w:r>
      <w:r w:rsidR="001C2FC2">
        <w:t>through</w:t>
      </w:r>
      <w:r>
        <w:t xml:space="preserve"> effective management systems and production lines. Consequently, </w:t>
      </w:r>
      <w:r w:rsidR="001C2FC2">
        <w:t>Toyota's</w:t>
      </w:r>
      <w:r>
        <w:t xml:space="preserve"> technological strengths and manufacturing skill base </w:t>
      </w:r>
      <w:r w:rsidR="001C2FC2">
        <w:t>give</w:t>
      </w:r>
      <w:r>
        <w:t xml:space="preserve"> the firm </w:t>
      </w:r>
      <w:r w:rsidR="001C2FC2">
        <w:t xml:space="preserve">a </w:t>
      </w:r>
      <w:r>
        <w:t>sustainable competitive advantage in the automobile market</w:t>
      </w:r>
      <w:r w:rsidR="00217A93" w:rsidRPr="00217A93">
        <w:t>.</w:t>
      </w:r>
    </w:p>
    <w:p w14:paraId="009A00C0" w14:textId="0B2ED31D" w:rsidR="00217A93" w:rsidRPr="00217A93" w:rsidRDefault="00217A93" w:rsidP="008C6ACB">
      <w:pPr>
        <w:pStyle w:val="Heading2"/>
      </w:pPr>
      <w:bookmarkStart w:id="6" w:name="_Toc224163084"/>
      <w:r w:rsidRPr="00217A93">
        <w:t>SWOT Analysis</w:t>
      </w:r>
      <w:bookmarkEnd w:id="6"/>
    </w:p>
    <w:tbl>
      <w:tblPr>
        <w:tblStyle w:val="GridTable5Dark-Accent1"/>
        <w:tblW w:w="0" w:type="auto"/>
        <w:tblLook w:val="04A0" w:firstRow="1" w:lastRow="0" w:firstColumn="1" w:lastColumn="0" w:noHBand="0" w:noVBand="1"/>
      </w:tblPr>
      <w:tblGrid>
        <w:gridCol w:w="1657"/>
        <w:gridCol w:w="7359"/>
      </w:tblGrid>
      <w:tr w:rsidR="00217A93" w:rsidRPr="00217A93" w14:paraId="47174FA5" w14:textId="77777777" w:rsidTr="00FA36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1B6DC3" w14:textId="77777777" w:rsidR="00217A93" w:rsidRPr="00217A93" w:rsidRDefault="00217A93" w:rsidP="00217A93">
            <w:pPr>
              <w:spacing w:after="160"/>
            </w:pPr>
            <w:r w:rsidRPr="00217A93">
              <w:t>Factor</w:t>
            </w:r>
          </w:p>
        </w:tc>
        <w:tc>
          <w:tcPr>
            <w:tcW w:w="0" w:type="auto"/>
            <w:hideMark/>
          </w:tcPr>
          <w:p w14:paraId="4A4EAB88" w14:textId="77777777" w:rsidR="00217A93" w:rsidRPr="00217A93" w:rsidRDefault="00217A93" w:rsidP="00217A93">
            <w:pPr>
              <w:spacing w:after="160"/>
              <w:cnfStyle w:val="100000000000" w:firstRow="1" w:lastRow="0" w:firstColumn="0" w:lastColumn="0" w:oddVBand="0" w:evenVBand="0" w:oddHBand="0" w:evenHBand="0" w:firstRowFirstColumn="0" w:firstRowLastColumn="0" w:lastRowFirstColumn="0" w:lastRowLastColumn="0"/>
            </w:pPr>
            <w:r w:rsidRPr="00217A93">
              <w:t>Analysis</w:t>
            </w:r>
          </w:p>
        </w:tc>
      </w:tr>
      <w:tr w:rsidR="00217A93" w:rsidRPr="00217A93" w14:paraId="043EAD33" w14:textId="77777777" w:rsidTr="00FA36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5736D2" w14:textId="77777777" w:rsidR="00217A93" w:rsidRPr="00217A93" w:rsidRDefault="00217A93" w:rsidP="00217A93">
            <w:pPr>
              <w:spacing w:after="160"/>
            </w:pPr>
            <w:r w:rsidRPr="00217A93">
              <w:t>Strengths</w:t>
            </w:r>
          </w:p>
        </w:tc>
        <w:tc>
          <w:tcPr>
            <w:tcW w:w="0" w:type="auto"/>
            <w:hideMark/>
          </w:tcPr>
          <w:p w14:paraId="00DEF3E1" w14:textId="4C4F9B68" w:rsidR="00217A93" w:rsidRPr="00217A93" w:rsidRDefault="00217A93" w:rsidP="00217A93">
            <w:pPr>
              <w:spacing w:after="160"/>
              <w:cnfStyle w:val="000000100000" w:firstRow="0" w:lastRow="0" w:firstColumn="0" w:lastColumn="0" w:oddVBand="0" w:evenVBand="0" w:oddHBand="1" w:evenHBand="0" w:firstRowFirstColumn="0" w:firstRowLastColumn="0" w:lastRowFirstColumn="0" w:lastRowLastColumn="0"/>
            </w:pPr>
            <w:r w:rsidRPr="00217A93">
              <w:t xml:space="preserve">Toyota possesses strong competitive advantages that support its global success. The company has a strong brand reputation for reliability, </w:t>
            </w:r>
            <w:r w:rsidRPr="00217A93">
              <w:lastRenderedPageBreak/>
              <w:t xml:space="preserve">innovation and product quality. Toyota is a leader in hybrid vehicle technology and has developed advanced fuel-efficient vehicles that appeal to environmentally conscious consumers. The company also benefits from an efficient manufacturing system known as the Toyota Production System, which improves productivity and reduces operational costs. </w:t>
            </w:r>
          </w:p>
        </w:tc>
      </w:tr>
      <w:tr w:rsidR="00217A93" w:rsidRPr="00217A93" w14:paraId="02B6BF46" w14:textId="77777777" w:rsidTr="00FA3633">
        <w:tc>
          <w:tcPr>
            <w:cnfStyle w:val="001000000000" w:firstRow="0" w:lastRow="0" w:firstColumn="1" w:lastColumn="0" w:oddVBand="0" w:evenVBand="0" w:oddHBand="0" w:evenHBand="0" w:firstRowFirstColumn="0" w:firstRowLastColumn="0" w:lastRowFirstColumn="0" w:lastRowLastColumn="0"/>
            <w:tcW w:w="0" w:type="auto"/>
            <w:hideMark/>
          </w:tcPr>
          <w:p w14:paraId="73872251" w14:textId="77777777" w:rsidR="00217A93" w:rsidRPr="00217A93" w:rsidRDefault="00217A93" w:rsidP="00217A93">
            <w:pPr>
              <w:spacing w:after="160"/>
            </w:pPr>
            <w:r w:rsidRPr="00217A93">
              <w:lastRenderedPageBreak/>
              <w:t>Weaknesses</w:t>
            </w:r>
          </w:p>
        </w:tc>
        <w:tc>
          <w:tcPr>
            <w:tcW w:w="0" w:type="auto"/>
            <w:hideMark/>
          </w:tcPr>
          <w:p w14:paraId="223C69E2" w14:textId="3284BB3C" w:rsidR="00217A93" w:rsidRPr="00217A93" w:rsidRDefault="00217A93" w:rsidP="00217A93">
            <w:pPr>
              <w:spacing w:after="160"/>
              <w:cnfStyle w:val="000000000000" w:firstRow="0" w:lastRow="0" w:firstColumn="0" w:lastColumn="0" w:oddVBand="0" w:evenVBand="0" w:oddHBand="0" w:evenHBand="0" w:firstRowFirstColumn="0" w:firstRowLastColumn="0" w:lastRowFirstColumn="0" w:lastRowLastColumn="0"/>
            </w:pPr>
            <w:r w:rsidRPr="00217A93">
              <w:t>Despite its strengths, Toyota faces several internal weaknesses that may affect its competitiveness</w:t>
            </w:r>
            <w:r w:rsidR="00F03EC4">
              <w:t xml:space="preserve"> (</w:t>
            </w:r>
            <w:r w:rsidR="00F03EC4" w:rsidRPr="00F03EC4">
              <w:t>Hajiakbar</w:t>
            </w:r>
            <w:r w:rsidR="00F03EC4">
              <w:t xml:space="preserve"> </w:t>
            </w:r>
            <w:r w:rsidR="00F03EC4" w:rsidRPr="00F03EC4">
              <w:t>and Tokhmpash Norouzi,</w:t>
            </w:r>
            <w:r w:rsidR="00F03EC4">
              <w:t xml:space="preserve"> </w:t>
            </w:r>
            <w:r w:rsidR="00F03EC4" w:rsidRPr="00F03EC4">
              <w:t>2021</w:t>
            </w:r>
            <w:r w:rsidR="00F03EC4">
              <w:t>)</w:t>
            </w:r>
            <w:r w:rsidRPr="00217A93">
              <w:t>. The company has been slower in adopting fully electric vehicle technology compared to some competitors</w:t>
            </w:r>
            <w:r w:rsidR="001C2FC2">
              <w:t>,</w:t>
            </w:r>
            <w:r w:rsidRPr="00217A93">
              <w:t xml:space="preserve"> such as Tesla. Toyota’s large organisational structure can also make decision-making slower and reduce flexibility in responding to rapid technological changes.</w:t>
            </w:r>
          </w:p>
        </w:tc>
      </w:tr>
      <w:tr w:rsidR="00217A93" w:rsidRPr="00217A93" w14:paraId="0CF2DB05" w14:textId="77777777" w:rsidTr="00FA36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D48E70" w14:textId="77777777" w:rsidR="00217A93" w:rsidRPr="00217A93" w:rsidRDefault="00217A93" w:rsidP="00217A93">
            <w:pPr>
              <w:spacing w:after="160"/>
            </w:pPr>
            <w:r w:rsidRPr="00217A93">
              <w:t>Opportunities</w:t>
            </w:r>
          </w:p>
        </w:tc>
        <w:tc>
          <w:tcPr>
            <w:tcW w:w="0" w:type="auto"/>
            <w:hideMark/>
          </w:tcPr>
          <w:p w14:paraId="70692665" w14:textId="40034501" w:rsidR="00217A93" w:rsidRPr="00217A93" w:rsidRDefault="00217A93" w:rsidP="00217A93">
            <w:pPr>
              <w:spacing w:after="160"/>
              <w:cnfStyle w:val="000000100000" w:firstRow="0" w:lastRow="0" w:firstColumn="0" w:lastColumn="0" w:oddVBand="0" w:evenVBand="0" w:oddHBand="1" w:evenHBand="0" w:firstRowFirstColumn="0" w:firstRowLastColumn="0" w:lastRowFirstColumn="0" w:lastRowLastColumn="0"/>
            </w:pPr>
            <w:r w:rsidRPr="00217A93">
              <w:t xml:space="preserve">The global transition towards sustainable transportation presents significant opportunities for Toyota. Increasing demand for electric and hybrid vehicles allows the company to expand its environmentally friendly product portfolio. Technological advancements in artificial intelligence, autonomous driving and connected vehicles also create opportunities for Toyota to develop innovative mobility solutions. </w:t>
            </w:r>
          </w:p>
        </w:tc>
      </w:tr>
      <w:tr w:rsidR="00217A93" w:rsidRPr="00217A93" w14:paraId="5718C6C1" w14:textId="77777777" w:rsidTr="00FA3633">
        <w:tc>
          <w:tcPr>
            <w:cnfStyle w:val="001000000000" w:firstRow="0" w:lastRow="0" w:firstColumn="1" w:lastColumn="0" w:oddVBand="0" w:evenVBand="0" w:oddHBand="0" w:evenHBand="0" w:firstRowFirstColumn="0" w:firstRowLastColumn="0" w:lastRowFirstColumn="0" w:lastRowLastColumn="0"/>
            <w:tcW w:w="0" w:type="auto"/>
            <w:hideMark/>
          </w:tcPr>
          <w:p w14:paraId="5BC8F8B3" w14:textId="77777777" w:rsidR="00217A93" w:rsidRPr="00217A93" w:rsidRDefault="00217A93" w:rsidP="00217A93">
            <w:pPr>
              <w:spacing w:after="160"/>
            </w:pPr>
            <w:r w:rsidRPr="00217A93">
              <w:t>Threats</w:t>
            </w:r>
          </w:p>
        </w:tc>
        <w:tc>
          <w:tcPr>
            <w:tcW w:w="0" w:type="auto"/>
            <w:hideMark/>
          </w:tcPr>
          <w:p w14:paraId="47F9D979" w14:textId="60274E6C" w:rsidR="00217A93" w:rsidRPr="00217A93" w:rsidRDefault="00217A93" w:rsidP="00217A93">
            <w:pPr>
              <w:spacing w:after="160"/>
              <w:cnfStyle w:val="000000000000" w:firstRow="0" w:lastRow="0" w:firstColumn="0" w:lastColumn="0" w:oddVBand="0" w:evenVBand="0" w:oddHBand="0" w:evenHBand="0" w:firstRowFirstColumn="0" w:firstRowLastColumn="0" w:lastRowFirstColumn="0" w:lastRowLastColumn="0"/>
            </w:pPr>
            <w:r w:rsidRPr="00217A93">
              <w:t>Toyota faces several external threats that may impact its long-term growth. The automotive industry is highly competitive</w:t>
            </w:r>
            <w:r w:rsidR="001C2FC2">
              <w:t>,</w:t>
            </w:r>
            <w:r w:rsidRPr="00217A93">
              <w:t xml:space="preserve"> with companies such as Tesla, Volkswagen and BMW investing heavily in electric vehicle technology. Supply chain disruptions, including semiconductor shortages, can affect production and delivery timelines. Strict environmental regulations and government policies also require continuous investment in sustainable technologies</w:t>
            </w:r>
            <w:r w:rsidR="007B51BA">
              <w:t xml:space="preserve"> (</w:t>
            </w:r>
            <w:r w:rsidR="007B51BA" w:rsidRPr="007B51BA">
              <w:t>Hong,</w:t>
            </w:r>
            <w:r w:rsidR="007B51BA">
              <w:t xml:space="preserve"> </w:t>
            </w:r>
            <w:r w:rsidR="007B51BA" w:rsidRPr="007B51BA">
              <w:t>2024</w:t>
            </w:r>
            <w:r w:rsidR="007B51BA">
              <w:t>)</w:t>
            </w:r>
            <w:r w:rsidR="007B51BA" w:rsidRPr="007B51BA">
              <w:t xml:space="preserve">. </w:t>
            </w:r>
          </w:p>
        </w:tc>
      </w:tr>
    </w:tbl>
    <w:p w14:paraId="6762FDDA" w14:textId="77777777" w:rsidR="00FA3633" w:rsidRDefault="00FA3633" w:rsidP="002F65BC"/>
    <w:p w14:paraId="07E5BC62" w14:textId="2C9B92FF" w:rsidR="00217A93" w:rsidRPr="00217A93" w:rsidRDefault="00217A93" w:rsidP="00FA3633">
      <w:pPr>
        <w:pStyle w:val="Heading1"/>
      </w:pPr>
      <w:bookmarkStart w:id="7" w:name="_Toc224163085"/>
      <w:r w:rsidRPr="00217A93">
        <w:t>Strategy Formulation</w:t>
      </w:r>
      <w:bookmarkEnd w:id="7"/>
    </w:p>
    <w:p w14:paraId="1378B107" w14:textId="77777777" w:rsidR="00217A93" w:rsidRPr="00FA3633" w:rsidRDefault="00217A93" w:rsidP="00217A93">
      <w:pPr>
        <w:rPr>
          <w:b/>
          <w:bCs/>
        </w:rPr>
      </w:pPr>
      <w:r w:rsidRPr="00FA3633">
        <w:rPr>
          <w:b/>
          <w:bCs/>
        </w:rPr>
        <w:t>Expansion of Electric Vehicle Portfolio</w:t>
      </w:r>
    </w:p>
    <w:p w14:paraId="601C1D1D" w14:textId="7856EC20" w:rsidR="008C6ACB" w:rsidRDefault="008C6ACB" w:rsidP="008C6ACB">
      <w:r>
        <w:t xml:space="preserve">Toyota needs to consider the growth of its electric </w:t>
      </w:r>
      <w:r w:rsidR="001C2FC2">
        <w:t>vehicle</w:t>
      </w:r>
      <w:r>
        <w:t xml:space="preserve"> (EV) lineup to enhance its market presence in the world. The growing demand </w:t>
      </w:r>
      <w:r w:rsidR="001C2FC2">
        <w:t>for</w:t>
      </w:r>
      <w:r>
        <w:t xml:space="preserve"> environmentally friendly transport and the strict rules of nature demand that the automotive companies switch to electric mobility. Even though Toyota has thrived in hybrid technology, the increased production of fully electric </w:t>
      </w:r>
      <w:r>
        <w:lastRenderedPageBreak/>
        <w:t>vehicles will assist the company in keeping up with the competition of other workforces like Tesla and Volkswagen. Toyota will be able to focus more on battery development, enhance vehicle range and launch low-cost EVs to various market segments.</w:t>
      </w:r>
    </w:p>
    <w:p w14:paraId="3195CBA3" w14:textId="0022A359" w:rsidR="008C6ACB" w:rsidRPr="00FA3633" w:rsidRDefault="008C6ACB" w:rsidP="008C6ACB">
      <w:pPr>
        <w:rPr>
          <w:b/>
          <w:bCs/>
        </w:rPr>
      </w:pPr>
      <w:r w:rsidRPr="00FA3633">
        <w:rPr>
          <w:b/>
          <w:bCs/>
        </w:rPr>
        <w:t>Enhancing Technological Innovation and Research</w:t>
      </w:r>
    </w:p>
    <w:p w14:paraId="244133C4" w14:textId="59DCDB8F" w:rsidR="00FA3633" w:rsidRDefault="008C6ACB" w:rsidP="008C6ACB">
      <w:r>
        <w:t xml:space="preserve">The automotive industry requires Toyota to stay </w:t>
      </w:r>
      <w:r w:rsidR="008C689B">
        <w:t>at</w:t>
      </w:r>
      <w:r>
        <w:t xml:space="preserve"> the top of the competition through continuous technological innovation. The company needs to invest more in research and development to support other technologies like autonomous driving technology, artificial intelligence, and connected vehicle technology</w:t>
      </w:r>
      <w:r w:rsidR="00F03EC4">
        <w:t xml:space="preserve"> (</w:t>
      </w:r>
      <w:r w:rsidR="00F03EC4" w:rsidRPr="00F03EC4">
        <w:t>Okanga,</w:t>
      </w:r>
      <w:r w:rsidR="00F03EC4">
        <w:t xml:space="preserve"> </w:t>
      </w:r>
      <w:r w:rsidR="00F03EC4" w:rsidRPr="00F03EC4">
        <w:t>2022</w:t>
      </w:r>
      <w:r w:rsidR="00F03EC4">
        <w:t>)</w:t>
      </w:r>
      <w:r w:rsidR="00F03EC4" w:rsidRPr="00F03EC4">
        <w:t xml:space="preserve">. </w:t>
      </w:r>
      <w:r>
        <w:t xml:space="preserve">The technologies are gaining more and more significance because the customers now want to have safer, smarter and more technologically developed cars. Toyota </w:t>
      </w:r>
      <w:r w:rsidR="008C689B">
        <w:t>can</w:t>
      </w:r>
      <w:r>
        <w:t xml:space="preserve"> partner with technology companies and research centres in order to hasten innovation and cost-sharing development. Toyota can also promote the development of digital services (such as vehicle connectivity, the use of data analytics and smart mobility solutions) by joining the partnership with software companies. </w:t>
      </w:r>
    </w:p>
    <w:p w14:paraId="760A4D85" w14:textId="7C109C18" w:rsidR="008C6ACB" w:rsidRPr="00FA3633" w:rsidRDefault="008C6ACB" w:rsidP="008C6ACB">
      <w:pPr>
        <w:rPr>
          <w:b/>
          <w:bCs/>
        </w:rPr>
      </w:pPr>
      <w:r w:rsidRPr="00FA3633">
        <w:rPr>
          <w:b/>
          <w:bCs/>
        </w:rPr>
        <w:t>Diversification to Emerging Markets</w:t>
      </w:r>
    </w:p>
    <w:p w14:paraId="044CE07B" w14:textId="1003219B" w:rsidR="008C6ACB" w:rsidRDefault="008C6ACB" w:rsidP="008C6ACB">
      <w:r>
        <w:t xml:space="preserve">Diversifying into the emerging markets can offer Toyota massive growth potential and a better market share across the world. A significant number of the developing economies are recording an improvement in the levels of income, urbanisation and growing demand </w:t>
      </w:r>
      <w:r w:rsidR="008C689B">
        <w:t>for</w:t>
      </w:r>
      <w:r>
        <w:t xml:space="preserve"> cheap means of transport. Toyota can also focus on markets in regions like </w:t>
      </w:r>
      <w:r w:rsidR="008C689B">
        <w:t>Southeast</w:t>
      </w:r>
      <w:r>
        <w:t xml:space="preserve"> Asia, Africa and Latin America</w:t>
      </w:r>
      <w:r w:rsidR="008C689B">
        <w:t>,</w:t>
      </w:r>
      <w:r>
        <w:t xml:space="preserve"> where there is an increasing rate in vehicle ownership</w:t>
      </w:r>
      <w:r w:rsidR="007B51BA">
        <w:t xml:space="preserve"> (</w:t>
      </w:r>
      <w:r w:rsidR="002F65BC" w:rsidRPr="002F65BC">
        <w:t>Wuttke, Perez-Almansi, and Techakanont, 2026</w:t>
      </w:r>
      <w:r w:rsidR="007B51BA">
        <w:t>)</w:t>
      </w:r>
      <w:r w:rsidR="007B51BA" w:rsidRPr="007B51BA">
        <w:t>.</w:t>
      </w:r>
      <w:r>
        <w:t xml:space="preserve"> By bringing in low-priced and </w:t>
      </w:r>
      <w:r w:rsidR="008C689B">
        <w:t>fuel-efficient</w:t>
      </w:r>
      <w:r>
        <w:t xml:space="preserve"> cars in the specific markets, Toyota will be able to reach out to more customers. These regions can also be improved with local manufacturing plants that will assist in cutting the cost of production, as well as in the efficiency of the supply chain. </w:t>
      </w:r>
      <w:r w:rsidR="00D71801" w:rsidRPr="00D71801">
        <w:t xml:space="preserve">OICA statistics also show that global vehicle sales reached approximately </w:t>
      </w:r>
      <w:r w:rsidR="00D71801" w:rsidRPr="00D71801">
        <w:rPr>
          <w:b/>
          <w:bCs/>
        </w:rPr>
        <w:t>95 million units in 2024</w:t>
      </w:r>
      <w:r w:rsidR="00D71801" w:rsidRPr="00D71801">
        <w:t>, reflecting continued growth in the global automotive market</w:t>
      </w:r>
      <w:r w:rsidR="00D71801">
        <w:t xml:space="preserve"> (</w:t>
      </w:r>
      <w:r w:rsidR="00D71801" w:rsidRPr="00D71801">
        <w:t>Institute of Chartered Accountants in England and Wales</w:t>
      </w:r>
      <w:r w:rsidR="00D71801">
        <w:t xml:space="preserve">, </w:t>
      </w:r>
      <w:r w:rsidR="00D71801" w:rsidRPr="00D71801">
        <w:t>2025)</w:t>
      </w:r>
      <w:r w:rsidR="00D71801">
        <w:t>.</w:t>
      </w:r>
    </w:p>
    <w:p w14:paraId="144C7739" w14:textId="0FBE10F2" w:rsidR="008C6ACB" w:rsidRPr="00FA3633" w:rsidRDefault="008C6ACB" w:rsidP="008C6ACB">
      <w:pPr>
        <w:rPr>
          <w:b/>
          <w:bCs/>
        </w:rPr>
      </w:pPr>
      <w:r w:rsidRPr="00FA3633">
        <w:rPr>
          <w:b/>
          <w:bCs/>
        </w:rPr>
        <w:t xml:space="preserve">Improving Sustainable </w:t>
      </w:r>
      <w:r w:rsidR="008C689B">
        <w:rPr>
          <w:b/>
          <w:bCs/>
        </w:rPr>
        <w:t>Manufacturing</w:t>
      </w:r>
      <w:r w:rsidRPr="00FA3633">
        <w:rPr>
          <w:b/>
          <w:bCs/>
        </w:rPr>
        <w:t xml:space="preserve"> Practices</w:t>
      </w:r>
    </w:p>
    <w:p w14:paraId="54868372" w14:textId="2AEAD508" w:rsidR="008C6ACB" w:rsidRDefault="008C6ACB" w:rsidP="008C6ACB">
      <w:r>
        <w:t>Toyota ought to keep on enhancing sustainable manufacturing techniques in the company</w:t>
      </w:r>
      <w:r w:rsidR="008C689B">
        <w:t>,</w:t>
      </w:r>
      <w:r>
        <w:t xml:space="preserve"> as it promotes environmental accountability and sustainability in the business over time. The motor industry is under mounting pressure to lower </w:t>
      </w:r>
      <w:r w:rsidR="008C689B">
        <w:t>its</w:t>
      </w:r>
      <w:r>
        <w:t xml:space="preserve"> environmental impact and use </w:t>
      </w:r>
      <w:r w:rsidR="008C689B">
        <w:t>environmentally</w:t>
      </w:r>
      <w:r>
        <w:t xml:space="preserve"> friendly production processes</w:t>
      </w:r>
      <w:r w:rsidR="007B51BA">
        <w:t xml:space="preserve"> (</w:t>
      </w:r>
      <w:r w:rsidR="007B51BA" w:rsidRPr="007B51BA">
        <w:t>Palhau</w:t>
      </w:r>
      <w:r w:rsidR="007B51BA">
        <w:t xml:space="preserve"> et al</w:t>
      </w:r>
      <w:r w:rsidR="007B51BA" w:rsidRPr="007B51BA">
        <w:t>., 2024</w:t>
      </w:r>
      <w:r w:rsidR="007B51BA">
        <w:t>)</w:t>
      </w:r>
      <w:r w:rsidR="007B51BA" w:rsidRPr="007B51BA">
        <w:t xml:space="preserve">. </w:t>
      </w:r>
      <w:r>
        <w:t xml:space="preserve">Toyota will be able to invest in renewable energy sources in its production facilities and introduce energy-saving production technologies. </w:t>
      </w:r>
      <w:r>
        <w:lastRenderedPageBreak/>
        <w:t xml:space="preserve">The company can also enhance </w:t>
      </w:r>
      <w:r w:rsidR="008C689B">
        <w:t xml:space="preserve">its </w:t>
      </w:r>
      <w:r>
        <w:t xml:space="preserve">sustainability strategy by reducing waste, enhancing </w:t>
      </w:r>
      <w:r w:rsidR="008C689B">
        <w:t xml:space="preserve">the </w:t>
      </w:r>
      <w:r>
        <w:t xml:space="preserve">recycling process and deploying sustainable materials in </w:t>
      </w:r>
      <w:r w:rsidR="008C689B">
        <w:t xml:space="preserve">the </w:t>
      </w:r>
      <w:r>
        <w:t>manufacture of vehicles. Moreover, Toyota can establish environmentally responsible supply chains by cooperating with the suppliers that adhere to sustainable practices. These programs not only decrease environmental effects</w:t>
      </w:r>
      <w:r w:rsidR="008C689B">
        <w:t>.</w:t>
      </w:r>
    </w:p>
    <w:p w14:paraId="4096B47C" w14:textId="77777777" w:rsidR="002F65BC" w:rsidRDefault="002F65BC">
      <w:pPr>
        <w:spacing w:line="259" w:lineRule="auto"/>
        <w:jc w:val="left"/>
        <w:rPr>
          <w:rFonts w:cs="Times New Roman"/>
          <w:b/>
          <w:bCs/>
          <w:color w:val="000000" w:themeColor="text1"/>
          <w:sz w:val="36"/>
        </w:rPr>
      </w:pPr>
      <w:r>
        <w:br w:type="page"/>
      </w:r>
    </w:p>
    <w:p w14:paraId="476DA007" w14:textId="1E65C080" w:rsidR="008C6ACB" w:rsidRDefault="008C6ACB" w:rsidP="00FA3633">
      <w:pPr>
        <w:pStyle w:val="Heading1"/>
      </w:pPr>
      <w:bookmarkStart w:id="8" w:name="_Toc224163086"/>
      <w:r>
        <w:lastRenderedPageBreak/>
        <w:t>Conclusion and Recommendations</w:t>
      </w:r>
      <w:bookmarkEnd w:id="8"/>
    </w:p>
    <w:p w14:paraId="650E3D4C" w14:textId="5D97094F" w:rsidR="008C6ACB" w:rsidRDefault="008C6ACB" w:rsidP="008C6ACB">
      <w:r>
        <w:t xml:space="preserve">Toyota Motor </w:t>
      </w:r>
      <w:r w:rsidR="008C689B">
        <w:t>Corporation's</w:t>
      </w:r>
      <w:r>
        <w:t xml:space="preserve"> strategic analysis shows that strategic management is central </w:t>
      </w:r>
      <w:r w:rsidR="008C689B">
        <w:t>to</w:t>
      </w:r>
      <w:r>
        <w:t xml:space="preserve"> the sustenance of competitiveness in the global automotive industry. Both the external environment analysis through PESTLE and </w:t>
      </w:r>
      <w:r w:rsidR="008C689B">
        <w:t>Porter's</w:t>
      </w:r>
      <w:r>
        <w:t xml:space="preserve"> five force shows that global competition, stringent environmental laws and technological development are some of the factors driving the industry. On the internal front, Toyota has strong capabilities such as </w:t>
      </w:r>
      <w:r w:rsidR="008C689B">
        <w:t xml:space="preserve">an </w:t>
      </w:r>
      <w:r>
        <w:t xml:space="preserve">efficient production system, </w:t>
      </w:r>
      <w:r w:rsidR="008C689B">
        <w:t xml:space="preserve">a </w:t>
      </w:r>
      <w:r>
        <w:t xml:space="preserve">good global brand reputation and high hybrid technology, which </w:t>
      </w:r>
      <w:r w:rsidR="008C689B">
        <w:t>offer</w:t>
      </w:r>
      <w:r>
        <w:t xml:space="preserve"> </w:t>
      </w:r>
      <w:r w:rsidR="008C689B">
        <w:t xml:space="preserve">a </w:t>
      </w:r>
      <w:r>
        <w:t xml:space="preserve">high competitive advantage. Nonetheless, some of the challenges that the company struggles with include the fast-evolving technologies, the rise in rivalry in the electric vehicles and </w:t>
      </w:r>
      <w:r w:rsidR="008C689B">
        <w:t xml:space="preserve">the </w:t>
      </w:r>
      <w:r>
        <w:t xml:space="preserve">disruption of </w:t>
      </w:r>
      <w:r w:rsidR="008C689B">
        <w:t xml:space="preserve">the </w:t>
      </w:r>
      <w:r>
        <w:t>supply chain. The SWOT analysis shows that Toyota has very good strengths and opportunities in sustainable mobility and innovation</w:t>
      </w:r>
      <w:r w:rsidR="008C689B">
        <w:t>;</w:t>
      </w:r>
      <w:r>
        <w:t xml:space="preserve"> however, it needs to react strategically to threats in the industry and changing consumer needs.</w:t>
      </w:r>
    </w:p>
    <w:p w14:paraId="6E52689E" w14:textId="77777777" w:rsidR="008C6ACB" w:rsidRPr="002F65BC" w:rsidRDefault="008C6ACB" w:rsidP="002F65BC">
      <w:pPr>
        <w:rPr>
          <w:b/>
          <w:bCs/>
        </w:rPr>
      </w:pPr>
      <w:r w:rsidRPr="002F65BC">
        <w:rPr>
          <w:b/>
          <w:bCs/>
        </w:rPr>
        <w:t>Recommendations</w:t>
      </w:r>
    </w:p>
    <w:p w14:paraId="76F0E311" w14:textId="24BF64C6" w:rsidR="008C6ACB" w:rsidRPr="00FA3633" w:rsidRDefault="008C6ACB" w:rsidP="00FA3633">
      <w:pPr>
        <w:pStyle w:val="ListParagraph"/>
        <w:numPr>
          <w:ilvl w:val="0"/>
          <w:numId w:val="1"/>
        </w:numPr>
        <w:rPr>
          <w:b/>
          <w:bCs/>
        </w:rPr>
      </w:pPr>
      <w:r w:rsidRPr="00FA3633">
        <w:rPr>
          <w:b/>
          <w:bCs/>
        </w:rPr>
        <w:t>Rapid Electric Vehicle Development</w:t>
      </w:r>
      <w:r w:rsidR="00FA3633" w:rsidRPr="00FA3633">
        <w:rPr>
          <w:b/>
          <w:bCs/>
        </w:rPr>
        <w:t xml:space="preserve">: </w:t>
      </w:r>
      <w:r>
        <w:t xml:space="preserve">To address the global need </w:t>
      </w:r>
      <w:r w:rsidR="008C689B">
        <w:t>for</w:t>
      </w:r>
      <w:r>
        <w:t xml:space="preserve"> green transportation and environmental safety, Toyota needs to invest more in electric vehicles and create more EVs to satisfy the demands of the global market</w:t>
      </w:r>
      <w:r w:rsidR="007B51BA">
        <w:t xml:space="preserve"> (</w:t>
      </w:r>
      <w:r w:rsidR="007B51BA" w:rsidRPr="007B51BA">
        <w:t>Korneev,</w:t>
      </w:r>
      <w:r w:rsidR="007B51BA">
        <w:t xml:space="preserve"> </w:t>
      </w:r>
      <w:r w:rsidR="007B51BA" w:rsidRPr="007B51BA">
        <w:t>Niu</w:t>
      </w:r>
      <w:r w:rsidR="007B51BA">
        <w:t xml:space="preserve"> </w:t>
      </w:r>
      <w:r w:rsidR="007B51BA" w:rsidRPr="007B51BA">
        <w:t>and Ibrahim,</w:t>
      </w:r>
      <w:r w:rsidR="007B51BA">
        <w:t xml:space="preserve"> </w:t>
      </w:r>
      <w:r w:rsidR="007B51BA" w:rsidRPr="007B51BA">
        <w:t>2024</w:t>
      </w:r>
      <w:r w:rsidR="007B51BA">
        <w:t>)</w:t>
      </w:r>
      <w:r>
        <w:t>.</w:t>
      </w:r>
    </w:p>
    <w:p w14:paraId="57310753" w14:textId="43D9F747" w:rsidR="008C6ACB" w:rsidRPr="00FA3633" w:rsidRDefault="008C6ACB" w:rsidP="00FA3633">
      <w:pPr>
        <w:pStyle w:val="ListParagraph"/>
        <w:numPr>
          <w:ilvl w:val="0"/>
          <w:numId w:val="1"/>
        </w:numPr>
        <w:rPr>
          <w:b/>
          <w:bCs/>
        </w:rPr>
      </w:pPr>
      <w:r w:rsidRPr="00FA3633">
        <w:rPr>
          <w:b/>
          <w:bCs/>
        </w:rPr>
        <w:t>Enhance Technological Innovation</w:t>
      </w:r>
      <w:r w:rsidR="00FA3633" w:rsidRPr="00FA3633">
        <w:rPr>
          <w:b/>
          <w:bCs/>
        </w:rPr>
        <w:t xml:space="preserve">: </w:t>
      </w:r>
      <w:r>
        <w:t>To keep up with the pace of technology, the company is advised to invest more in research and development</w:t>
      </w:r>
      <w:r w:rsidR="008C689B">
        <w:t>,</w:t>
      </w:r>
      <w:r>
        <w:t xml:space="preserve"> especially in autonomous driving, artificial intelligence and connected vehicle technologies.</w:t>
      </w:r>
    </w:p>
    <w:p w14:paraId="2589A490" w14:textId="77777777" w:rsidR="007B51BA" w:rsidRPr="007B51BA" w:rsidRDefault="008C6ACB" w:rsidP="00FA3633">
      <w:pPr>
        <w:pStyle w:val="ListParagraph"/>
        <w:numPr>
          <w:ilvl w:val="0"/>
          <w:numId w:val="1"/>
        </w:numPr>
        <w:rPr>
          <w:b/>
          <w:bCs/>
        </w:rPr>
      </w:pPr>
      <w:r w:rsidRPr="00FA3633">
        <w:rPr>
          <w:b/>
          <w:bCs/>
        </w:rPr>
        <w:t>Grow Operations in New Markets</w:t>
      </w:r>
      <w:r w:rsidR="00FA3633" w:rsidRPr="00FA3633">
        <w:rPr>
          <w:b/>
          <w:bCs/>
        </w:rPr>
        <w:t xml:space="preserve">: </w:t>
      </w:r>
      <w:r>
        <w:t xml:space="preserve">Toyota ought to expand its operations in the emerging markets </w:t>
      </w:r>
      <w:r w:rsidR="008C689B">
        <w:t>by</w:t>
      </w:r>
      <w:r>
        <w:t xml:space="preserve"> offering low-priced and </w:t>
      </w:r>
      <w:r w:rsidR="008C689B">
        <w:t>fuel-efficient</w:t>
      </w:r>
      <w:r>
        <w:t xml:space="preserve"> cars that satisfy the demands of the emerging middle-income buyers in the growing economies</w:t>
      </w:r>
      <w:r w:rsidR="007B51BA">
        <w:t xml:space="preserve"> (</w:t>
      </w:r>
      <w:r w:rsidR="007B51BA" w:rsidRPr="007B51BA">
        <w:t>Whitfield</w:t>
      </w:r>
      <w:r w:rsidR="007B51BA">
        <w:t xml:space="preserve"> </w:t>
      </w:r>
    </w:p>
    <w:p w14:paraId="1762E91C" w14:textId="33FDAAAE" w:rsidR="008C6ACB" w:rsidRPr="00FA3633" w:rsidRDefault="007B51BA" w:rsidP="00FA3633">
      <w:pPr>
        <w:pStyle w:val="ListParagraph"/>
        <w:numPr>
          <w:ilvl w:val="0"/>
          <w:numId w:val="1"/>
        </w:numPr>
        <w:rPr>
          <w:b/>
          <w:bCs/>
        </w:rPr>
      </w:pPr>
      <w:r w:rsidRPr="007B51BA">
        <w:t>and Wuttke,</w:t>
      </w:r>
      <w:r>
        <w:t xml:space="preserve"> </w:t>
      </w:r>
      <w:r w:rsidRPr="007B51BA">
        <w:t>2024</w:t>
      </w:r>
      <w:r>
        <w:t>)</w:t>
      </w:r>
      <w:r w:rsidR="008C6ACB">
        <w:t>.</w:t>
      </w:r>
    </w:p>
    <w:p w14:paraId="30DE88D6" w14:textId="53F89798" w:rsidR="00217A93" w:rsidRPr="001C2FC2" w:rsidRDefault="008C6ACB" w:rsidP="00FA3633">
      <w:pPr>
        <w:pStyle w:val="ListParagraph"/>
        <w:numPr>
          <w:ilvl w:val="0"/>
          <w:numId w:val="1"/>
        </w:numPr>
        <w:rPr>
          <w:b/>
          <w:bCs/>
        </w:rPr>
      </w:pPr>
      <w:r w:rsidRPr="00FA3633">
        <w:rPr>
          <w:b/>
          <w:bCs/>
        </w:rPr>
        <w:t>Improve the Sustainability of Manufacturing</w:t>
      </w:r>
      <w:r w:rsidR="00FA3633" w:rsidRPr="00FA3633">
        <w:rPr>
          <w:b/>
          <w:bCs/>
        </w:rPr>
        <w:t xml:space="preserve">: </w:t>
      </w:r>
      <w:r>
        <w:t xml:space="preserve">The corporation needs to go a notch higher by ensuring that manufacturing processes are environmentally friendly through the use of renewable energy sources, </w:t>
      </w:r>
      <w:r w:rsidR="008C689B">
        <w:t>minimising</w:t>
      </w:r>
      <w:r>
        <w:t xml:space="preserve"> emissions and sustainable supply chain management</w:t>
      </w:r>
      <w:r w:rsidR="00217A93" w:rsidRPr="00217A93">
        <w:t>.</w:t>
      </w:r>
    </w:p>
    <w:p w14:paraId="35C53310" w14:textId="77777777" w:rsidR="001C2FC2" w:rsidRDefault="001C2FC2" w:rsidP="001C2FC2">
      <w:pPr>
        <w:rPr>
          <w:b/>
          <w:bCs/>
        </w:rPr>
      </w:pPr>
    </w:p>
    <w:p w14:paraId="5CDBED2D" w14:textId="77777777" w:rsidR="001C2FC2" w:rsidRDefault="001C2FC2" w:rsidP="001C2FC2">
      <w:pPr>
        <w:rPr>
          <w:b/>
          <w:bCs/>
        </w:rPr>
      </w:pPr>
    </w:p>
    <w:p w14:paraId="76A70ABB" w14:textId="77777777" w:rsidR="001C2FC2" w:rsidRDefault="001C2FC2" w:rsidP="001C2FC2">
      <w:pPr>
        <w:rPr>
          <w:b/>
          <w:bCs/>
        </w:rPr>
      </w:pPr>
    </w:p>
    <w:p w14:paraId="798C6BC3" w14:textId="77777777" w:rsidR="007B51BA" w:rsidRDefault="007B51BA">
      <w:pPr>
        <w:spacing w:line="259" w:lineRule="auto"/>
        <w:jc w:val="left"/>
        <w:rPr>
          <w:rFonts w:cs="Times New Roman"/>
          <w:b/>
          <w:bCs/>
          <w:color w:val="000000" w:themeColor="text1"/>
          <w:sz w:val="36"/>
        </w:rPr>
      </w:pPr>
      <w:r>
        <w:lastRenderedPageBreak/>
        <w:br w:type="page"/>
      </w:r>
    </w:p>
    <w:p w14:paraId="02F18C00" w14:textId="5EF8601F" w:rsidR="001C2FC2" w:rsidRDefault="001C2FC2" w:rsidP="001C2FC2">
      <w:pPr>
        <w:pStyle w:val="Heading1"/>
      </w:pPr>
      <w:bookmarkStart w:id="9" w:name="_Toc224163087"/>
      <w:r>
        <w:lastRenderedPageBreak/>
        <w:t>References</w:t>
      </w:r>
      <w:bookmarkEnd w:id="9"/>
      <w:r>
        <w:t xml:space="preserve"> </w:t>
      </w:r>
    </w:p>
    <w:p w14:paraId="6E355976" w14:textId="5429B7E9" w:rsidR="00F905F9" w:rsidRDefault="00F905F9" w:rsidP="00D71801">
      <w:r w:rsidRPr="002A341D">
        <w:t xml:space="preserve">Al‐Swidi, A.K., Hair, J.F. and Al‐Hakimi, M.A. </w:t>
      </w:r>
      <w:r>
        <w:t>(</w:t>
      </w:r>
      <w:r w:rsidRPr="002A341D">
        <w:t>2023</w:t>
      </w:r>
      <w:r>
        <w:t>)</w:t>
      </w:r>
      <w:r w:rsidRPr="002A341D">
        <w:t>. Sustainable development‐oriented regulatory and competitive pressures to shift toward a circular economy: The role of environmental orientation and Industry 4.0 technologies. </w:t>
      </w:r>
      <w:r w:rsidRPr="00D71801">
        <w:rPr>
          <w:i/>
          <w:iCs/>
        </w:rPr>
        <w:t>Business Strategy and the Environment</w:t>
      </w:r>
      <w:r w:rsidRPr="002A341D">
        <w:t>, </w:t>
      </w:r>
      <w:r w:rsidRPr="00D71801">
        <w:rPr>
          <w:i/>
          <w:iCs/>
        </w:rPr>
        <w:t>32</w:t>
      </w:r>
      <w:r w:rsidRPr="002A341D">
        <w:t>(7), pp.4782-4797.</w:t>
      </w:r>
      <w:r>
        <w:t xml:space="preserve"> </w:t>
      </w:r>
    </w:p>
    <w:p w14:paraId="0FB606C6" w14:textId="77777777" w:rsidR="00F905F9" w:rsidRDefault="00F905F9" w:rsidP="00D71801">
      <w:r w:rsidRPr="002F65BC">
        <w:t>European Automobile Manufacturers’ Association (2021)</w:t>
      </w:r>
      <w:r>
        <w:t>.</w:t>
      </w:r>
      <w:r w:rsidRPr="002F65BC">
        <w:t xml:space="preserve"> </w:t>
      </w:r>
      <w:r w:rsidRPr="00D71801">
        <w:rPr>
          <w:i/>
          <w:iCs/>
        </w:rPr>
        <w:t>Fit for 55: EU auto industry’s initial reaction to Europe’s climate plans</w:t>
      </w:r>
      <w:r w:rsidRPr="002F65BC">
        <w:t xml:space="preserve">. Available at: </w:t>
      </w:r>
      <w:hyperlink r:id="rId10" w:tgtFrame="_new" w:history="1">
        <w:r w:rsidRPr="002F65BC">
          <w:rPr>
            <w:rStyle w:val="Hyperlink"/>
          </w:rPr>
          <w:t>https://www.acea.auto/press-release/fit-for-55-eu-auto-industry-initial-reaction-to-europe-climate-plans/</w:t>
        </w:r>
      </w:hyperlink>
      <w:r w:rsidRPr="002F65BC">
        <w:t xml:space="preserve"> (Accessed: 11 March 2026).</w:t>
      </w:r>
    </w:p>
    <w:p w14:paraId="552E8A8F" w14:textId="77777777" w:rsidR="00F905F9" w:rsidRDefault="00F905F9" w:rsidP="00D71801">
      <w:r w:rsidRPr="00F03EC4">
        <w:t xml:space="preserve">Geng, X. </w:t>
      </w:r>
      <w:r>
        <w:t>(</w:t>
      </w:r>
      <w:r w:rsidRPr="00F03EC4">
        <w:t>2025</w:t>
      </w:r>
      <w:r>
        <w:t>)</w:t>
      </w:r>
      <w:r w:rsidRPr="00F03EC4">
        <w:t>. Analysis of the Relationship between Sales and Promotions in the Automotive Industry based on Porter's Five Forces Model. </w:t>
      </w:r>
      <w:r w:rsidRPr="00D71801">
        <w:rPr>
          <w:i/>
          <w:iCs/>
        </w:rPr>
        <w:t>Finance &amp; Economics</w:t>
      </w:r>
      <w:r w:rsidRPr="00F03EC4">
        <w:t>, </w:t>
      </w:r>
      <w:r w:rsidRPr="00D71801">
        <w:rPr>
          <w:i/>
          <w:iCs/>
        </w:rPr>
        <w:t>1</w:t>
      </w:r>
      <w:r w:rsidRPr="00F03EC4">
        <w:t>(5).</w:t>
      </w:r>
    </w:p>
    <w:p w14:paraId="7586655D" w14:textId="77777777" w:rsidR="00F905F9" w:rsidRDefault="00F905F9" w:rsidP="00D71801">
      <w:r w:rsidRPr="00F03EC4">
        <w:t xml:space="preserve">Gibrilla, T. </w:t>
      </w:r>
      <w:r>
        <w:t>(</w:t>
      </w:r>
      <w:r w:rsidRPr="00F03EC4">
        <w:t>2023</w:t>
      </w:r>
      <w:r>
        <w:t>)</w:t>
      </w:r>
      <w:r w:rsidRPr="00F03EC4">
        <w:t>. </w:t>
      </w:r>
      <w:r w:rsidRPr="00D71801">
        <w:rPr>
          <w:i/>
          <w:iCs/>
        </w:rPr>
        <w:t>Peculiarities of automobile corporation’s activity in the global market (based on the company Toyota Motor Corporation)</w:t>
      </w:r>
      <w:r w:rsidRPr="00F03EC4">
        <w:t> (Doctoral dissertation, Полтавський університет економіки і торгівлі).</w:t>
      </w:r>
    </w:p>
    <w:p w14:paraId="3FEBA3AF" w14:textId="77777777" w:rsidR="00F905F9" w:rsidRDefault="00F905F9" w:rsidP="00D71801">
      <w:r w:rsidRPr="00F03EC4">
        <w:t xml:space="preserve">Hajiakbar, A. and Tokhmpash Norouzi, D. </w:t>
      </w:r>
      <w:r>
        <w:t>(</w:t>
      </w:r>
      <w:r w:rsidRPr="00F03EC4">
        <w:t>2021</w:t>
      </w:r>
      <w:r>
        <w:t>)</w:t>
      </w:r>
      <w:r w:rsidRPr="00F03EC4">
        <w:t>. Will the Kodak Decline Reappear in the Automotive Industry?</w:t>
      </w:r>
      <w:r>
        <w:t xml:space="preserve"> </w:t>
      </w:r>
      <w:r w:rsidRPr="00F03EC4">
        <w:t>An investigation of how incumbent automobile manufacturers can manage the ongoing transition towards electric vehicles.</w:t>
      </w:r>
    </w:p>
    <w:p w14:paraId="4DF35700" w14:textId="77777777" w:rsidR="00F905F9" w:rsidRPr="002A341D" w:rsidRDefault="00F905F9" w:rsidP="00D71801">
      <w:r w:rsidRPr="007B51BA">
        <w:t xml:space="preserve">Hong, J. </w:t>
      </w:r>
      <w:r>
        <w:t>(</w:t>
      </w:r>
      <w:r w:rsidRPr="007B51BA">
        <w:t>2024</w:t>
      </w:r>
      <w:r>
        <w:t>)</w:t>
      </w:r>
      <w:r w:rsidRPr="007B51BA">
        <w:t>. Competitive Strategies and Market Positions of Global Automotive Giants: Toyota, Tesla, and BMW. In </w:t>
      </w:r>
      <w:r w:rsidRPr="00D71801">
        <w:rPr>
          <w:i/>
          <w:iCs/>
        </w:rPr>
        <w:t>International Conference on Educational Information Technology</w:t>
      </w:r>
      <w:r w:rsidRPr="007B51BA">
        <w:t> (Vol. 6, No. 2).</w:t>
      </w:r>
    </w:p>
    <w:p w14:paraId="0B5D8075" w14:textId="77777777" w:rsidR="00F905F9" w:rsidRDefault="00F905F9" w:rsidP="00D71801">
      <w:r w:rsidRPr="00F03EC4">
        <w:t xml:space="preserve">Hyun, J.H. </w:t>
      </w:r>
      <w:r>
        <w:t>(</w:t>
      </w:r>
      <w:r w:rsidRPr="00F03EC4">
        <w:t>2025</w:t>
      </w:r>
      <w:r>
        <w:t>)</w:t>
      </w:r>
      <w:r w:rsidRPr="00F03EC4">
        <w:t>. The Role of Transnational Strategies in Advancing Quality Management: A Case Study of Toyota Motor Corporation. </w:t>
      </w:r>
      <w:r w:rsidRPr="00D71801">
        <w:rPr>
          <w:i/>
          <w:iCs/>
        </w:rPr>
        <w:t>Journal of Korean Society for Quality Management</w:t>
      </w:r>
      <w:r w:rsidRPr="00F03EC4">
        <w:t>, </w:t>
      </w:r>
      <w:r w:rsidRPr="00D71801">
        <w:rPr>
          <w:i/>
          <w:iCs/>
        </w:rPr>
        <w:t>53</w:t>
      </w:r>
      <w:r w:rsidRPr="00F03EC4">
        <w:t>(1), pp.93-108.</w:t>
      </w:r>
    </w:p>
    <w:p w14:paraId="1D15B9BC" w14:textId="613968BB" w:rsidR="00F905F9" w:rsidRPr="002F65BC" w:rsidRDefault="00F905F9" w:rsidP="00D71801">
      <w:r w:rsidRPr="00D71801">
        <w:t>Institute of Chartered Accountants in England and Wales (2025)</w:t>
      </w:r>
      <w:r>
        <w:t>.</w:t>
      </w:r>
      <w:r w:rsidRPr="00D71801">
        <w:t xml:space="preserve"> </w:t>
      </w:r>
      <w:r w:rsidRPr="00D71801">
        <w:rPr>
          <w:i/>
          <w:iCs/>
        </w:rPr>
        <w:t>Automotive manufacturing: global industry profile</w:t>
      </w:r>
      <w:r w:rsidRPr="00D71801">
        <w:t xml:space="preserve">. Available at: </w:t>
      </w:r>
      <w:hyperlink r:id="rId11" w:tgtFrame="_new" w:history="1">
        <w:r w:rsidRPr="00D71801">
          <w:rPr>
            <w:rStyle w:val="Hyperlink"/>
          </w:rPr>
          <w:t>https://www.icaew.com/library/industry-profiles/automotive-manufacturing</w:t>
        </w:r>
      </w:hyperlink>
      <w:r w:rsidRPr="00D71801">
        <w:t xml:space="preserve"> (Accessed: 11 March 2026).</w:t>
      </w:r>
    </w:p>
    <w:p w14:paraId="658321BC" w14:textId="77777777" w:rsidR="00F905F9" w:rsidRDefault="00F905F9" w:rsidP="00D71801">
      <w:r w:rsidRPr="002A341D">
        <w:t xml:space="preserve">Islam, K.M.A., Amin, M.B., Bari, M.F., Hossain, M.S., Anonthi, F., Mostafa, R. and Erdey, L. </w:t>
      </w:r>
      <w:r>
        <w:t>(</w:t>
      </w:r>
      <w:r w:rsidRPr="002A341D">
        <w:t>2024</w:t>
      </w:r>
      <w:r>
        <w:t>)</w:t>
      </w:r>
      <w:r w:rsidRPr="002A341D">
        <w:t>. Advancing sustainability: A comprehensive review of green technology innovations and their environmental impact. </w:t>
      </w:r>
      <w:r w:rsidRPr="00D71801">
        <w:rPr>
          <w:i/>
          <w:iCs/>
        </w:rPr>
        <w:t>Journal of Infrastructure, Policy and Development</w:t>
      </w:r>
      <w:r w:rsidRPr="002A341D">
        <w:t>, </w:t>
      </w:r>
      <w:r w:rsidRPr="00D71801">
        <w:rPr>
          <w:i/>
          <w:iCs/>
        </w:rPr>
        <w:t>8</w:t>
      </w:r>
      <w:r w:rsidRPr="002A341D">
        <w:t>(15), p.9481.</w:t>
      </w:r>
    </w:p>
    <w:p w14:paraId="72B20B3A" w14:textId="77777777" w:rsidR="00F905F9" w:rsidRDefault="00F905F9" w:rsidP="00D71801">
      <w:r w:rsidRPr="007B51BA">
        <w:lastRenderedPageBreak/>
        <w:t xml:space="preserve">Korneev, A., Niu, Y. and Ibrahim, A. </w:t>
      </w:r>
      <w:r>
        <w:t>(</w:t>
      </w:r>
      <w:r w:rsidRPr="007B51BA">
        <w:t>2024</w:t>
      </w:r>
      <w:r>
        <w:t>)</w:t>
      </w:r>
      <w:r w:rsidRPr="007B51BA">
        <w:t>. Electric vehicles in the 21st century: historical evolution, environmental impact, and safety challenges for sustainable mobility. </w:t>
      </w:r>
      <w:r w:rsidRPr="00D71801">
        <w:rPr>
          <w:i/>
          <w:iCs/>
        </w:rPr>
        <w:t>Khwarizmia</w:t>
      </w:r>
      <w:r w:rsidRPr="007B51BA">
        <w:t>, </w:t>
      </w:r>
      <w:r w:rsidRPr="00D71801">
        <w:rPr>
          <w:i/>
          <w:iCs/>
        </w:rPr>
        <w:t>2024</w:t>
      </w:r>
      <w:r w:rsidRPr="007B51BA">
        <w:t>, pp.32-38.</w:t>
      </w:r>
    </w:p>
    <w:p w14:paraId="3365996C" w14:textId="77777777" w:rsidR="00F905F9" w:rsidRDefault="00F905F9" w:rsidP="00D71801">
      <w:r w:rsidRPr="00F03EC4">
        <w:t xml:space="preserve">Kumari, S. and Kumar, R. </w:t>
      </w:r>
      <w:r>
        <w:t>(</w:t>
      </w:r>
      <w:r w:rsidRPr="00F03EC4">
        <w:t>2023</w:t>
      </w:r>
      <w:r>
        <w:t>)</w:t>
      </w:r>
      <w:r w:rsidRPr="00F03EC4">
        <w:t xml:space="preserve">. Supply Chain </w:t>
      </w:r>
      <w:r>
        <w:t>Optimisation</w:t>
      </w:r>
      <w:r w:rsidRPr="00F03EC4">
        <w:t xml:space="preserve"> Strategies for Enhanced Efficiency and Performance. </w:t>
      </w:r>
      <w:r w:rsidRPr="00D71801">
        <w:rPr>
          <w:i/>
          <w:iCs/>
        </w:rPr>
        <w:t>IJFMR-International Journal For Multidisciplinary Research</w:t>
      </w:r>
      <w:r w:rsidRPr="00F03EC4">
        <w:t>, </w:t>
      </w:r>
      <w:r w:rsidRPr="00D71801">
        <w:rPr>
          <w:i/>
          <w:iCs/>
        </w:rPr>
        <w:t>5</w:t>
      </w:r>
      <w:r w:rsidRPr="00F03EC4">
        <w:t>(4).</w:t>
      </w:r>
    </w:p>
    <w:p w14:paraId="5BBB86B2" w14:textId="77777777" w:rsidR="00F905F9" w:rsidRDefault="00F905F9" w:rsidP="00D71801">
      <w:r w:rsidRPr="00F03EC4">
        <w:t xml:space="preserve">Mi, C. and Masrur, M.A. </w:t>
      </w:r>
      <w:r>
        <w:t>(</w:t>
      </w:r>
      <w:r w:rsidRPr="00F03EC4">
        <w:t>2025</w:t>
      </w:r>
      <w:r>
        <w:t>)</w:t>
      </w:r>
      <w:r w:rsidRPr="00F03EC4">
        <w:t>. </w:t>
      </w:r>
      <w:r w:rsidRPr="00D71801">
        <w:rPr>
          <w:i/>
          <w:iCs/>
        </w:rPr>
        <w:t>Hybrid electric vehicles: principles and applications with practical perspectives</w:t>
      </w:r>
      <w:r w:rsidRPr="00F03EC4">
        <w:t>. John Wiley &amp; Sons.</w:t>
      </w:r>
    </w:p>
    <w:p w14:paraId="442B38ED" w14:textId="523EFAFD" w:rsidR="00F905F9" w:rsidRDefault="00F905F9" w:rsidP="00D71801">
      <w:r w:rsidRPr="00F03EC4">
        <w:t xml:space="preserve">Okanga, B. </w:t>
      </w:r>
      <w:r>
        <w:t>(</w:t>
      </w:r>
      <w:r w:rsidRPr="00F03EC4">
        <w:t>2022</w:t>
      </w:r>
      <w:r>
        <w:t>)</w:t>
      </w:r>
      <w:r w:rsidRPr="00F03EC4">
        <w:t>. Radical and incremental innovations as critical leveragers of a firm's financial performance: Best practices from Tesla and Toyota. </w:t>
      </w:r>
      <w:r w:rsidRPr="00D71801">
        <w:rPr>
          <w:i/>
          <w:iCs/>
        </w:rPr>
        <w:t>Universal Journal of Financial Economics</w:t>
      </w:r>
      <w:r w:rsidRPr="00F03EC4">
        <w:t>, </w:t>
      </w:r>
      <w:r w:rsidRPr="00D71801">
        <w:rPr>
          <w:i/>
          <w:iCs/>
        </w:rPr>
        <w:t>2</w:t>
      </w:r>
      <w:r w:rsidRPr="00F03EC4">
        <w:t>(2), pp.1-22.</w:t>
      </w:r>
      <w:r w:rsidR="00F1546E">
        <w:t xml:space="preserve"> </w:t>
      </w:r>
    </w:p>
    <w:p w14:paraId="4933A2E8" w14:textId="77777777" w:rsidR="00F905F9" w:rsidRDefault="00F905F9" w:rsidP="00D71801">
      <w:r w:rsidRPr="007B51BA">
        <w:t xml:space="preserve">Palhau, M., Sá, J.C., Ávila, P., Dinis-Carvalho, J., Rodrigues, C. and Santos, G. </w:t>
      </w:r>
      <w:r>
        <w:t>(</w:t>
      </w:r>
      <w:r w:rsidRPr="007B51BA">
        <w:t>2024</w:t>
      </w:r>
      <w:r>
        <w:t>)</w:t>
      </w:r>
      <w:r w:rsidRPr="007B51BA">
        <w:t>. Toyota Way–the Heart of Toyota Production System and Its Impact on Sustainable Company Growth. </w:t>
      </w:r>
      <w:r w:rsidRPr="00D71801">
        <w:rPr>
          <w:i/>
          <w:iCs/>
        </w:rPr>
        <w:t>Quality Innovation Prosperity</w:t>
      </w:r>
      <w:r w:rsidRPr="007B51BA">
        <w:t>, </w:t>
      </w:r>
      <w:r w:rsidRPr="00D71801">
        <w:rPr>
          <w:i/>
          <w:iCs/>
        </w:rPr>
        <w:t>28</w:t>
      </w:r>
      <w:r w:rsidRPr="007B51BA">
        <w:t>(3), pp.23-45.</w:t>
      </w:r>
    </w:p>
    <w:p w14:paraId="5CFD6AB5" w14:textId="77777777" w:rsidR="00F905F9" w:rsidRDefault="00F905F9" w:rsidP="00D71801">
      <w:r w:rsidRPr="00926865">
        <w:t xml:space="preserve">Toyota Motor Europe (2025) </w:t>
      </w:r>
      <w:r w:rsidRPr="00926865">
        <w:rPr>
          <w:i/>
          <w:iCs/>
        </w:rPr>
        <w:t>Toyota in the world</w:t>
      </w:r>
      <w:r w:rsidRPr="00926865">
        <w:t xml:space="preserve">. Available at: </w:t>
      </w:r>
      <w:hyperlink r:id="rId12" w:tgtFrame="_new" w:history="1">
        <w:r w:rsidRPr="00926865">
          <w:rPr>
            <w:rStyle w:val="Hyperlink"/>
          </w:rPr>
          <w:t>https://www.toyota-europe.com/about-us/toyota-in-the-world</w:t>
        </w:r>
      </w:hyperlink>
      <w:r w:rsidRPr="00926865">
        <w:t xml:space="preserve"> (Accessed: 11 March 2026). </w:t>
      </w:r>
    </w:p>
    <w:p w14:paraId="00F38616" w14:textId="77777777" w:rsidR="00F905F9" w:rsidRDefault="00F905F9" w:rsidP="00D71801">
      <w:r w:rsidRPr="007B51BA">
        <w:t xml:space="preserve">Whitfield, L. and Wuttke, T. </w:t>
      </w:r>
      <w:r>
        <w:t>(</w:t>
      </w:r>
      <w:r w:rsidRPr="007B51BA">
        <w:t>2024</w:t>
      </w:r>
      <w:r>
        <w:t>)</w:t>
      </w:r>
      <w:r w:rsidRPr="007B51BA">
        <w:t>. Incumbent advantage, barriers to entry, and latecomer catch-up in the global automotive industry.</w:t>
      </w:r>
    </w:p>
    <w:p w14:paraId="196BB5CA" w14:textId="77777777" w:rsidR="00F905F9" w:rsidRDefault="00F905F9" w:rsidP="00D71801">
      <w:r w:rsidRPr="002F65BC">
        <w:t xml:space="preserve">Wuttke, T., Perez-Almansi, B. and Techakanont, K. </w:t>
      </w:r>
      <w:r>
        <w:t>(</w:t>
      </w:r>
      <w:r w:rsidRPr="002F65BC">
        <w:t>2026</w:t>
      </w:r>
      <w:r>
        <w:t>)</w:t>
      </w:r>
      <w:r w:rsidRPr="002F65BC">
        <w:t>. Competition and Development in Automotive Global Value Chains: Insights from Thailand, South Africa and Argentina. </w:t>
      </w:r>
      <w:r w:rsidRPr="00D71801">
        <w:rPr>
          <w:i/>
          <w:iCs/>
        </w:rPr>
        <w:t>The Journal of Development Studies</w:t>
      </w:r>
      <w:r w:rsidRPr="002F65BC">
        <w:t>, </w:t>
      </w:r>
      <w:r w:rsidRPr="00D71801">
        <w:rPr>
          <w:i/>
          <w:iCs/>
        </w:rPr>
        <w:t>62</w:t>
      </w:r>
      <w:r w:rsidRPr="002F65BC">
        <w:t>(3), pp.480-500.</w:t>
      </w:r>
      <w:r>
        <w:t xml:space="preserve"> </w:t>
      </w:r>
    </w:p>
    <w:p w14:paraId="10FFFDD9" w14:textId="77777777" w:rsidR="00227465" w:rsidRPr="00227465" w:rsidRDefault="00227465" w:rsidP="00227465"/>
    <w:p w14:paraId="102CB527" w14:textId="77777777" w:rsidR="00012686" w:rsidRDefault="00012686"/>
    <w:sectPr w:rsidR="00012686">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EDE47B" w14:textId="77777777" w:rsidR="00386BED" w:rsidRDefault="00386BED" w:rsidP="001C2FC2">
      <w:pPr>
        <w:spacing w:after="0" w:line="240" w:lineRule="auto"/>
      </w:pPr>
      <w:r>
        <w:separator/>
      </w:r>
    </w:p>
  </w:endnote>
  <w:endnote w:type="continuationSeparator" w:id="0">
    <w:p w14:paraId="3D6BE2D6" w14:textId="77777777" w:rsidR="00386BED" w:rsidRDefault="00386BED" w:rsidP="001C2F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3405222"/>
      <w:docPartObj>
        <w:docPartGallery w:val="Page Numbers (Bottom of Page)"/>
        <w:docPartUnique/>
      </w:docPartObj>
    </w:sdtPr>
    <w:sdtEndPr>
      <w:rPr>
        <w:noProof/>
      </w:rPr>
    </w:sdtEndPr>
    <w:sdtContent>
      <w:p w14:paraId="7E76FF60" w14:textId="227D6030" w:rsidR="001C2FC2" w:rsidRDefault="001C2FC2">
        <w:pPr>
          <w:pStyle w:val="Footer"/>
          <w:jc w:val="right"/>
        </w:pPr>
        <w:r>
          <w:fldChar w:fldCharType="begin"/>
        </w:r>
        <w:r>
          <w:instrText xml:space="preserve"> PAGE   \* MERGEFORMAT </w:instrText>
        </w:r>
        <w:r>
          <w:fldChar w:fldCharType="separate"/>
        </w:r>
        <w:r w:rsidR="008A4C25">
          <w:rPr>
            <w:noProof/>
          </w:rPr>
          <w:t>2</w:t>
        </w:r>
        <w:r>
          <w:rPr>
            <w:noProof/>
          </w:rPr>
          <w:fldChar w:fldCharType="end"/>
        </w:r>
      </w:p>
    </w:sdtContent>
  </w:sdt>
  <w:p w14:paraId="30130F91" w14:textId="77777777" w:rsidR="001C2FC2" w:rsidRDefault="001C2FC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BA0879" w14:textId="77777777" w:rsidR="00386BED" w:rsidRDefault="00386BED" w:rsidP="001C2FC2">
      <w:pPr>
        <w:spacing w:after="0" w:line="240" w:lineRule="auto"/>
      </w:pPr>
      <w:r>
        <w:separator/>
      </w:r>
    </w:p>
  </w:footnote>
  <w:footnote w:type="continuationSeparator" w:id="0">
    <w:p w14:paraId="68DD4CD0" w14:textId="77777777" w:rsidR="00386BED" w:rsidRDefault="00386BED" w:rsidP="001C2F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91113"/>
    <w:multiLevelType w:val="hybridMultilevel"/>
    <w:tmpl w:val="0FA454C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5285122D"/>
    <w:multiLevelType w:val="hybridMultilevel"/>
    <w:tmpl w:val="EB4C466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5BC308C5"/>
    <w:multiLevelType w:val="hybridMultilevel"/>
    <w:tmpl w:val="4D146AF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6C9B43A1"/>
    <w:multiLevelType w:val="hybridMultilevel"/>
    <w:tmpl w:val="96E6892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7465"/>
    <w:rsid w:val="00012686"/>
    <w:rsid w:val="001C2FC2"/>
    <w:rsid w:val="001C78B4"/>
    <w:rsid w:val="00204ADB"/>
    <w:rsid w:val="00217A93"/>
    <w:rsid w:val="00227465"/>
    <w:rsid w:val="00234E29"/>
    <w:rsid w:val="00245535"/>
    <w:rsid w:val="002A341D"/>
    <w:rsid w:val="002F65BC"/>
    <w:rsid w:val="00386BED"/>
    <w:rsid w:val="0045636C"/>
    <w:rsid w:val="005037F5"/>
    <w:rsid w:val="0057254D"/>
    <w:rsid w:val="005D2988"/>
    <w:rsid w:val="00790258"/>
    <w:rsid w:val="007B51BA"/>
    <w:rsid w:val="008214B6"/>
    <w:rsid w:val="00844F6F"/>
    <w:rsid w:val="008A0ADC"/>
    <w:rsid w:val="008A4C25"/>
    <w:rsid w:val="008B0B41"/>
    <w:rsid w:val="008C689B"/>
    <w:rsid w:val="008C6ACB"/>
    <w:rsid w:val="00926865"/>
    <w:rsid w:val="00952775"/>
    <w:rsid w:val="009779AA"/>
    <w:rsid w:val="009F3CBD"/>
    <w:rsid w:val="00B209EB"/>
    <w:rsid w:val="00B9715E"/>
    <w:rsid w:val="00D406F2"/>
    <w:rsid w:val="00D71801"/>
    <w:rsid w:val="00DF01B8"/>
    <w:rsid w:val="00E01D6A"/>
    <w:rsid w:val="00EE4C9D"/>
    <w:rsid w:val="00F03EC4"/>
    <w:rsid w:val="00F1546E"/>
    <w:rsid w:val="00F905F9"/>
    <w:rsid w:val="00FA363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50220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06F2"/>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8C6ACB"/>
    <w:pPr>
      <w:keepNext/>
      <w:keepLines/>
      <w:spacing w:after="0"/>
      <w:contextualSpacing/>
      <w:jc w:val="left"/>
      <w:outlineLvl w:val="0"/>
    </w:pPr>
    <w:rPr>
      <w:rFonts w:cs="Times New Roman"/>
      <w:b/>
      <w:bCs/>
      <w:color w:val="000000" w:themeColor="text1"/>
      <w:sz w:val="36"/>
    </w:rPr>
  </w:style>
  <w:style w:type="paragraph" w:styleId="Heading2">
    <w:name w:val="heading 2"/>
    <w:basedOn w:val="Normal"/>
    <w:next w:val="Normal"/>
    <w:link w:val="Heading2Char"/>
    <w:autoRedefine/>
    <w:uiPriority w:val="9"/>
    <w:unhideWhenUsed/>
    <w:qFormat/>
    <w:rsid w:val="00D406F2"/>
    <w:pPr>
      <w:keepNext/>
      <w:keepLines/>
      <w:spacing w:before="40" w:after="0"/>
      <w:outlineLvl w:val="1"/>
    </w:pPr>
    <w:rPr>
      <w:rFonts w:eastAsia="Times New Roman" w:cs="Times New Roman"/>
      <w:b/>
      <w:color w:val="000000" w:themeColor="text1"/>
      <w:sz w:val="32"/>
      <w:szCs w:val="32"/>
    </w:rPr>
  </w:style>
  <w:style w:type="paragraph" w:styleId="Heading3">
    <w:name w:val="heading 3"/>
    <w:basedOn w:val="Normal"/>
    <w:next w:val="Heading2"/>
    <w:link w:val="Heading3Char"/>
    <w:uiPriority w:val="9"/>
    <w:rsid w:val="00234E29"/>
    <w:pPr>
      <w:spacing w:before="100" w:beforeAutospacing="1" w:after="100" w:afterAutospacing="1"/>
      <w:outlineLvl w:val="2"/>
    </w:pPr>
    <w:rPr>
      <w:rFonts w:eastAsia="Times New Roman" w:cs="Times New Roman"/>
      <w:b/>
      <w:bCs/>
      <w:sz w:val="32"/>
      <w:szCs w:val="27"/>
      <w:lang w:eastAsia="en-IN"/>
    </w:rPr>
  </w:style>
  <w:style w:type="paragraph" w:styleId="Heading4">
    <w:name w:val="heading 4"/>
    <w:basedOn w:val="Normal"/>
    <w:next w:val="Normal"/>
    <w:link w:val="Heading4Char"/>
    <w:uiPriority w:val="9"/>
    <w:semiHidden/>
    <w:unhideWhenUsed/>
    <w:qFormat/>
    <w:rsid w:val="00227465"/>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227465"/>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22746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2746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2746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2746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406F2"/>
    <w:rPr>
      <w:rFonts w:ascii="Times New Roman" w:eastAsia="Times New Roman" w:hAnsi="Times New Roman" w:cs="Times New Roman"/>
      <w:b/>
      <w:color w:val="000000" w:themeColor="text1"/>
      <w:sz w:val="32"/>
      <w:szCs w:val="32"/>
    </w:rPr>
  </w:style>
  <w:style w:type="character" w:customStyle="1" w:styleId="Heading1Char">
    <w:name w:val="Heading 1 Char"/>
    <w:basedOn w:val="DefaultParagraphFont"/>
    <w:link w:val="Heading1"/>
    <w:uiPriority w:val="9"/>
    <w:rsid w:val="008C6ACB"/>
    <w:rPr>
      <w:rFonts w:ascii="Times New Roman" w:hAnsi="Times New Roman" w:cs="Times New Roman"/>
      <w:b/>
      <w:bCs/>
      <w:color w:val="000000" w:themeColor="text1"/>
      <w:sz w:val="36"/>
    </w:rPr>
  </w:style>
  <w:style w:type="character" w:customStyle="1" w:styleId="Heading3Char">
    <w:name w:val="Heading 3 Char"/>
    <w:basedOn w:val="DefaultParagraphFont"/>
    <w:link w:val="Heading3"/>
    <w:uiPriority w:val="9"/>
    <w:rsid w:val="00234E29"/>
    <w:rPr>
      <w:rFonts w:ascii="Times New Roman" w:eastAsia="Times New Roman" w:hAnsi="Times New Roman" w:cs="Times New Roman"/>
      <w:b/>
      <w:bCs/>
      <w:sz w:val="32"/>
      <w:szCs w:val="27"/>
      <w:lang w:eastAsia="en-IN"/>
    </w:rPr>
  </w:style>
  <w:style w:type="character" w:customStyle="1" w:styleId="Heading4Char">
    <w:name w:val="Heading 4 Char"/>
    <w:basedOn w:val="DefaultParagraphFont"/>
    <w:link w:val="Heading4"/>
    <w:uiPriority w:val="9"/>
    <w:semiHidden/>
    <w:rsid w:val="00227465"/>
    <w:rPr>
      <w:rFonts w:eastAsiaTheme="majorEastAsia" w:cstheme="majorBidi"/>
      <w:i/>
      <w:iCs/>
      <w:color w:val="2E74B5" w:themeColor="accent1" w:themeShade="BF"/>
      <w:sz w:val="24"/>
    </w:rPr>
  </w:style>
  <w:style w:type="character" w:customStyle="1" w:styleId="Heading5Char">
    <w:name w:val="Heading 5 Char"/>
    <w:basedOn w:val="DefaultParagraphFont"/>
    <w:link w:val="Heading5"/>
    <w:uiPriority w:val="9"/>
    <w:semiHidden/>
    <w:rsid w:val="00227465"/>
    <w:rPr>
      <w:rFonts w:eastAsiaTheme="majorEastAsia" w:cstheme="majorBidi"/>
      <w:color w:val="2E74B5" w:themeColor="accent1" w:themeShade="BF"/>
      <w:sz w:val="24"/>
    </w:rPr>
  </w:style>
  <w:style w:type="character" w:customStyle="1" w:styleId="Heading6Char">
    <w:name w:val="Heading 6 Char"/>
    <w:basedOn w:val="DefaultParagraphFont"/>
    <w:link w:val="Heading6"/>
    <w:uiPriority w:val="9"/>
    <w:semiHidden/>
    <w:rsid w:val="00227465"/>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227465"/>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227465"/>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227465"/>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2274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74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746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74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7465"/>
    <w:pPr>
      <w:spacing w:before="160"/>
      <w:jc w:val="center"/>
    </w:pPr>
    <w:rPr>
      <w:i/>
      <w:iCs/>
      <w:color w:val="404040" w:themeColor="text1" w:themeTint="BF"/>
    </w:rPr>
  </w:style>
  <w:style w:type="character" w:customStyle="1" w:styleId="QuoteChar">
    <w:name w:val="Quote Char"/>
    <w:basedOn w:val="DefaultParagraphFont"/>
    <w:link w:val="Quote"/>
    <w:uiPriority w:val="29"/>
    <w:rsid w:val="00227465"/>
    <w:rPr>
      <w:rFonts w:ascii="Times New Roman" w:hAnsi="Times New Roman"/>
      <w:i/>
      <w:iCs/>
      <w:color w:val="404040" w:themeColor="text1" w:themeTint="BF"/>
      <w:sz w:val="24"/>
    </w:rPr>
  </w:style>
  <w:style w:type="paragraph" w:styleId="ListParagraph">
    <w:name w:val="List Paragraph"/>
    <w:basedOn w:val="Normal"/>
    <w:uiPriority w:val="34"/>
    <w:qFormat/>
    <w:rsid w:val="00227465"/>
    <w:pPr>
      <w:ind w:left="720"/>
      <w:contextualSpacing/>
    </w:pPr>
  </w:style>
  <w:style w:type="character" w:styleId="IntenseEmphasis">
    <w:name w:val="Intense Emphasis"/>
    <w:basedOn w:val="DefaultParagraphFont"/>
    <w:uiPriority w:val="21"/>
    <w:qFormat/>
    <w:rsid w:val="00227465"/>
    <w:rPr>
      <w:i/>
      <w:iCs/>
      <w:color w:val="2E74B5" w:themeColor="accent1" w:themeShade="BF"/>
    </w:rPr>
  </w:style>
  <w:style w:type="paragraph" w:styleId="IntenseQuote">
    <w:name w:val="Intense Quote"/>
    <w:basedOn w:val="Normal"/>
    <w:next w:val="Normal"/>
    <w:link w:val="IntenseQuoteChar"/>
    <w:uiPriority w:val="30"/>
    <w:qFormat/>
    <w:rsid w:val="0022746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227465"/>
    <w:rPr>
      <w:rFonts w:ascii="Times New Roman" w:hAnsi="Times New Roman"/>
      <w:i/>
      <w:iCs/>
      <w:color w:val="2E74B5" w:themeColor="accent1" w:themeShade="BF"/>
      <w:sz w:val="24"/>
    </w:rPr>
  </w:style>
  <w:style w:type="character" w:styleId="IntenseReference">
    <w:name w:val="Intense Reference"/>
    <w:basedOn w:val="DefaultParagraphFont"/>
    <w:uiPriority w:val="32"/>
    <w:qFormat/>
    <w:rsid w:val="00227465"/>
    <w:rPr>
      <w:b/>
      <w:bCs/>
      <w:smallCaps/>
      <w:color w:val="2E74B5" w:themeColor="accent1" w:themeShade="BF"/>
      <w:spacing w:val="5"/>
    </w:rPr>
  </w:style>
  <w:style w:type="table" w:styleId="GridTable5Dark-Accent3">
    <w:name w:val="Grid Table 5 Dark Accent 3"/>
    <w:basedOn w:val="TableNormal"/>
    <w:uiPriority w:val="50"/>
    <w:rsid w:val="008C6AC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1">
    <w:name w:val="Grid Table 5 Dark Accent 1"/>
    <w:basedOn w:val="TableNormal"/>
    <w:uiPriority w:val="50"/>
    <w:rsid w:val="00FA363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styleId="TOCHeading">
    <w:name w:val="TOC Heading"/>
    <w:basedOn w:val="Heading1"/>
    <w:next w:val="Normal"/>
    <w:uiPriority w:val="39"/>
    <w:unhideWhenUsed/>
    <w:qFormat/>
    <w:rsid w:val="001C2FC2"/>
    <w:pPr>
      <w:spacing w:before="240" w:line="259" w:lineRule="auto"/>
      <w:contextualSpacing w:val="0"/>
      <w:outlineLvl w:val="9"/>
    </w:pPr>
    <w:rPr>
      <w:rFonts w:asciiTheme="majorHAnsi" w:eastAsiaTheme="majorEastAsia" w:hAnsiTheme="majorHAnsi" w:cstheme="majorBidi"/>
      <w:b w:val="0"/>
      <w:bCs w:val="0"/>
      <w:color w:val="2E74B5" w:themeColor="accent1" w:themeShade="BF"/>
      <w:kern w:val="0"/>
      <w:sz w:val="32"/>
      <w:szCs w:val="32"/>
      <w:lang w:val="en-US"/>
      <w14:ligatures w14:val="none"/>
    </w:rPr>
  </w:style>
  <w:style w:type="paragraph" w:styleId="TOC1">
    <w:name w:val="toc 1"/>
    <w:basedOn w:val="Normal"/>
    <w:next w:val="Normal"/>
    <w:autoRedefine/>
    <w:uiPriority w:val="39"/>
    <w:unhideWhenUsed/>
    <w:rsid w:val="001C2FC2"/>
    <w:pPr>
      <w:spacing w:after="100"/>
    </w:pPr>
  </w:style>
  <w:style w:type="paragraph" w:styleId="TOC2">
    <w:name w:val="toc 2"/>
    <w:basedOn w:val="Normal"/>
    <w:next w:val="Normal"/>
    <w:autoRedefine/>
    <w:uiPriority w:val="39"/>
    <w:unhideWhenUsed/>
    <w:rsid w:val="001C2FC2"/>
    <w:pPr>
      <w:spacing w:after="100"/>
      <w:ind w:left="240"/>
    </w:pPr>
  </w:style>
  <w:style w:type="character" w:styleId="Hyperlink">
    <w:name w:val="Hyperlink"/>
    <w:basedOn w:val="DefaultParagraphFont"/>
    <w:uiPriority w:val="99"/>
    <w:unhideWhenUsed/>
    <w:rsid w:val="001C2FC2"/>
    <w:rPr>
      <w:color w:val="0563C1" w:themeColor="hyperlink"/>
      <w:u w:val="single"/>
    </w:rPr>
  </w:style>
  <w:style w:type="paragraph" w:styleId="Header">
    <w:name w:val="header"/>
    <w:basedOn w:val="Normal"/>
    <w:link w:val="HeaderChar"/>
    <w:uiPriority w:val="99"/>
    <w:unhideWhenUsed/>
    <w:rsid w:val="001C2F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2FC2"/>
    <w:rPr>
      <w:rFonts w:ascii="Times New Roman" w:hAnsi="Times New Roman"/>
      <w:sz w:val="24"/>
    </w:rPr>
  </w:style>
  <w:style w:type="paragraph" w:styleId="Footer">
    <w:name w:val="footer"/>
    <w:basedOn w:val="Normal"/>
    <w:link w:val="FooterChar"/>
    <w:uiPriority w:val="99"/>
    <w:unhideWhenUsed/>
    <w:rsid w:val="001C2F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2FC2"/>
    <w:rPr>
      <w:rFonts w:ascii="Times New Roman" w:hAnsi="Times New Roman"/>
      <w:sz w:val="24"/>
    </w:rPr>
  </w:style>
  <w:style w:type="table" w:customStyle="1" w:styleId="TableGrid">
    <w:name w:val="TableGrid"/>
    <w:rsid w:val="008C689B"/>
    <w:pPr>
      <w:spacing w:after="0" w:line="240" w:lineRule="auto"/>
    </w:pPr>
    <w:rPr>
      <w:rFonts w:eastAsiaTheme="minorEastAsia"/>
      <w:sz w:val="24"/>
      <w:szCs w:val="24"/>
      <w:lang w:val="en-GB" w:eastAsia="en-GB"/>
    </w:rPr>
    <w:tblPr>
      <w:tblCellMar>
        <w:top w:w="0" w:type="dxa"/>
        <w:left w:w="0" w:type="dxa"/>
        <w:bottom w:w="0" w:type="dxa"/>
        <w:right w:w="0" w:type="dxa"/>
      </w:tblCellMar>
    </w:tblPr>
  </w:style>
  <w:style w:type="character" w:customStyle="1" w:styleId="UnresolvedMention">
    <w:name w:val="Unresolved Mention"/>
    <w:basedOn w:val="DefaultParagraphFont"/>
    <w:uiPriority w:val="99"/>
    <w:semiHidden/>
    <w:unhideWhenUsed/>
    <w:rsid w:val="002F65BC"/>
    <w:rPr>
      <w:color w:val="605E5C"/>
      <w:shd w:val="clear" w:color="auto" w:fill="E1DFDD"/>
    </w:rPr>
  </w:style>
  <w:style w:type="paragraph" w:styleId="Caption">
    <w:name w:val="caption"/>
    <w:basedOn w:val="Normal"/>
    <w:next w:val="Normal"/>
    <w:uiPriority w:val="35"/>
    <w:unhideWhenUsed/>
    <w:qFormat/>
    <w:rsid w:val="00926865"/>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oyota-europe.com/about-us/toyota-in-the-worl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caew.com/library/industry-profiles/automotive-manufacturin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acea.auto/press-release/fit-for-55-eu-auto-industry-initial-reaction-to-europe-climate-plan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50F198-8751-4156-8B5B-F2C97DD79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3122</Words>
  <Characters>17800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2026-03-19T09:46:00Z</dcterms:created>
  <dcterms:modified xsi:type="dcterms:W3CDTF">2026-03-19T09:46:00Z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dc995e3f-0327-45fe-98c8-39eaf1e3906e</vt:lpwstr>
  </property>
</Properties>
</file>