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FD9EC" w14:textId="50FDAE3A" w:rsidR="002F2670" w:rsidRPr="002464FE" w:rsidRDefault="006F779E">
      <w:pPr>
        <w:rPr>
          <w:sz w:val="28"/>
          <w:szCs w:val="28"/>
        </w:rPr>
      </w:pPr>
      <w:r>
        <w:rPr>
          <w:sz w:val="28"/>
          <w:szCs w:val="28"/>
          <w:u w:val="single"/>
        </w:rPr>
        <w:t>C</w:t>
      </w:r>
      <w:r w:rsidR="002F2670">
        <w:rPr>
          <w:sz w:val="28"/>
          <w:szCs w:val="28"/>
          <w:u w:val="single"/>
        </w:rPr>
        <w:t>lodia</w:t>
      </w:r>
      <w:r>
        <w:rPr>
          <w:sz w:val="28"/>
          <w:szCs w:val="28"/>
          <w:u w:val="single"/>
        </w:rPr>
        <w:t xml:space="preserve"> in Cicero’s </w:t>
      </w:r>
      <w:r>
        <w:rPr>
          <w:i/>
          <w:iCs/>
          <w:sz w:val="28"/>
          <w:szCs w:val="28"/>
          <w:u w:val="single"/>
        </w:rPr>
        <w:t xml:space="preserve">Pro </w:t>
      </w:r>
      <w:proofErr w:type="spellStart"/>
      <w:r>
        <w:rPr>
          <w:i/>
          <w:iCs/>
          <w:sz w:val="28"/>
          <w:szCs w:val="28"/>
          <w:u w:val="single"/>
        </w:rPr>
        <w:t>Caelio</w:t>
      </w:r>
      <w:proofErr w:type="spellEnd"/>
    </w:p>
    <w:p w14:paraId="161DCE2E" w14:textId="1F10B281" w:rsidR="00590186" w:rsidRPr="00505F89" w:rsidRDefault="003501ED">
      <w:r>
        <w:t xml:space="preserve">Throughout his career and beyond, Cicero has been regarded as a great orator with an impressive ability to move crowds with his speeches, which were of course heavily planned and strategized. </w:t>
      </w:r>
      <w:r w:rsidR="00590186">
        <w:t xml:space="preserve">The following paragraphs outline </w:t>
      </w:r>
      <w:r w:rsidR="00505F89">
        <w:t xml:space="preserve">two of </w:t>
      </w:r>
      <w:r>
        <w:t>the</w:t>
      </w:r>
      <w:r w:rsidR="00505F89">
        <w:t xml:space="preserve"> strategies </w:t>
      </w:r>
      <w:r>
        <w:t>Cicero</w:t>
      </w:r>
      <w:r w:rsidR="00505F89">
        <w:t xml:space="preserve"> </w:t>
      </w:r>
      <w:r>
        <w:t xml:space="preserve">used </w:t>
      </w:r>
      <w:r w:rsidR="00505F89">
        <w:t xml:space="preserve">throughout </w:t>
      </w:r>
      <w:r w:rsidR="00505F89" w:rsidRPr="00505F89">
        <w:rPr>
          <w:i/>
          <w:iCs/>
        </w:rPr>
        <w:t xml:space="preserve">Pro </w:t>
      </w:r>
      <w:proofErr w:type="spellStart"/>
      <w:r w:rsidR="00505F89" w:rsidRPr="00505F89">
        <w:rPr>
          <w:i/>
          <w:iCs/>
        </w:rPr>
        <w:t>Caelio</w:t>
      </w:r>
      <w:proofErr w:type="spellEnd"/>
      <w:r w:rsidR="00505F89">
        <w:rPr>
          <w:i/>
          <w:iCs/>
        </w:rPr>
        <w:t xml:space="preserve"> </w:t>
      </w:r>
      <w:r w:rsidR="00505F89">
        <w:t>in constructing his portrayal of Clodia:</w:t>
      </w:r>
      <w:r w:rsidR="00505F89">
        <w:rPr>
          <w:i/>
          <w:iCs/>
        </w:rPr>
        <w:t xml:space="preserve"> </w:t>
      </w:r>
      <w:r w:rsidR="00505F89">
        <w:t xml:space="preserve">His use of comedy and his focus on Clodia’s sexuality and alleged promiscuity. </w:t>
      </w:r>
      <w:r>
        <w:t xml:space="preserve">As this speech was given to a jury in defence of Caelius, it is also worth examining how Cicero’s portrayal of Clodia may have influenced the case, as well as potential arguments a prosecutor may use </w:t>
      </w:r>
      <w:r w:rsidR="004E77EF">
        <w:t xml:space="preserve">to counter these strategies. </w:t>
      </w:r>
    </w:p>
    <w:p w14:paraId="5B2DB315" w14:textId="3844F4E3" w:rsidR="002F2670" w:rsidRDefault="002F2670" w:rsidP="002F2670">
      <w:pPr>
        <w:rPr>
          <w:color w:val="000000" w:themeColor="text1"/>
        </w:rPr>
      </w:pPr>
      <w:r>
        <w:t>One of the</w:t>
      </w:r>
      <w:r w:rsidR="00CE6187">
        <w:t xml:space="preserve"> most frequently examined aspects of Cicero’s </w:t>
      </w:r>
      <w:r w:rsidR="00CE6187">
        <w:rPr>
          <w:i/>
          <w:iCs/>
        </w:rPr>
        <w:t xml:space="preserve">Pro </w:t>
      </w:r>
      <w:proofErr w:type="spellStart"/>
      <w:r w:rsidR="00CE6187">
        <w:rPr>
          <w:i/>
          <w:iCs/>
        </w:rPr>
        <w:t>Caelio</w:t>
      </w:r>
      <w:proofErr w:type="spellEnd"/>
      <w:r w:rsidR="00CE6187">
        <w:t xml:space="preserve"> is its comedic elements and structure. Cicero treats this oration as a performance on a stage and uses this lens to his own benefit, structuring it as one might a comedic play to engage the jury </w:t>
      </w:r>
      <w:r>
        <w:t xml:space="preserve">and </w:t>
      </w:r>
      <w:r w:rsidR="00CE6187">
        <w:t>“</w:t>
      </w:r>
      <w:r>
        <w:t>appeal to their deep under-standing of the rules of the genre.</w:t>
      </w:r>
      <w:r w:rsidR="00CE6187">
        <w:t>”</w:t>
      </w:r>
      <w:r w:rsidR="00CE6187">
        <w:rPr>
          <w:rStyle w:val="FootnoteReference"/>
        </w:rPr>
        <w:footnoteReference w:id="1"/>
      </w:r>
      <w:r w:rsidR="008C7B8C">
        <w:t xml:space="preserve"> By focusing on Clodia’s alleged promiscuity and relationships with men, Cicero allows himself further opportunities to insert humorous remarks into his oration </w:t>
      </w:r>
      <w:r w:rsidR="009E4BF2">
        <w:rPr>
          <w:color w:val="000000" w:themeColor="text1"/>
        </w:rPr>
        <w:t>such as</w:t>
      </w:r>
      <w:r w:rsidR="00590186">
        <w:rPr>
          <w:color w:val="000000" w:themeColor="text1"/>
        </w:rPr>
        <w:t xml:space="preserve"> what would in modern times be called a Freudian slip -</w:t>
      </w:r>
      <w:r w:rsidR="009E4BF2">
        <w:rPr>
          <w:color w:val="000000" w:themeColor="text1"/>
        </w:rPr>
        <w:t xml:space="preserve"> “that </w:t>
      </w:r>
      <w:r w:rsidR="009E4BF2" w:rsidRPr="009E4BF2">
        <w:rPr>
          <w:color w:val="000000" w:themeColor="text1"/>
        </w:rPr>
        <w:t xml:space="preserve">woman's lover - I am sorry; I meant to say </w:t>
      </w:r>
      <w:r w:rsidR="009E4BF2">
        <w:rPr>
          <w:color w:val="000000" w:themeColor="text1"/>
        </w:rPr>
        <w:t>‘</w:t>
      </w:r>
      <w:r w:rsidR="009E4BF2" w:rsidRPr="009E4BF2">
        <w:rPr>
          <w:color w:val="000000" w:themeColor="text1"/>
        </w:rPr>
        <w:t>brother.</w:t>
      </w:r>
      <w:r w:rsidR="009E4BF2">
        <w:rPr>
          <w:color w:val="000000" w:themeColor="text1"/>
        </w:rPr>
        <w:t>’”</w:t>
      </w:r>
      <w:r w:rsidR="009E4BF2">
        <w:rPr>
          <w:rStyle w:val="FootnoteReference"/>
          <w:color w:val="000000" w:themeColor="text1"/>
        </w:rPr>
        <w:footnoteReference w:id="2"/>
      </w:r>
      <w:r w:rsidR="008C7B8C" w:rsidRPr="009E4BF2">
        <w:rPr>
          <w:color w:val="000000" w:themeColor="text1"/>
        </w:rPr>
        <w:t xml:space="preserve"> </w:t>
      </w:r>
      <w:r w:rsidR="005F66DA">
        <w:rPr>
          <w:color w:val="000000" w:themeColor="text1"/>
        </w:rPr>
        <w:t xml:space="preserve">Such moments allow for a more relaxed atmosphere than would be typical of a courtroom and allows Cicero (and Caelius by extension) to appear more likeable, as the jury may feel more of a sense of camaraderie in their </w:t>
      </w:r>
      <w:r w:rsidR="009E4BF2">
        <w:rPr>
          <w:color w:val="000000" w:themeColor="text1"/>
        </w:rPr>
        <w:t xml:space="preserve">shared </w:t>
      </w:r>
      <w:r w:rsidR="005F66DA">
        <w:rPr>
          <w:color w:val="000000" w:themeColor="text1"/>
        </w:rPr>
        <w:t>disapproval of Clodia’s alleged affairs when given the opportunity to find humour in the situation.</w:t>
      </w:r>
      <w:r w:rsidR="009E4BF2">
        <w:rPr>
          <w:color w:val="000000" w:themeColor="text1"/>
        </w:rPr>
        <w:t xml:space="preserve"> </w:t>
      </w:r>
      <w:r w:rsidR="00590186">
        <w:rPr>
          <w:color w:val="000000" w:themeColor="text1"/>
        </w:rPr>
        <w:t xml:space="preserve">By incorporating comedy into this oration and using it as a strategy for arguing his case, Cicero </w:t>
      </w:r>
      <w:proofErr w:type="gramStart"/>
      <w:r w:rsidR="00590186">
        <w:rPr>
          <w:color w:val="000000" w:themeColor="text1"/>
        </w:rPr>
        <w:t>is able to</w:t>
      </w:r>
      <w:proofErr w:type="gramEnd"/>
      <w:r w:rsidR="00590186">
        <w:rPr>
          <w:color w:val="000000" w:themeColor="text1"/>
        </w:rPr>
        <w:t xml:space="preserve"> covertly swing the jury towards a more favourable viewing of him and his client Caelius. </w:t>
      </w:r>
      <w:r w:rsidR="0082517B">
        <w:rPr>
          <w:color w:val="000000" w:themeColor="text1"/>
        </w:rPr>
        <w:t xml:space="preserve">Much of the more overtly comedic remarks found in the </w:t>
      </w:r>
      <w:r w:rsidR="0082517B">
        <w:rPr>
          <w:i/>
          <w:iCs/>
          <w:color w:val="000000" w:themeColor="text1"/>
        </w:rPr>
        <w:t xml:space="preserve">Pro </w:t>
      </w:r>
      <w:proofErr w:type="spellStart"/>
      <w:r w:rsidR="0082517B">
        <w:rPr>
          <w:i/>
          <w:iCs/>
          <w:color w:val="000000" w:themeColor="text1"/>
        </w:rPr>
        <w:t>Caelio</w:t>
      </w:r>
      <w:proofErr w:type="spellEnd"/>
      <w:r w:rsidR="0082517B">
        <w:rPr>
          <w:i/>
          <w:iCs/>
          <w:color w:val="000000" w:themeColor="text1"/>
        </w:rPr>
        <w:t xml:space="preserve"> </w:t>
      </w:r>
      <w:r w:rsidR="0082517B">
        <w:rPr>
          <w:color w:val="000000" w:themeColor="text1"/>
        </w:rPr>
        <w:t xml:space="preserve">are allusions towards Clodia’s sexual promiscuity or alleged sexual misconduct, demonstrating the significance of both elements within the speech and how they are often intertwined </w:t>
      </w:r>
      <w:r w:rsidR="003501ED">
        <w:rPr>
          <w:color w:val="000000" w:themeColor="text1"/>
        </w:rPr>
        <w:t>in reference to Clodia.</w:t>
      </w:r>
    </w:p>
    <w:p w14:paraId="58DF6963" w14:textId="74D811EE" w:rsidR="001D5C44" w:rsidRPr="0082517B" w:rsidRDefault="001D5C44" w:rsidP="002F2670">
      <w:pPr>
        <w:rPr>
          <w:color w:val="000000" w:themeColor="text1"/>
        </w:rPr>
      </w:pPr>
      <w:r>
        <w:rPr>
          <w:color w:val="000000" w:themeColor="text1"/>
        </w:rPr>
        <w:t>Perhaps the most overt of Cicero’s strategies in portraying Clodia is his construction of a narrative of sexual misconduct. While this applies more broadly throughout the oration in accusations of promiscuity and infidelity, Cicero uses this as a backdrop to create one of his chief arguments in the case. This is of course, that Clodia’s accusations against Caelius are motivated by the vengeance of a scorned lover</w:t>
      </w:r>
      <w:r w:rsidR="00B35973">
        <w:rPr>
          <w:color w:val="000000" w:themeColor="text1"/>
        </w:rPr>
        <w:t>,</w:t>
      </w:r>
      <w:r w:rsidR="00867FF8">
        <w:rPr>
          <w:rStyle w:val="FootnoteReference"/>
          <w:color w:val="000000" w:themeColor="text1"/>
        </w:rPr>
        <w:footnoteReference w:id="3"/>
      </w:r>
      <w:r w:rsidR="00B35973">
        <w:rPr>
          <w:color w:val="000000" w:themeColor="text1"/>
        </w:rPr>
        <w:t xml:space="preserve"> a</w:t>
      </w:r>
      <w:r w:rsidR="00B35973">
        <w:rPr>
          <w:color w:val="000000" w:themeColor="text1"/>
        </w:rPr>
        <w:t>lthough there is no evidence for this being the case other than Cicero’s own word</w:t>
      </w:r>
      <w:r w:rsidR="00B35973">
        <w:rPr>
          <w:color w:val="000000" w:themeColor="text1"/>
        </w:rPr>
        <w:t>.</w:t>
      </w:r>
      <w:r w:rsidR="00B35973">
        <w:rPr>
          <w:rStyle w:val="FootnoteReference"/>
          <w:color w:val="000000" w:themeColor="text1"/>
        </w:rPr>
        <w:footnoteReference w:id="4"/>
      </w:r>
      <w:r w:rsidR="00B35973">
        <w:rPr>
          <w:color w:val="000000" w:themeColor="text1"/>
        </w:rPr>
        <w:t xml:space="preserve"> When imitating a more familial tone, Cicero asks Clodia “</w:t>
      </w:r>
      <w:r w:rsidR="00B35973" w:rsidRPr="001D5C44">
        <w:rPr>
          <w:color w:val="000000" w:themeColor="text1"/>
        </w:rPr>
        <w:t>Why do you bother with this fellow who spurns you?</w:t>
      </w:r>
      <w:r w:rsidR="00B35973">
        <w:rPr>
          <w:color w:val="000000" w:themeColor="text1"/>
        </w:rPr>
        <w:t>”</w:t>
      </w:r>
      <w:r w:rsidR="00B35973">
        <w:rPr>
          <w:rStyle w:val="FootnoteReference"/>
          <w:color w:val="000000" w:themeColor="text1"/>
        </w:rPr>
        <w:footnoteReference w:id="5"/>
      </w:r>
      <w:r w:rsidR="00B35973">
        <w:rPr>
          <w:color w:val="000000" w:themeColor="text1"/>
        </w:rPr>
        <w:t xml:space="preserve"> Furthermore, </w:t>
      </w:r>
      <w:r w:rsidR="00867FF8">
        <w:rPr>
          <w:color w:val="000000" w:themeColor="text1"/>
        </w:rPr>
        <w:t xml:space="preserve">Cicero suggests that Clodia, not </w:t>
      </w:r>
      <w:proofErr w:type="spellStart"/>
      <w:r w:rsidR="00867FF8">
        <w:rPr>
          <w:color w:val="000000" w:themeColor="text1"/>
        </w:rPr>
        <w:t>Atratinus</w:t>
      </w:r>
      <w:proofErr w:type="spellEnd"/>
      <w:r w:rsidR="00867FF8">
        <w:rPr>
          <w:color w:val="000000" w:themeColor="text1"/>
        </w:rPr>
        <w:t>, is the driving force behind the trial, and by reducing the weight of her accusations he may grant Caelius a more favourable verdict. From even the opening of his speech, Cicero turned his attention to Clodia’s accusations with more fervour than those from others</w:t>
      </w:r>
      <w:r w:rsidR="00B35973">
        <w:rPr>
          <w:color w:val="000000" w:themeColor="text1"/>
        </w:rPr>
        <w:t xml:space="preserve"> and insists that she cannot be forgiven for them: </w:t>
      </w:r>
      <w:r w:rsidR="00867FF8">
        <w:rPr>
          <w:color w:val="000000" w:themeColor="text1"/>
        </w:rPr>
        <w:t>“</w:t>
      </w:r>
      <w:r w:rsidR="00867FF8" w:rsidRPr="00867FF8">
        <w:rPr>
          <w:color w:val="000000" w:themeColor="text1"/>
        </w:rPr>
        <w:t>For the rest [of the accusations,] not only must nothing be pardoned</w:t>
      </w:r>
      <w:r w:rsidR="00B35973">
        <w:rPr>
          <w:color w:val="000000" w:themeColor="text1"/>
        </w:rPr>
        <w:t>.</w:t>
      </w:r>
      <w:r w:rsidR="00867FF8" w:rsidRPr="00867FF8">
        <w:rPr>
          <w:color w:val="000000" w:themeColor="text1"/>
        </w:rPr>
        <w:t>”</w:t>
      </w:r>
      <w:r w:rsidR="00867FF8">
        <w:rPr>
          <w:rStyle w:val="FootnoteReference"/>
          <w:color w:val="000000" w:themeColor="text1"/>
        </w:rPr>
        <w:footnoteReference w:id="6"/>
      </w:r>
      <w:r w:rsidR="00B35973">
        <w:rPr>
          <w:color w:val="000000" w:themeColor="text1"/>
        </w:rPr>
        <w:t xml:space="preserve"> By keeping both his speech and the jury’s attention focused on Clodia’s accusations towards Caelius,</w:t>
      </w:r>
      <w:r w:rsidR="00DC7C3F">
        <w:rPr>
          <w:color w:val="000000" w:themeColor="text1"/>
        </w:rPr>
        <w:t xml:space="preserve"> Cicero is able to extend his argument past that of just Clodia’s accusations and steer the jury towards the opinion that much of the trial is based around that of false vengeful statements, or at the very least look upon Caelius with more sympathy.</w:t>
      </w:r>
    </w:p>
    <w:p w14:paraId="099B7B61" w14:textId="20E90659" w:rsidR="002464FE" w:rsidRDefault="009A30BC" w:rsidP="009A30BC">
      <w:r>
        <w:lastRenderedPageBreak/>
        <w:t xml:space="preserve">While portraying Clodia as promiscuous had its advantages </w:t>
      </w:r>
      <w:r w:rsidR="00496F7B">
        <w:t>for Cicero, the lengths he goes to establish this may appear excessive to a prosecutor, particularly his reference to Clodia’s alleged sexual relations with her brother, of which the only evidence is through word of mouth. Cicero aspired to diminish Clodia’s testimony by launching</w:t>
      </w:r>
      <w:r>
        <w:t xml:space="preserve"> “</w:t>
      </w:r>
      <w:r>
        <w:t>a savage and devastating attack on</w:t>
      </w:r>
      <w:r>
        <w:t xml:space="preserve"> </w:t>
      </w:r>
      <w:r>
        <w:t>Clodia's whole charac</w:t>
      </w:r>
      <w:r>
        <w:t>ter”</w:t>
      </w:r>
      <w:r>
        <w:rPr>
          <w:rStyle w:val="FootnoteReference"/>
        </w:rPr>
        <w:footnoteReference w:id="7"/>
      </w:r>
      <w:r w:rsidR="00496F7B">
        <w:t xml:space="preserve"> which may be argued by a prosecutor to have pushed the boundaries between truth and slander, which Cicero himself condemns earlier in his speech: “</w:t>
      </w:r>
      <w:r w:rsidR="00496F7B" w:rsidRPr="00496F7B">
        <w:t>Next the prosecution, after trying to make</w:t>
      </w:r>
      <w:r w:rsidR="00496F7B">
        <w:t xml:space="preserve"> </w:t>
      </w:r>
      <w:r w:rsidR="00496F7B" w:rsidRPr="00496F7B">
        <w:t xml:space="preserve">their slanderous point about </w:t>
      </w:r>
      <w:r w:rsidR="00496F7B">
        <w:t xml:space="preserve">[Caelius’] </w:t>
      </w:r>
      <w:r w:rsidR="00496F7B" w:rsidRPr="00496F7B">
        <w:t>immorality</w:t>
      </w:r>
      <w:r w:rsidR="00496F7B">
        <w:t>.”</w:t>
      </w:r>
      <w:r w:rsidR="00496F7B">
        <w:rPr>
          <w:rStyle w:val="FootnoteReference"/>
        </w:rPr>
        <w:footnoteReference w:id="8"/>
      </w:r>
      <w:r w:rsidR="002464FE">
        <w:t xml:space="preserve"> Given Cicero’s history with Clodia and his hatred of her brothers, Appius and Publius,</w:t>
      </w:r>
      <w:r w:rsidR="002464FE">
        <w:rPr>
          <w:rStyle w:val="FootnoteReference"/>
        </w:rPr>
        <w:footnoteReference w:id="9"/>
      </w:r>
      <w:r w:rsidR="002464FE">
        <w:t xml:space="preserve"> a prosecutor would likely be curious about their history and potentially accuse Cicero of defamation of Clodia’s character, especially in the case of remarks not relevant to her relationship with Caelius or to the accusations against him.</w:t>
      </w:r>
      <w:r w:rsidR="00AA54BF">
        <w:t xml:space="preserve"> </w:t>
      </w:r>
      <w:r w:rsidR="00DE2527">
        <w:t xml:space="preserve">Cicero may also be called into question over his focus on Clodia not just for his inflammatory statements regarding her character, but also for his misattribution of blame, crafting his defence of Caelius as an offence against Clodia, where it could equally be one against </w:t>
      </w:r>
      <w:proofErr w:type="spellStart"/>
      <w:r w:rsidR="00DE2527">
        <w:t>Atratinus</w:t>
      </w:r>
      <w:proofErr w:type="spellEnd"/>
      <w:r w:rsidR="00DE2527">
        <w:t>, who contributed much more to the trial’s existence than Clodia did.</w:t>
      </w:r>
    </w:p>
    <w:p w14:paraId="2CA56300" w14:textId="217BB79A" w:rsidR="00DE2527" w:rsidRPr="00081200" w:rsidRDefault="00081200" w:rsidP="009A30BC">
      <w:r>
        <w:t xml:space="preserve">Cicero was able to use both diminishment of Clodia’s character and elements of comedy to great effect in </w:t>
      </w:r>
      <w:r>
        <w:rPr>
          <w:i/>
          <w:iCs/>
        </w:rPr>
        <w:t xml:space="preserve">Pro </w:t>
      </w:r>
      <w:proofErr w:type="spellStart"/>
      <w:r>
        <w:rPr>
          <w:i/>
          <w:iCs/>
        </w:rPr>
        <w:t>Caelio</w:t>
      </w:r>
      <w:proofErr w:type="spellEnd"/>
      <w:r>
        <w:t xml:space="preserve">, both as individual strategies and working together in tandem to bring about a more favourable outcome for himself and Caelius. </w:t>
      </w:r>
      <w:proofErr w:type="gramStart"/>
      <w:r>
        <w:t>However</w:t>
      </w:r>
      <w:proofErr w:type="gramEnd"/>
      <w:r>
        <w:t xml:space="preserve"> his over-examination and defamatory language towards Clodia prompts more careful examination into their histories and Cicero’s intentions when using such language against her while subsequently avoiding such measures when confronted by other accusations against Caelius, opting in those cases to uplift Caelius’ character instead of putting down that of the accuser’s. </w:t>
      </w:r>
    </w:p>
    <w:p w14:paraId="730FFEF6" w14:textId="77777777" w:rsidR="002464FE" w:rsidRDefault="002464FE" w:rsidP="009A30BC"/>
    <w:p w14:paraId="089CB91D" w14:textId="77777777" w:rsidR="00CE6187" w:rsidRDefault="00CE6187" w:rsidP="002F2670"/>
    <w:p w14:paraId="75DCCAF1" w14:textId="77777777" w:rsidR="00CE6187" w:rsidRDefault="00CE6187" w:rsidP="002F2670"/>
    <w:p w14:paraId="05987A36" w14:textId="77777777" w:rsidR="00CE6187" w:rsidRDefault="00CE6187" w:rsidP="002F2670"/>
    <w:p w14:paraId="05D48486" w14:textId="77777777" w:rsidR="00CE6187" w:rsidRDefault="00CE6187" w:rsidP="002F2670"/>
    <w:p w14:paraId="46E19463" w14:textId="77777777" w:rsidR="00CE6187" w:rsidRDefault="00CE6187" w:rsidP="002F2670"/>
    <w:p w14:paraId="301AD189" w14:textId="77777777" w:rsidR="00DC7C3F" w:rsidRDefault="00DC7C3F" w:rsidP="002F2670"/>
    <w:p w14:paraId="6718E58B" w14:textId="77777777" w:rsidR="00DC7C3F" w:rsidRDefault="00DC7C3F" w:rsidP="002F2670"/>
    <w:p w14:paraId="24F625BF" w14:textId="77777777" w:rsidR="00DC7C3F" w:rsidRDefault="00DC7C3F" w:rsidP="002F2670"/>
    <w:p w14:paraId="75A8BEAD" w14:textId="77777777" w:rsidR="00DC7C3F" w:rsidRDefault="00DC7C3F" w:rsidP="002F2670"/>
    <w:p w14:paraId="09E62944" w14:textId="77777777" w:rsidR="00DC7C3F" w:rsidRDefault="00DC7C3F" w:rsidP="002F2670"/>
    <w:p w14:paraId="1FA105B1" w14:textId="77777777" w:rsidR="00512CC0" w:rsidRDefault="00512CC0" w:rsidP="002F2670"/>
    <w:p w14:paraId="22402F7D" w14:textId="77777777" w:rsidR="00DC7C3F" w:rsidRDefault="00DC7C3F" w:rsidP="002F2670"/>
    <w:p w14:paraId="2E059277" w14:textId="09162365" w:rsidR="00CE6187" w:rsidRPr="00DC7C3F" w:rsidRDefault="00DC7C3F" w:rsidP="002F2670">
      <w:pPr>
        <w:rPr>
          <w:u w:val="single"/>
        </w:rPr>
      </w:pPr>
      <w:r>
        <w:rPr>
          <w:u w:val="single"/>
        </w:rPr>
        <w:lastRenderedPageBreak/>
        <w:t>Works cited:</w:t>
      </w:r>
    </w:p>
    <w:p w14:paraId="2F30A688" w14:textId="52A2706F" w:rsidR="00CE6187" w:rsidRDefault="009E4BF2" w:rsidP="002F2670">
      <w:pPr>
        <w:rPr>
          <w:i/>
          <w:iCs/>
        </w:rPr>
      </w:pPr>
      <w:r w:rsidRPr="009E4BF2">
        <w:rPr>
          <w:i/>
          <w:iCs/>
        </w:rPr>
        <w:t xml:space="preserve">Cicero (2000). "Pro </w:t>
      </w:r>
      <w:proofErr w:type="spellStart"/>
      <w:r w:rsidRPr="009E4BF2">
        <w:rPr>
          <w:i/>
          <w:iCs/>
        </w:rPr>
        <w:t>Caelio</w:t>
      </w:r>
      <w:proofErr w:type="spellEnd"/>
      <w:r w:rsidRPr="009E4BF2">
        <w:rPr>
          <w:i/>
          <w:iCs/>
        </w:rPr>
        <w:t xml:space="preserve">". Cicero: </w:t>
      </w:r>
      <w:proofErr w:type="spellStart"/>
      <w:r w:rsidRPr="009E4BF2">
        <w:rPr>
          <w:i/>
          <w:iCs/>
        </w:rPr>
        <w:t>Defense</w:t>
      </w:r>
      <w:proofErr w:type="spellEnd"/>
      <w:r w:rsidRPr="009E4BF2">
        <w:rPr>
          <w:i/>
          <w:iCs/>
        </w:rPr>
        <w:t xml:space="preserve"> Speeches. Oxford World Classics. Edited and translated by D. H. Berry. New York: Oxford University Press.</w:t>
      </w:r>
    </w:p>
    <w:p w14:paraId="450AAB61" w14:textId="22939196" w:rsidR="002464FE" w:rsidRPr="002464FE" w:rsidRDefault="002464FE" w:rsidP="002F2670">
      <w:r w:rsidRPr="002464FE">
        <w:t xml:space="preserve">Crownover, E. (1934). The Clash between Clodia and Cicero. </w:t>
      </w:r>
      <w:r w:rsidRPr="002464FE">
        <w:rPr>
          <w:i/>
          <w:iCs/>
        </w:rPr>
        <w:t>The Classical Journal</w:t>
      </w:r>
      <w:r w:rsidRPr="002464FE">
        <w:t xml:space="preserve">, </w:t>
      </w:r>
      <w:r w:rsidRPr="002464FE">
        <w:rPr>
          <w:i/>
          <w:iCs/>
        </w:rPr>
        <w:t>30</w:t>
      </w:r>
      <w:r w:rsidRPr="002464FE">
        <w:t>(3), 137–147. http://www.jstor.org/stable/3289889</w:t>
      </w:r>
    </w:p>
    <w:p w14:paraId="66E73D21" w14:textId="4CB0F399" w:rsidR="009A30BC" w:rsidRPr="009A30BC" w:rsidRDefault="009A30BC" w:rsidP="002F2670">
      <w:r w:rsidRPr="009A30BC">
        <w:t xml:space="preserve">Dorey, T. A. (1958). Cicero, Clodia, and the “Pro </w:t>
      </w:r>
      <w:proofErr w:type="spellStart"/>
      <w:r w:rsidRPr="009A30BC">
        <w:t>Caelio</w:t>
      </w:r>
      <w:proofErr w:type="spellEnd"/>
      <w:r w:rsidRPr="009A30BC">
        <w:t xml:space="preserve">.” </w:t>
      </w:r>
      <w:r w:rsidRPr="009A30BC">
        <w:rPr>
          <w:i/>
          <w:iCs/>
        </w:rPr>
        <w:t>Greece &amp; Rome</w:t>
      </w:r>
      <w:r w:rsidRPr="009A30BC">
        <w:t xml:space="preserve">, </w:t>
      </w:r>
      <w:r w:rsidRPr="009A30BC">
        <w:rPr>
          <w:i/>
          <w:iCs/>
        </w:rPr>
        <w:t>5</w:t>
      </w:r>
      <w:r w:rsidRPr="009A30BC">
        <w:t>(2), 175–180. http://www.jstor.org/stable/640934</w:t>
      </w:r>
    </w:p>
    <w:p w14:paraId="1883256A" w14:textId="3025E811" w:rsidR="00CE6187" w:rsidRDefault="00CE6187" w:rsidP="00CE6187">
      <w:r w:rsidRPr="00CE6187">
        <w:t xml:space="preserve">Leigh, M. (2004). The </w:t>
      </w:r>
      <w:r w:rsidRPr="00CE6187">
        <w:rPr>
          <w:i/>
          <w:iCs/>
        </w:rPr>
        <w:t xml:space="preserve">Pro </w:t>
      </w:r>
      <w:proofErr w:type="spellStart"/>
      <w:r w:rsidRPr="00CE6187">
        <w:rPr>
          <w:i/>
          <w:iCs/>
        </w:rPr>
        <w:t>Caelio</w:t>
      </w:r>
      <w:proofErr w:type="spellEnd"/>
      <w:r w:rsidRPr="00CE6187">
        <w:t xml:space="preserve"> and Comedy. </w:t>
      </w:r>
      <w:r w:rsidRPr="00CE6187">
        <w:rPr>
          <w:i/>
          <w:iCs/>
        </w:rPr>
        <w:t>Classical Philology</w:t>
      </w:r>
      <w:r w:rsidRPr="00CE6187">
        <w:t xml:space="preserve">, </w:t>
      </w:r>
      <w:r w:rsidRPr="00CE6187">
        <w:rPr>
          <w:i/>
          <w:iCs/>
        </w:rPr>
        <w:t>99</w:t>
      </w:r>
      <w:r w:rsidRPr="00CE6187">
        <w:t xml:space="preserve">(4), 300–335. </w:t>
      </w:r>
      <w:hyperlink r:id="rId7" w:history="1">
        <w:r w:rsidR="00867FF8" w:rsidRPr="00CE6187">
          <w:rPr>
            <w:rStyle w:val="Hyperlink"/>
          </w:rPr>
          <w:t>https://doi.org/10.1086/429939</w:t>
        </w:r>
      </w:hyperlink>
    </w:p>
    <w:p w14:paraId="738BC91A" w14:textId="77777777" w:rsidR="00867FF8" w:rsidRPr="00867FF8" w:rsidRDefault="00867FF8" w:rsidP="00867FF8">
      <w:r w:rsidRPr="00867FF8">
        <w:t xml:space="preserve">Salzman, M. R. (1982). Cicero, the </w:t>
      </w:r>
      <w:proofErr w:type="spellStart"/>
      <w:r w:rsidRPr="00867FF8">
        <w:t>Megalenses</w:t>
      </w:r>
      <w:proofErr w:type="spellEnd"/>
      <w:r w:rsidRPr="00867FF8">
        <w:t xml:space="preserve"> and the </w:t>
      </w:r>
      <w:proofErr w:type="spellStart"/>
      <w:r w:rsidRPr="00867FF8">
        <w:t>Defense</w:t>
      </w:r>
      <w:proofErr w:type="spellEnd"/>
      <w:r w:rsidRPr="00867FF8">
        <w:t xml:space="preserve"> of Caelius. </w:t>
      </w:r>
      <w:r w:rsidRPr="00867FF8">
        <w:rPr>
          <w:i/>
          <w:iCs/>
        </w:rPr>
        <w:t>The American Journal of Philology</w:t>
      </w:r>
      <w:r w:rsidRPr="00867FF8">
        <w:t xml:space="preserve">, </w:t>
      </w:r>
      <w:r w:rsidRPr="00867FF8">
        <w:rPr>
          <w:i/>
          <w:iCs/>
        </w:rPr>
        <w:t>103</w:t>
      </w:r>
      <w:r w:rsidRPr="00867FF8">
        <w:t>(3), 299–304. https://doi.org/10.2307/294473</w:t>
      </w:r>
    </w:p>
    <w:p w14:paraId="434EA2C9" w14:textId="77777777" w:rsidR="00867FF8" w:rsidRPr="00CE6187" w:rsidRDefault="00867FF8" w:rsidP="00CE6187"/>
    <w:p w14:paraId="36F8A411" w14:textId="77777777" w:rsidR="00CE6187" w:rsidRDefault="00CE6187" w:rsidP="002F2670"/>
    <w:sectPr w:rsidR="00CE61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002E3" w14:textId="77777777" w:rsidR="004A68EF" w:rsidRDefault="004A68EF" w:rsidP="00CE6187">
      <w:pPr>
        <w:spacing w:after="0" w:line="240" w:lineRule="auto"/>
      </w:pPr>
      <w:r>
        <w:separator/>
      </w:r>
    </w:p>
  </w:endnote>
  <w:endnote w:type="continuationSeparator" w:id="0">
    <w:p w14:paraId="579ACC93" w14:textId="77777777" w:rsidR="004A68EF" w:rsidRDefault="004A68EF" w:rsidP="00CE6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475A6" w14:textId="77777777" w:rsidR="004A68EF" w:rsidRDefault="004A68EF" w:rsidP="00CE6187">
      <w:pPr>
        <w:spacing w:after="0" w:line="240" w:lineRule="auto"/>
      </w:pPr>
      <w:r>
        <w:separator/>
      </w:r>
    </w:p>
  </w:footnote>
  <w:footnote w:type="continuationSeparator" w:id="0">
    <w:p w14:paraId="064D226C" w14:textId="77777777" w:rsidR="004A68EF" w:rsidRDefault="004A68EF" w:rsidP="00CE6187">
      <w:pPr>
        <w:spacing w:after="0" w:line="240" w:lineRule="auto"/>
      </w:pPr>
      <w:r>
        <w:continuationSeparator/>
      </w:r>
    </w:p>
  </w:footnote>
  <w:footnote w:id="1">
    <w:p w14:paraId="5B696913" w14:textId="15254B0A" w:rsidR="00CE6187" w:rsidRPr="00CE6187" w:rsidRDefault="00CE6187">
      <w:pPr>
        <w:pStyle w:val="FootnoteText"/>
        <w:rPr>
          <w:lang w:val="en-US"/>
        </w:rPr>
      </w:pPr>
      <w:r>
        <w:rPr>
          <w:rStyle w:val="FootnoteReference"/>
        </w:rPr>
        <w:footnoteRef/>
      </w:r>
      <w:r>
        <w:t xml:space="preserve"> </w:t>
      </w:r>
      <w:r>
        <w:rPr>
          <w:lang w:val="en-US"/>
        </w:rPr>
        <w:t xml:space="preserve">Leigh, M. </w:t>
      </w:r>
      <w:r w:rsidR="00DC7C3F">
        <w:rPr>
          <w:lang w:val="en-US"/>
        </w:rPr>
        <w:t>(</w:t>
      </w:r>
      <w:r>
        <w:rPr>
          <w:lang w:val="en-US"/>
        </w:rPr>
        <w:t>2004</w:t>
      </w:r>
      <w:r w:rsidR="009A30BC">
        <w:rPr>
          <w:lang w:val="en-US"/>
        </w:rPr>
        <w:t>)</w:t>
      </w:r>
      <w:r>
        <w:rPr>
          <w:lang w:val="en-US"/>
        </w:rPr>
        <w:t xml:space="preserve">. </w:t>
      </w:r>
      <w:r w:rsidR="009A30BC">
        <w:rPr>
          <w:lang w:val="en-US"/>
        </w:rPr>
        <w:t>P.</w:t>
      </w:r>
      <w:r>
        <w:rPr>
          <w:lang w:val="en-US"/>
        </w:rPr>
        <w:t>301.</w:t>
      </w:r>
    </w:p>
  </w:footnote>
  <w:footnote w:id="2">
    <w:p w14:paraId="6EF069DF" w14:textId="14F33450" w:rsidR="009E4BF2" w:rsidRPr="009E4BF2" w:rsidRDefault="009E4BF2">
      <w:pPr>
        <w:pStyle w:val="FootnoteText"/>
        <w:rPr>
          <w:i/>
          <w:iCs/>
          <w:lang w:val="en-US"/>
        </w:rPr>
      </w:pPr>
      <w:r>
        <w:rPr>
          <w:rStyle w:val="FootnoteReference"/>
        </w:rPr>
        <w:footnoteRef/>
      </w:r>
      <w:r>
        <w:t xml:space="preserve"> </w:t>
      </w:r>
      <w:r>
        <w:rPr>
          <w:lang w:val="en-US"/>
        </w:rPr>
        <w:t xml:space="preserve">Cicero, </w:t>
      </w:r>
      <w:r>
        <w:rPr>
          <w:i/>
          <w:iCs/>
          <w:lang w:val="en-US"/>
        </w:rPr>
        <w:t xml:space="preserve">Pro </w:t>
      </w:r>
      <w:proofErr w:type="spellStart"/>
      <w:r>
        <w:rPr>
          <w:i/>
          <w:iCs/>
          <w:lang w:val="en-US"/>
        </w:rPr>
        <w:t>Caelio</w:t>
      </w:r>
      <w:proofErr w:type="spellEnd"/>
      <w:r>
        <w:rPr>
          <w:i/>
          <w:iCs/>
          <w:lang w:val="en-US"/>
        </w:rPr>
        <w:t xml:space="preserve">. </w:t>
      </w:r>
      <w:r w:rsidRPr="00496F7B">
        <w:rPr>
          <w:lang w:val="en-US"/>
        </w:rPr>
        <w:t>13.</w:t>
      </w:r>
    </w:p>
  </w:footnote>
  <w:footnote w:id="3">
    <w:p w14:paraId="69234FD9" w14:textId="079E6D77" w:rsidR="00867FF8" w:rsidRPr="00867FF8" w:rsidRDefault="00867FF8">
      <w:pPr>
        <w:pStyle w:val="FootnoteText"/>
        <w:rPr>
          <w:lang w:val="en-US"/>
        </w:rPr>
      </w:pPr>
      <w:r>
        <w:rPr>
          <w:rStyle w:val="FootnoteReference"/>
        </w:rPr>
        <w:footnoteRef/>
      </w:r>
      <w:r>
        <w:t xml:space="preserve"> </w:t>
      </w:r>
      <w:r>
        <w:rPr>
          <w:lang w:val="en-US"/>
        </w:rPr>
        <w:t>Salzman, M.R. (1982). p.300.</w:t>
      </w:r>
    </w:p>
  </w:footnote>
  <w:footnote w:id="4">
    <w:p w14:paraId="65C72ADF" w14:textId="77777777" w:rsidR="00B35973" w:rsidRPr="00B35973" w:rsidRDefault="00B35973" w:rsidP="00B35973">
      <w:pPr>
        <w:pStyle w:val="FootnoteText"/>
        <w:rPr>
          <w:lang w:val="en-US"/>
        </w:rPr>
      </w:pPr>
      <w:r>
        <w:rPr>
          <w:rStyle w:val="FootnoteReference"/>
        </w:rPr>
        <w:footnoteRef/>
      </w:r>
      <w:r>
        <w:t xml:space="preserve"> Dorey, T.A. (2004). P.178.</w:t>
      </w:r>
    </w:p>
  </w:footnote>
  <w:footnote w:id="5">
    <w:p w14:paraId="601FB958" w14:textId="79C841B6" w:rsidR="00B35973" w:rsidRPr="00B35973" w:rsidRDefault="00B35973">
      <w:pPr>
        <w:pStyle w:val="FootnoteText"/>
        <w:rPr>
          <w:lang w:val="en-US"/>
        </w:rPr>
      </w:pPr>
      <w:r>
        <w:rPr>
          <w:rStyle w:val="FootnoteReference"/>
        </w:rPr>
        <w:footnoteRef/>
      </w:r>
      <w:r>
        <w:t xml:space="preserve"> Ci</w:t>
      </w:r>
      <w:r>
        <w:rPr>
          <w:lang w:val="en-US"/>
        </w:rPr>
        <w:t xml:space="preserve">cero, </w:t>
      </w:r>
      <w:r>
        <w:rPr>
          <w:i/>
          <w:iCs/>
          <w:lang w:val="en-US"/>
        </w:rPr>
        <w:t xml:space="preserve">Pro </w:t>
      </w:r>
      <w:proofErr w:type="spellStart"/>
      <w:r>
        <w:rPr>
          <w:i/>
          <w:iCs/>
          <w:lang w:val="en-US"/>
        </w:rPr>
        <w:t>Caelio</w:t>
      </w:r>
      <w:proofErr w:type="spellEnd"/>
      <w:r>
        <w:rPr>
          <w:i/>
          <w:iCs/>
          <w:lang w:val="en-US"/>
        </w:rPr>
        <w:t xml:space="preserve">. </w:t>
      </w:r>
      <w:r>
        <w:rPr>
          <w:lang w:val="en-US"/>
        </w:rPr>
        <w:t>15.</w:t>
      </w:r>
    </w:p>
  </w:footnote>
  <w:footnote w:id="6">
    <w:p w14:paraId="093D6CAE" w14:textId="7EEF2089" w:rsidR="00867FF8" w:rsidRPr="00867FF8" w:rsidRDefault="00867FF8">
      <w:pPr>
        <w:pStyle w:val="FootnoteText"/>
        <w:rPr>
          <w:lang w:val="en-US"/>
        </w:rPr>
      </w:pPr>
      <w:r>
        <w:rPr>
          <w:rStyle w:val="FootnoteReference"/>
        </w:rPr>
        <w:footnoteRef/>
      </w:r>
      <w:r>
        <w:t xml:space="preserve"> </w:t>
      </w:r>
      <w:r>
        <w:rPr>
          <w:lang w:val="en-US"/>
        </w:rPr>
        <w:t xml:space="preserve">Cicero, </w:t>
      </w:r>
      <w:r>
        <w:rPr>
          <w:i/>
          <w:iCs/>
          <w:lang w:val="en-US"/>
        </w:rPr>
        <w:t xml:space="preserve">Pro </w:t>
      </w:r>
      <w:proofErr w:type="spellStart"/>
      <w:r>
        <w:rPr>
          <w:i/>
          <w:iCs/>
          <w:lang w:val="en-US"/>
        </w:rPr>
        <w:t>Caelio</w:t>
      </w:r>
      <w:proofErr w:type="spellEnd"/>
      <w:r w:rsidR="00B35973">
        <w:rPr>
          <w:i/>
          <w:iCs/>
          <w:lang w:val="en-US"/>
        </w:rPr>
        <w:t>.</w:t>
      </w:r>
      <w:r>
        <w:rPr>
          <w:i/>
          <w:iCs/>
          <w:lang w:val="en-US"/>
        </w:rPr>
        <w:t xml:space="preserve"> </w:t>
      </w:r>
      <w:r>
        <w:rPr>
          <w:lang w:val="en-US"/>
        </w:rPr>
        <w:t>2.</w:t>
      </w:r>
    </w:p>
  </w:footnote>
  <w:footnote w:id="7">
    <w:p w14:paraId="31F432B2" w14:textId="26DB8A48" w:rsidR="009A30BC" w:rsidRPr="009A30BC" w:rsidRDefault="009A30BC">
      <w:pPr>
        <w:pStyle w:val="FootnoteText"/>
        <w:rPr>
          <w:lang w:val="en-US"/>
        </w:rPr>
      </w:pPr>
      <w:r>
        <w:rPr>
          <w:rStyle w:val="FootnoteReference"/>
        </w:rPr>
        <w:footnoteRef/>
      </w:r>
      <w:r>
        <w:t xml:space="preserve"> Dorey, T.A. (2004). P.178.</w:t>
      </w:r>
    </w:p>
  </w:footnote>
  <w:footnote w:id="8">
    <w:p w14:paraId="71B73AA3" w14:textId="0AB4BCA3" w:rsidR="00496F7B" w:rsidRPr="00496F7B" w:rsidRDefault="00496F7B">
      <w:pPr>
        <w:pStyle w:val="FootnoteText"/>
        <w:rPr>
          <w:lang w:val="en-US"/>
        </w:rPr>
      </w:pPr>
      <w:r>
        <w:rPr>
          <w:rStyle w:val="FootnoteReference"/>
        </w:rPr>
        <w:footnoteRef/>
      </w:r>
      <w:r>
        <w:t xml:space="preserve"> </w:t>
      </w:r>
      <w:r>
        <w:rPr>
          <w:lang w:val="en-US"/>
        </w:rPr>
        <w:t xml:space="preserve">Cicero, </w:t>
      </w:r>
      <w:r>
        <w:rPr>
          <w:i/>
          <w:iCs/>
          <w:lang w:val="en-US"/>
        </w:rPr>
        <w:t xml:space="preserve">Pro </w:t>
      </w:r>
      <w:proofErr w:type="spellStart"/>
      <w:r>
        <w:rPr>
          <w:i/>
          <w:iCs/>
          <w:lang w:val="en-US"/>
        </w:rPr>
        <w:t>Caelio</w:t>
      </w:r>
      <w:proofErr w:type="spellEnd"/>
      <w:r w:rsidRPr="00496F7B">
        <w:rPr>
          <w:lang w:val="en-US"/>
        </w:rPr>
        <w:t>.</w:t>
      </w:r>
      <w:r w:rsidRPr="00496F7B">
        <w:rPr>
          <w:lang w:val="en-US"/>
        </w:rPr>
        <w:t xml:space="preserve"> 7.</w:t>
      </w:r>
    </w:p>
  </w:footnote>
  <w:footnote w:id="9">
    <w:p w14:paraId="6F078342" w14:textId="512141AD" w:rsidR="002464FE" w:rsidRPr="002464FE" w:rsidRDefault="002464FE">
      <w:pPr>
        <w:pStyle w:val="FootnoteText"/>
        <w:rPr>
          <w:lang w:val="en-US"/>
        </w:rPr>
      </w:pPr>
      <w:r>
        <w:rPr>
          <w:rStyle w:val="FootnoteReference"/>
        </w:rPr>
        <w:footnoteRef/>
      </w:r>
      <w:r>
        <w:t xml:space="preserve"> Crownover. (1934). P.139.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79E"/>
    <w:rsid w:val="00081200"/>
    <w:rsid w:val="00114CBF"/>
    <w:rsid w:val="001D5C44"/>
    <w:rsid w:val="002464FE"/>
    <w:rsid w:val="002F2670"/>
    <w:rsid w:val="003501ED"/>
    <w:rsid w:val="00395A9C"/>
    <w:rsid w:val="00496F7B"/>
    <w:rsid w:val="004A68EF"/>
    <w:rsid w:val="004E77EF"/>
    <w:rsid w:val="00505F89"/>
    <w:rsid w:val="00512CC0"/>
    <w:rsid w:val="00563119"/>
    <w:rsid w:val="00590186"/>
    <w:rsid w:val="005F66DA"/>
    <w:rsid w:val="006F779E"/>
    <w:rsid w:val="0082517B"/>
    <w:rsid w:val="008448C5"/>
    <w:rsid w:val="00867FF8"/>
    <w:rsid w:val="008C7B8C"/>
    <w:rsid w:val="009A30BC"/>
    <w:rsid w:val="009E4BF2"/>
    <w:rsid w:val="00A64160"/>
    <w:rsid w:val="00AA54BF"/>
    <w:rsid w:val="00AF6A7F"/>
    <w:rsid w:val="00B35973"/>
    <w:rsid w:val="00BA76B3"/>
    <w:rsid w:val="00CE6187"/>
    <w:rsid w:val="00DC7C3F"/>
    <w:rsid w:val="00DE2527"/>
    <w:rsid w:val="00F30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E9454"/>
  <w15:chartTrackingRefBased/>
  <w15:docId w15:val="{4A1650E5-E87F-4F6F-A75A-331389081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7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7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7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7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7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7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7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7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7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7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7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7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7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7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7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7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7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79E"/>
    <w:rPr>
      <w:rFonts w:eastAsiaTheme="majorEastAsia" w:cstheme="majorBidi"/>
      <w:color w:val="272727" w:themeColor="text1" w:themeTint="D8"/>
    </w:rPr>
  </w:style>
  <w:style w:type="paragraph" w:styleId="Title">
    <w:name w:val="Title"/>
    <w:basedOn w:val="Normal"/>
    <w:next w:val="Normal"/>
    <w:link w:val="TitleChar"/>
    <w:uiPriority w:val="10"/>
    <w:qFormat/>
    <w:rsid w:val="006F77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7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7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7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79E"/>
    <w:pPr>
      <w:spacing w:before="160"/>
      <w:jc w:val="center"/>
    </w:pPr>
    <w:rPr>
      <w:i/>
      <w:iCs/>
      <w:color w:val="404040" w:themeColor="text1" w:themeTint="BF"/>
    </w:rPr>
  </w:style>
  <w:style w:type="character" w:customStyle="1" w:styleId="QuoteChar">
    <w:name w:val="Quote Char"/>
    <w:basedOn w:val="DefaultParagraphFont"/>
    <w:link w:val="Quote"/>
    <w:uiPriority w:val="29"/>
    <w:rsid w:val="006F779E"/>
    <w:rPr>
      <w:i/>
      <w:iCs/>
      <w:color w:val="404040" w:themeColor="text1" w:themeTint="BF"/>
    </w:rPr>
  </w:style>
  <w:style w:type="paragraph" w:styleId="ListParagraph">
    <w:name w:val="List Paragraph"/>
    <w:basedOn w:val="Normal"/>
    <w:uiPriority w:val="34"/>
    <w:qFormat/>
    <w:rsid w:val="006F779E"/>
    <w:pPr>
      <w:ind w:left="720"/>
      <w:contextualSpacing/>
    </w:pPr>
  </w:style>
  <w:style w:type="character" w:styleId="IntenseEmphasis">
    <w:name w:val="Intense Emphasis"/>
    <w:basedOn w:val="DefaultParagraphFont"/>
    <w:uiPriority w:val="21"/>
    <w:qFormat/>
    <w:rsid w:val="006F779E"/>
    <w:rPr>
      <w:i/>
      <w:iCs/>
      <w:color w:val="0F4761" w:themeColor="accent1" w:themeShade="BF"/>
    </w:rPr>
  </w:style>
  <w:style w:type="paragraph" w:styleId="IntenseQuote">
    <w:name w:val="Intense Quote"/>
    <w:basedOn w:val="Normal"/>
    <w:next w:val="Normal"/>
    <w:link w:val="IntenseQuoteChar"/>
    <w:uiPriority w:val="30"/>
    <w:qFormat/>
    <w:rsid w:val="006F77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79E"/>
    <w:rPr>
      <w:i/>
      <w:iCs/>
      <w:color w:val="0F4761" w:themeColor="accent1" w:themeShade="BF"/>
    </w:rPr>
  </w:style>
  <w:style w:type="character" w:styleId="IntenseReference">
    <w:name w:val="Intense Reference"/>
    <w:basedOn w:val="DefaultParagraphFont"/>
    <w:uiPriority w:val="32"/>
    <w:qFormat/>
    <w:rsid w:val="006F779E"/>
    <w:rPr>
      <w:b/>
      <w:bCs/>
      <w:smallCaps/>
      <w:color w:val="0F4761" w:themeColor="accent1" w:themeShade="BF"/>
      <w:spacing w:val="5"/>
    </w:rPr>
  </w:style>
  <w:style w:type="paragraph" w:styleId="FootnoteText">
    <w:name w:val="footnote text"/>
    <w:basedOn w:val="Normal"/>
    <w:link w:val="FootnoteTextChar"/>
    <w:uiPriority w:val="99"/>
    <w:semiHidden/>
    <w:unhideWhenUsed/>
    <w:rsid w:val="00CE61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6187"/>
    <w:rPr>
      <w:sz w:val="20"/>
      <w:szCs w:val="20"/>
    </w:rPr>
  </w:style>
  <w:style w:type="character" w:styleId="FootnoteReference">
    <w:name w:val="footnote reference"/>
    <w:basedOn w:val="DefaultParagraphFont"/>
    <w:uiPriority w:val="99"/>
    <w:semiHidden/>
    <w:unhideWhenUsed/>
    <w:rsid w:val="00CE6187"/>
    <w:rPr>
      <w:vertAlign w:val="superscript"/>
    </w:rPr>
  </w:style>
  <w:style w:type="character" w:styleId="Hyperlink">
    <w:name w:val="Hyperlink"/>
    <w:basedOn w:val="DefaultParagraphFont"/>
    <w:uiPriority w:val="99"/>
    <w:unhideWhenUsed/>
    <w:rsid w:val="00867FF8"/>
    <w:rPr>
      <w:color w:val="467886" w:themeColor="hyperlink"/>
      <w:u w:val="single"/>
    </w:rPr>
  </w:style>
  <w:style w:type="character" w:styleId="UnresolvedMention">
    <w:name w:val="Unresolved Mention"/>
    <w:basedOn w:val="DefaultParagraphFont"/>
    <w:uiPriority w:val="99"/>
    <w:semiHidden/>
    <w:unhideWhenUsed/>
    <w:rsid w:val="00867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705038">
      <w:bodyDiv w:val="1"/>
      <w:marLeft w:val="0"/>
      <w:marRight w:val="0"/>
      <w:marTop w:val="0"/>
      <w:marBottom w:val="0"/>
      <w:divBdr>
        <w:top w:val="none" w:sz="0" w:space="0" w:color="auto"/>
        <w:left w:val="none" w:sz="0" w:space="0" w:color="auto"/>
        <w:bottom w:val="none" w:sz="0" w:space="0" w:color="auto"/>
        <w:right w:val="none" w:sz="0" w:space="0" w:color="auto"/>
      </w:divBdr>
      <w:divsChild>
        <w:div w:id="875434480">
          <w:marLeft w:val="0"/>
          <w:marRight w:val="0"/>
          <w:marTop w:val="0"/>
          <w:marBottom w:val="0"/>
          <w:divBdr>
            <w:top w:val="none" w:sz="0" w:space="0" w:color="auto"/>
            <w:left w:val="none" w:sz="0" w:space="0" w:color="auto"/>
            <w:bottom w:val="none" w:sz="0" w:space="0" w:color="auto"/>
            <w:right w:val="none" w:sz="0" w:space="0" w:color="auto"/>
          </w:divBdr>
          <w:divsChild>
            <w:div w:id="41169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248367">
      <w:bodyDiv w:val="1"/>
      <w:marLeft w:val="0"/>
      <w:marRight w:val="0"/>
      <w:marTop w:val="0"/>
      <w:marBottom w:val="0"/>
      <w:divBdr>
        <w:top w:val="none" w:sz="0" w:space="0" w:color="auto"/>
        <w:left w:val="none" w:sz="0" w:space="0" w:color="auto"/>
        <w:bottom w:val="none" w:sz="0" w:space="0" w:color="auto"/>
        <w:right w:val="none" w:sz="0" w:space="0" w:color="auto"/>
      </w:divBdr>
      <w:divsChild>
        <w:div w:id="239020276">
          <w:marLeft w:val="0"/>
          <w:marRight w:val="0"/>
          <w:marTop w:val="0"/>
          <w:marBottom w:val="0"/>
          <w:divBdr>
            <w:top w:val="none" w:sz="0" w:space="0" w:color="auto"/>
            <w:left w:val="none" w:sz="0" w:space="0" w:color="auto"/>
            <w:bottom w:val="none" w:sz="0" w:space="0" w:color="auto"/>
            <w:right w:val="none" w:sz="0" w:space="0" w:color="auto"/>
          </w:divBdr>
          <w:divsChild>
            <w:div w:id="58919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736087">
      <w:bodyDiv w:val="1"/>
      <w:marLeft w:val="0"/>
      <w:marRight w:val="0"/>
      <w:marTop w:val="0"/>
      <w:marBottom w:val="0"/>
      <w:divBdr>
        <w:top w:val="none" w:sz="0" w:space="0" w:color="auto"/>
        <w:left w:val="none" w:sz="0" w:space="0" w:color="auto"/>
        <w:bottom w:val="none" w:sz="0" w:space="0" w:color="auto"/>
        <w:right w:val="none" w:sz="0" w:space="0" w:color="auto"/>
      </w:divBdr>
      <w:divsChild>
        <w:div w:id="838348334">
          <w:marLeft w:val="0"/>
          <w:marRight w:val="0"/>
          <w:marTop w:val="0"/>
          <w:marBottom w:val="0"/>
          <w:divBdr>
            <w:top w:val="none" w:sz="0" w:space="0" w:color="auto"/>
            <w:left w:val="none" w:sz="0" w:space="0" w:color="auto"/>
            <w:bottom w:val="none" w:sz="0" w:space="0" w:color="auto"/>
            <w:right w:val="none" w:sz="0" w:space="0" w:color="auto"/>
          </w:divBdr>
          <w:divsChild>
            <w:div w:id="194361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279970">
      <w:bodyDiv w:val="1"/>
      <w:marLeft w:val="0"/>
      <w:marRight w:val="0"/>
      <w:marTop w:val="0"/>
      <w:marBottom w:val="0"/>
      <w:divBdr>
        <w:top w:val="none" w:sz="0" w:space="0" w:color="auto"/>
        <w:left w:val="none" w:sz="0" w:space="0" w:color="auto"/>
        <w:bottom w:val="none" w:sz="0" w:space="0" w:color="auto"/>
        <w:right w:val="none" w:sz="0" w:space="0" w:color="auto"/>
      </w:divBdr>
      <w:divsChild>
        <w:div w:id="1426850344">
          <w:marLeft w:val="0"/>
          <w:marRight w:val="0"/>
          <w:marTop w:val="0"/>
          <w:marBottom w:val="0"/>
          <w:divBdr>
            <w:top w:val="none" w:sz="0" w:space="0" w:color="auto"/>
            <w:left w:val="none" w:sz="0" w:space="0" w:color="auto"/>
            <w:bottom w:val="none" w:sz="0" w:space="0" w:color="auto"/>
            <w:right w:val="none" w:sz="0" w:space="0" w:color="auto"/>
          </w:divBdr>
          <w:divsChild>
            <w:div w:id="12590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951170">
      <w:bodyDiv w:val="1"/>
      <w:marLeft w:val="0"/>
      <w:marRight w:val="0"/>
      <w:marTop w:val="0"/>
      <w:marBottom w:val="0"/>
      <w:divBdr>
        <w:top w:val="none" w:sz="0" w:space="0" w:color="auto"/>
        <w:left w:val="none" w:sz="0" w:space="0" w:color="auto"/>
        <w:bottom w:val="none" w:sz="0" w:space="0" w:color="auto"/>
        <w:right w:val="none" w:sz="0" w:space="0" w:color="auto"/>
      </w:divBdr>
      <w:divsChild>
        <w:div w:id="387652394">
          <w:marLeft w:val="0"/>
          <w:marRight w:val="0"/>
          <w:marTop w:val="0"/>
          <w:marBottom w:val="0"/>
          <w:divBdr>
            <w:top w:val="none" w:sz="0" w:space="0" w:color="auto"/>
            <w:left w:val="none" w:sz="0" w:space="0" w:color="auto"/>
            <w:bottom w:val="none" w:sz="0" w:space="0" w:color="auto"/>
            <w:right w:val="none" w:sz="0" w:space="0" w:color="auto"/>
          </w:divBdr>
          <w:divsChild>
            <w:div w:id="6036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821016">
      <w:bodyDiv w:val="1"/>
      <w:marLeft w:val="0"/>
      <w:marRight w:val="0"/>
      <w:marTop w:val="0"/>
      <w:marBottom w:val="0"/>
      <w:divBdr>
        <w:top w:val="none" w:sz="0" w:space="0" w:color="auto"/>
        <w:left w:val="none" w:sz="0" w:space="0" w:color="auto"/>
        <w:bottom w:val="none" w:sz="0" w:space="0" w:color="auto"/>
        <w:right w:val="none" w:sz="0" w:space="0" w:color="auto"/>
      </w:divBdr>
      <w:divsChild>
        <w:div w:id="195705065">
          <w:marLeft w:val="0"/>
          <w:marRight w:val="0"/>
          <w:marTop w:val="0"/>
          <w:marBottom w:val="0"/>
          <w:divBdr>
            <w:top w:val="none" w:sz="0" w:space="0" w:color="auto"/>
            <w:left w:val="none" w:sz="0" w:space="0" w:color="auto"/>
            <w:bottom w:val="none" w:sz="0" w:space="0" w:color="auto"/>
            <w:right w:val="none" w:sz="0" w:space="0" w:color="auto"/>
          </w:divBdr>
          <w:divsChild>
            <w:div w:id="24611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272554">
      <w:bodyDiv w:val="1"/>
      <w:marLeft w:val="0"/>
      <w:marRight w:val="0"/>
      <w:marTop w:val="0"/>
      <w:marBottom w:val="0"/>
      <w:divBdr>
        <w:top w:val="none" w:sz="0" w:space="0" w:color="auto"/>
        <w:left w:val="none" w:sz="0" w:space="0" w:color="auto"/>
        <w:bottom w:val="none" w:sz="0" w:space="0" w:color="auto"/>
        <w:right w:val="none" w:sz="0" w:space="0" w:color="auto"/>
      </w:divBdr>
      <w:divsChild>
        <w:div w:id="303973256">
          <w:marLeft w:val="0"/>
          <w:marRight w:val="0"/>
          <w:marTop w:val="0"/>
          <w:marBottom w:val="0"/>
          <w:divBdr>
            <w:top w:val="none" w:sz="0" w:space="0" w:color="auto"/>
            <w:left w:val="none" w:sz="0" w:space="0" w:color="auto"/>
            <w:bottom w:val="none" w:sz="0" w:space="0" w:color="auto"/>
            <w:right w:val="none" w:sz="0" w:space="0" w:color="auto"/>
          </w:divBdr>
          <w:divsChild>
            <w:div w:id="131113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397003">
      <w:bodyDiv w:val="1"/>
      <w:marLeft w:val="0"/>
      <w:marRight w:val="0"/>
      <w:marTop w:val="0"/>
      <w:marBottom w:val="0"/>
      <w:divBdr>
        <w:top w:val="none" w:sz="0" w:space="0" w:color="auto"/>
        <w:left w:val="none" w:sz="0" w:space="0" w:color="auto"/>
        <w:bottom w:val="none" w:sz="0" w:space="0" w:color="auto"/>
        <w:right w:val="none" w:sz="0" w:space="0" w:color="auto"/>
      </w:divBdr>
      <w:divsChild>
        <w:div w:id="1635939269">
          <w:marLeft w:val="0"/>
          <w:marRight w:val="0"/>
          <w:marTop w:val="0"/>
          <w:marBottom w:val="0"/>
          <w:divBdr>
            <w:top w:val="none" w:sz="0" w:space="0" w:color="auto"/>
            <w:left w:val="none" w:sz="0" w:space="0" w:color="auto"/>
            <w:bottom w:val="none" w:sz="0" w:space="0" w:color="auto"/>
            <w:right w:val="none" w:sz="0" w:space="0" w:color="auto"/>
          </w:divBdr>
          <w:divsChild>
            <w:div w:id="208811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6/42993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70D91A-E0AD-4825-A982-8D3531AD3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3</Pages>
  <Words>921</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Caddy (2305582)</dc:creator>
  <cp:keywords/>
  <dc:description/>
  <cp:lastModifiedBy>Apollo Caddy (2305582)</cp:lastModifiedBy>
  <cp:revision>7</cp:revision>
  <dcterms:created xsi:type="dcterms:W3CDTF">2025-02-09T21:18:00Z</dcterms:created>
  <dcterms:modified xsi:type="dcterms:W3CDTF">2025-02-09T23:54:00Z</dcterms:modified>
</cp:coreProperties>
</file>