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93CAB5E" w14:paraId="21D3DF18" wp14:textId="22EF6BE3">
      <w:pPr>
        <w:pStyle w:val="Normal"/>
        <w:jc w:val="center"/>
      </w:pPr>
      <w:r w:rsidR="77C0D0AD">
        <w:drawing>
          <wp:inline xmlns:wp14="http://schemas.microsoft.com/office/word/2010/wordprocessingDrawing" wp14:editId="1B4F58A6" wp14:anchorId="1CE177AF">
            <wp:extent cx="1704975" cy="790575"/>
            <wp:effectExtent l="0" t="0" r="0" b="0"/>
            <wp:docPr id="143602077" name="" title=""/>
            <wp:cNvGraphicFramePr>
              <a:graphicFrameLocks noChangeAspect="1"/>
            </wp:cNvGraphicFramePr>
            <a:graphic>
              <a:graphicData uri="http://schemas.openxmlformats.org/drawingml/2006/picture">
                <pic:pic>
                  <pic:nvPicPr>
                    <pic:cNvPr id="0" name=""/>
                    <pic:cNvPicPr/>
                  </pic:nvPicPr>
                  <pic:blipFill>
                    <a:blip r:embed="R143e023910ad459d">
                      <a:extLst>
                        <a:ext xmlns:a="http://schemas.openxmlformats.org/drawingml/2006/main" uri="{28A0092B-C50C-407E-A947-70E740481C1C}">
                          <a14:useLocalDpi val="0"/>
                        </a:ext>
                      </a:extLst>
                    </a:blip>
                    <a:stretch>
                      <a:fillRect/>
                    </a:stretch>
                  </pic:blipFill>
                  <pic:spPr>
                    <a:xfrm>
                      <a:off x="0" y="0"/>
                      <a:ext cx="1704975" cy="790575"/>
                    </a:xfrm>
                    <a:prstGeom prst="rect">
                      <a:avLst/>
                    </a:prstGeom>
                  </pic:spPr>
                </pic:pic>
              </a:graphicData>
            </a:graphic>
          </wp:inline>
        </w:drawing>
      </w:r>
    </w:p>
    <w:p xmlns:wp14="http://schemas.microsoft.com/office/word/2010/wordml" w:rsidP="493CAB5E" w14:paraId="31AC15AD" wp14:textId="70AD7964">
      <w:pPr>
        <w:jc w:val="center"/>
        <w:rPr>
          <w:rFonts w:ascii="Times New Roman" w:hAnsi="Times New Roman" w:eastAsia="Times New Roman" w:cs="Times New Roman"/>
          <w:b w:val="1"/>
          <w:bCs w:val="1"/>
          <w:i w:val="0"/>
          <w:iCs w:val="0"/>
          <w:strike w:val="0"/>
          <w:dstrike w:val="0"/>
          <w:noProof w:val="0"/>
          <w:color w:val="000000" w:themeColor="text1" w:themeTint="FF" w:themeShade="FF"/>
          <w:sz w:val="48"/>
          <w:szCs w:val="48"/>
          <w:u w:val="none"/>
          <w:lang w:val="en-US"/>
        </w:rPr>
      </w:pPr>
    </w:p>
    <w:p xmlns:wp14="http://schemas.microsoft.com/office/word/2010/wordml" w:rsidP="493CAB5E" w14:paraId="5092260D" wp14:textId="18FC5960">
      <w:pPr>
        <w:jc w:val="center"/>
        <w:rPr>
          <w:rFonts w:ascii="Times New Roman" w:hAnsi="Times New Roman" w:eastAsia="Times New Roman" w:cs="Times New Roman"/>
          <w:b w:val="1"/>
          <w:bCs w:val="1"/>
          <w:i w:val="0"/>
          <w:iCs w:val="0"/>
          <w:strike w:val="0"/>
          <w:dstrike w:val="0"/>
          <w:noProof w:val="0"/>
          <w:color w:val="000000" w:themeColor="text1" w:themeTint="FF" w:themeShade="FF"/>
          <w:sz w:val="48"/>
          <w:szCs w:val="48"/>
          <w:u w:val="none"/>
          <w:lang w:val="en-US"/>
        </w:rPr>
      </w:pPr>
    </w:p>
    <w:p xmlns:wp14="http://schemas.microsoft.com/office/word/2010/wordml" w:rsidP="493CAB5E" w14:paraId="10DEBB2F" wp14:textId="2AADB135">
      <w:pPr>
        <w:jc w:val="center"/>
        <w:rPr>
          <w:rFonts w:ascii="Times New Roman" w:hAnsi="Times New Roman" w:eastAsia="Times New Roman" w:cs="Times New Roman"/>
          <w:b w:val="1"/>
          <w:bCs w:val="1"/>
          <w:i w:val="0"/>
          <w:iCs w:val="0"/>
          <w:strike w:val="0"/>
          <w:dstrike w:val="0"/>
          <w:noProof w:val="0"/>
          <w:color w:val="000000" w:themeColor="text1" w:themeTint="FF" w:themeShade="FF"/>
          <w:sz w:val="48"/>
          <w:szCs w:val="48"/>
          <w:u w:val="none"/>
          <w:lang w:val="en-US"/>
        </w:rPr>
      </w:pPr>
    </w:p>
    <w:p xmlns:wp14="http://schemas.microsoft.com/office/word/2010/wordml" w:rsidP="493CAB5E" w14:paraId="101B0CE1" wp14:textId="713FDF0E">
      <w:pPr>
        <w:jc w:val="center"/>
        <w:rPr>
          <w:rFonts w:ascii="Times New Roman" w:hAnsi="Times New Roman" w:eastAsia="Times New Roman" w:cs="Times New Roman"/>
          <w:b w:val="1"/>
          <w:bCs w:val="1"/>
          <w:i w:val="0"/>
          <w:iCs w:val="0"/>
          <w:strike w:val="0"/>
          <w:dstrike w:val="0"/>
          <w:noProof w:val="0"/>
          <w:color w:val="000000" w:themeColor="text1" w:themeTint="FF" w:themeShade="FF"/>
          <w:sz w:val="48"/>
          <w:szCs w:val="48"/>
          <w:u w:val="none"/>
          <w:lang w:val="en-US"/>
        </w:rPr>
      </w:pPr>
    </w:p>
    <w:p xmlns:wp14="http://schemas.microsoft.com/office/word/2010/wordml" w:rsidP="493CAB5E" w14:paraId="3B3ABD60" wp14:textId="028187D1">
      <w:pPr>
        <w:jc w:val="center"/>
      </w:pPr>
      <w:r w:rsidRPr="493CAB5E" w:rsidR="7BA1A07D">
        <w:rPr>
          <w:rFonts w:ascii="Times New Roman" w:hAnsi="Times New Roman" w:eastAsia="Times New Roman" w:cs="Times New Roman"/>
          <w:b w:val="1"/>
          <w:bCs w:val="1"/>
          <w:i w:val="0"/>
          <w:iCs w:val="0"/>
          <w:strike w:val="0"/>
          <w:dstrike w:val="0"/>
          <w:noProof w:val="0"/>
          <w:color w:val="000000" w:themeColor="text1" w:themeTint="FF" w:themeShade="FF"/>
          <w:sz w:val="48"/>
          <w:szCs w:val="48"/>
          <w:u w:val="none"/>
          <w:lang w:val="en-US"/>
        </w:rPr>
        <w:t>Financial Management for Hotel Industry</w:t>
      </w:r>
    </w:p>
    <w:p xmlns:wp14="http://schemas.microsoft.com/office/word/2010/wordml" w:rsidP="493CAB5E" w14:paraId="3D74C405" wp14:textId="242D6976">
      <w:pPr>
        <w:jc w:val="center"/>
      </w:pPr>
      <w:r w:rsidRPr="493CAB5E" w:rsidR="7BA1A07D">
        <w:rPr>
          <w:rFonts w:ascii="Times New Roman" w:hAnsi="Times New Roman" w:eastAsia="Times New Roman" w:cs="Times New Roman"/>
          <w:b w:val="0"/>
          <w:bCs w:val="0"/>
          <w:i w:val="0"/>
          <w:iCs w:val="0"/>
          <w:strike w:val="0"/>
          <w:dstrike w:val="0"/>
          <w:noProof w:val="0"/>
          <w:color w:val="000000" w:themeColor="text1" w:themeTint="FF" w:themeShade="FF"/>
          <w:sz w:val="36"/>
          <w:szCs w:val="36"/>
          <w:u w:val="none"/>
          <w:lang w:val="en-US"/>
        </w:rPr>
        <w:t>Module Code: BMIH5007</w:t>
      </w:r>
    </w:p>
    <w:p xmlns:wp14="http://schemas.microsoft.com/office/word/2010/wordml" w:rsidP="493CAB5E" w14:paraId="6BC0ECC5" wp14:textId="25F5D347">
      <w:pPr>
        <w:jc w:val="center"/>
      </w:pPr>
      <w:r w:rsidRPr="493CAB5E" w:rsidR="7BA1A07D">
        <w:rPr>
          <w:rFonts w:ascii="Times New Roman" w:hAnsi="Times New Roman" w:eastAsia="Times New Roman" w:cs="Times New Roman"/>
          <w:b w:val="1"/>
          <w:bCs w:val="1"/>
          <w:i w:val="0"/>
          <w:iCs w:val="0"/>
          <w:strike w:val="0"/>
          <w:dstrike w:val="0"/>
          <w:noProof w:val="0"/>
          <w:color w:val="000000" w:themeColor="text1" w:themeTint="FF" w:themeShade="FF"/>
          <w:sz w:val="44"/>
          <w:szCs w:val="44"/>
          <w:u w:val="none"/>
          <w:lang w:val="en-US"/>
        </w:rPr>
        <w:t>Comparison of Two Hospitality Organisations</w:t>
      </w:r>
    </w:p>
    <w:p xmlns:wp14="http://schemas.microsoft.com/office/word/2010/wordml" w:rsidP="493CAB5E" w14:paraId="4456C1EC" wp14:textId="061280A7">
      <w:pPr>
        <w:pStyle w:val="Normal"/>
        <w:jc w:val="both"/>
      </w:pPr>
      <w:r>
        <w:br/>
      </w:r>
      <w:r>
        <w:br/>
      </w:r>
    </w:p>
    <w:p xmlns:wp14="http://schemas.microsoft.com/office/word/2010/wordml" w:rsidP="493CAB5E" w14:paraId="5924128A" wp14:textId="0C4E9042">
      <w:pPr>
        <w:jc w:val="center"/>
      </w:pPr>
      <w:r w:rsidRPr="493CAB5E" w:rsidR="3DC1ED5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Student Name: Salman Ali</w:t>
      </w:r>
    </w:p>
    <w:p xmlns:wp14="http://schemas.microsoft.com/office/word/2010/wordml" w:rsidP="493CAB5E" w14:paraId="4E355684" wp14:textId="116D4BC1">
      <w:pPr>
        <w:jc w:val="center"/>
      </w:pPr>
      <w:r w:rsidRPr="493CAB5E" w:rsidR="3DC1ED5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Student ID: 2119165</w:t>
      </w:r>
    </w:p>
    <w:p xmlns:wp14="http://schemas.microsoft.com/office/word/2010/wordml" w:rsidP="493CAB5E" w14:paraId="2C078E63" wp14:textId="073082E2">
      <w:pPr>
        <w:pStyle w:val="Normal"/>
        <w:jc w:val="both"/>
        <w:rPr>
          <w:rFonts w:ascii="Calibri" w:hAnsi="Calibri" w:eastAsia="Calibri" w:cs="Calibri"/>
          <w:noProof w:val="0"/>
          <w:sz w:val="22"/>
          <w:szCs w:val="22"/>
          <w:lang w:val="en-US"/>
        </w:rPr>
      </w:pPr>
      <w:r w:rsidRPr="493CAB5E" w:rsidR="3DC1ED5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 xml:space="preserve">                               Lecturer Name: </w:t>
      </w:r>
      <w:r w:rsidRPr="493CAB5E" w:rsidR="3DC1ED52">
        <w:rPr>
          <w:rFonts w:ascii="Roboto" w:hAnsi="Roboto" w:eastAsia="Roboto" w:cs="Roboto"/>
          <w:b w:val="0"/>
          <w:bCs w:val="0"/>
          <w:i w:val="0"/>
          <w:iCs w:val="0"/>
          <w:strike w:val="0"/>
          <w:dstrike w:val="0"/>
          <w:noProof w:val="0"/>
          <w:color w:val="424242"/>
          <w:sz w:val="27"/>
          <w:szCs w:val="27"/>
          <w:u w:val="none"/>
          <w:lang w:val="en-US"/>
        </w:rPr>
        <w:t>Christopher Wilkin</w:t>
      </w:r>
    </w:p>
    <w:p w:rsidR="493CAB5E" w:rsidP="493CAB5E" w:rsidRDefault="493CAB5E" w14:paraId="5AE46C6D" w14:textId="31BDBF30">
      <w:pPr>
        <w:pStyle w:val="Normal"/>
        <w:jc w:val="both"/>
        <w:rPr>
          <w:rFonts w:ascii="Roboto" w:hAnsi="Roboto" w:eastAsia="Roboto" w:cs="Roboto"/>
          <w:b w:val="0"/>
          <w:bCs w:val="0"/>
          <w:i w:val="0"/>
          <w:iCs w:val="0"/>
          <w:strike w:val="0"/>
          <w:dstrike w:val="0"/>
          <w:noProof w:val="0"/>
          <w:color w:val="424242"/>
          <w:sz w:val="27"/>
          <w:szCs w:val="27"/>
          <w:u w:val="none"/>
          <w:lang w:val="en-US"/>
        </w:rPr>
      </w:pPr>
    </w:p>
    <w:p w:rsidR="493CAB5E" w:rsidP="493CAB5E" w:rsidRDefault="493CAB5E" w14:paraId="2D5D0A5C" w14:textId="0D807773">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7621C6CE" w14:textId="1259AD57">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5C955C71" w14:textId="6BF3E7F9">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6C01437F" w14:textId="147435D2">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6BC859F5" w14:textId="1AF2D933">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77546E47" w14:textId="3E3251E8">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11DD6E9D" w14:textId="72BA5611">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73CA14DE" w14:textId="07448375">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24008DE9" w14:textId="5A249862">
      <w:pPr>
        <w:jc w:val="both"/>
        <w:rPr>
          <w:rFonts w:ascii="Calibri" w:hAnsi="Calibri" w:eastAsia="Calibri" w:cs="Calibri"/>
          <w:b w:val="0"/>
          <w:bCs w:val="0"/>
          <w:i w:val="0"/>
          <w:iCs w:val="0"/>
          <w:strike w:val="0"/>
          <w:dstrike w:val="0"/>
          <w:noProof w:val="0"/>
          <w:color w:val="2E75B5"/>
          <w:sz w:val="32"/>
          <w:szCs w:val="32"/>
          <w:u w:val="none"/>
          <w:lang w:val="en-US"/>
        </w:rPr>
      </w:pPr>
    </w:p>
    <w:p w:rsidR="493CAB5E" w:rsidP="493CAB5E" w:rsidRDefault="493CAB5E" w14:paraId="4A104C21" w14:textId="2C9F2246">
      <w:pPr>
        <w:jc w:val="both"/>
        <w:rPr>
          <w:rFonts w:ascii="Calibri" w:hAnsi="Calibri" w:eastAsia="Calibri" w:cs="Calibri"/>
          <w:b w:val="0"/>
          <w:bCs w:val="0"/>
          <w:i w:val="0"/>
          <w:iCs w:val="0"/>
          <w:strike w:val="0"/>
          <w:dstrike w:val="0"/>
          <w:noProof w:val="0"/>
          <w:color w:val="2E75B5"/>
          <w:sz w:val="32"/>
          <w:szCs w:val="32"/>
          <w:u w:val="single"/>
          <w:lang w:val="en-US"/>
        </w:rPr>
      </w:pPr>
    </w:p>
    <w:p w:rsidR="493CAB5E" w:rsidP="493CAB5E" w:rsidRDefault="493CAB5E" w14:paraId="1226CFCE" w14:textId="2908F7D0">
      <w:pPr>
        <w:pStyle w:val="Normal"/>
        <w:jc w:val="both"/>
        <w:rPr>
          <w:rFonts w:ascii="Calibri" w:hAnsi="Calibri" w:eastAsia="Calibri" w:cs="Calibri"/>
          <w:b w:val="0"/>
          <w:bCs w:val="0"/>
          <w:i w:val="0"/>
          <w:iCs w:val="0"/>
          <w:strike w:val="0"/>
          <w:dstrike w:val="0"/>
          <w:noProof w:val="0"/>
          <w:color w:val="2E75B5"/>
          <w:sz w:val="32"/>
          <w:szCs w:val="32"/>
          <w:u w:val="single"/>
          <w:lang w:val="en-US"/>
        </w:rPr>
      </w:pPr>
    </w:p>
    <w:p w:rsidR="493CAB5E" w:rsidP="493CAB5E" w:rsidRDefault="493CAB5E" w14:paraId="7FA0F217" w14:textId="3F112887">
      <w:pPr>
        <w:pStyle w:val="Normal"/>
        <w:jc w:val="both"/>
        <w:rPr>
          <w:rFonts w:ascii="Calibri" w:hAnsi="Calibri" w:eastAsia="Calibri" w:cs="Calibri"/>
          <w:b w:val="0"/>
          <w:bCs w:val="0"/>
          <w:i w:val="0"/>
          <w:iCs w:val="0"/>
          <w:strike w:val="0"/>
          <w:dstrike w:val="0"/>
          <w:noProof w:val="0"/>
          <w:color w:val="2E75B5"/>
          <w:sz w:val="32"/>
          <w:szCs w:val="32"/>
          <w:u w:val="single"/>
          <w:lang w:val="en-US"/>
        </w:rPr>
      </w:pPr>
    </w:p>
    <w:p w:rsidR="493CAB5E" w:rsidP="493CAB5E" w:rsidRDefault="493CAB5E" w14:paraId="5E4B9ACD" w14:textId="6B01F720">
      <w:pPr>
        <w:pStyle w:val="Normal"/>
        <w:jc w:val="both"/>
        <w:rPr>
          <w:rFonts w:ascii="Calibri" w:hAnsi="Calibri" w:eastAsia="Calibri" w:cs="Calibri"/>
          <w:b w:val="0"/>
          <w:bCs w:val="0"/>
          <w:i w:val="0"/>
          <w:iCs w:val="0"/>
          <w:strike w:val="0"/>
          <w:dstrike w:val="0"/>
          <w:noProof w:val="0"/>
          <w:color w:val="2E75B5"/>
          <w:sz w:val="32"/>
          <w:szCs w:val="32"/>
          <w:u w:val="single"/>
          <w:lang w:val="en-US"/>
        </w:rPr>
      </w:pPr>
    </w:p>
    <w:p w:rsidR="493CAB5E" w:rsidP="493CAB5E" w:rsidRDefault="493CAB5E" w14:paraId="66D93F78" w14:textId="35A1E479">
      <w:pPr>
        <w:pStyle w:val="Normal"/>
        <w:jc w:val="both"/>
        <w:rPr>
          <w:rFonts w:ascii="Calibri" w:hAnsi="Calibri" w:eastAsia="Calibri" w:cs="Calibri"/>
          <w:b w:val="0"/>
          <w:bCs w:val="0"/>
          <w:i w:val="0"/>
          <w:iCs w:val="0"/>
          <w:strike w:val="0"/>
          <w:dstrike w:val="0"/>
          <w:noProof w:val="0"/>
          <w:color w:val="2E75B5"/>
          <w:sz w:val="32"/>
          <w:szCs w:val="32"/>
          <w:u w:val="single"/>
          <w:lang w:val="en-US"/>
        </w:rPr>
      </w:pPr>
    </w:p>
    <w:p w:rsidR="29F2A8F8" w:rsidP="493CAB5E" w:rsidRDefault="29F2A8F8" w14:paraId="6C06F1A8" w14:textId="77C1F4EC">
      <w:pPr>
        <w:jc w:val="both"/>
        <w:rPr>
          <w:rFonts w:ascii="Calibri" w:hAnsi="Calibri" w:eastAsia="Calibri" w:cs="Calibri"/>
          <w:b w:val="0"/>
          <w:bCs w:val="0"/>
          <w:i w:val="0"/>
          <w:iCs w:val="0"/>
          <w:strike w:val="0"/>
          <w:dstrike w:val="0"/>
          <w:noProof w:val="0"/>
          <w:color w:val="auto"/>
          <w:sz w:val="32"/>
          <w:szCs w:val="32"/>
          <w:u w:val="single"/>
          <w:lang w:val="en-US"/>
        </w:rPr>
      </w:pPr>
      <w:r w:rsidRPr="493CAB5E" w:rsidR="29F2A8F8">
        <w:rPr>
          <w:rFonts w:ascii="Calibri" w:hAnsi="Calibri" w:eastAsia="Calibri" w:cs="Calibri"/>
          <w:b w:val="0"/>
          <w:bCs w:val="0"/>
          <w:i w:val="0"/>
          <w:iCs w:val="0"/>
          <w:strike w:val="0"/>
          <w:dstrike w:val="0"/>
          <w:noProof w:val="0"/>
          <w:color w:val="auto"/>
          <w:sz w:val="32"/>
          <w:szCs w:val="32"/>
          <w:u w:val="single"/>
          <w:lang w:val="en-US"/>
        </w:rPr>
        <w:t>Table of Contents</w:t>
      </w:r>
    </w:p>
    <w:p w:rsidR="493CAB5E" w:rsidP="493CAB5E" w:rsidRDefault="493CAB5E" w14:paraId="331AE205" w14:textId="1EEEB40B">
      <w:pPr>
        <w:pStyle w:val="Normal"/>
        <w:jc w:val="both"/>
        <w:rPr>
          <w:rFonts w:ascii="Calibri" w:hAnsi="Calibri" w:eastAsia="Calibri" w:cs="Calibri"/>
          <w:b w:val="0"/>
          <w:bCs w:val="0"/>
          <w:i w:val="0"/>
          <w:iCs w:val="0"/>
          <w:strike w:val="0"/>
          <w:dstrike w:val="0"/>
          <w:noProof w:val="0"/>
          <w:color w:val="auto"/>
          <w:sz w:val="32"/>
          <w:szCs w:val="32"/>
          <w:u w:val="none"/>
          <w:lang w:val="en-US"/>
        </w:rPr>
      </w:pPr>
    </w:p>
    <w:p w:rsidR="29F2A8F8" w:rsidP="493CAB5E" w:rsidRDefault="29F2A8F8" w14:paraId="37972313" w14:textId="3318B3B6">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gjdgxs" r:id="Rfec75569858a44f1">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Introduction</w:t>
        </w:r>
        <w:r>
          <w:tab/>
        </w:r>
        <w:r w:rsidRPr="493CAB5E" w:rsidR="4562FAA5">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3</w:t>
        </w:r>
      </w:hyperlink>
    </w:p>
    <w:p w:rsidR="29F2A8F8" w:rsidP="493CAB5E" w:rsidRDefault="29F2A8F8" w14:paraId="086B837B" w14:textId="7FA022E5">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30j0zll" r:id="Re8d48dd298894a6d">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Compare approaches of financial management of Hilton and Best Western</w:t>
        </w:r>
        <w:r>
          <w:tab/>
        </w:r>
        <w:r w:rsidRPr="493CAB5E" w:rsidR="020A584C">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4</w:t>
        </w:r>
      </w:hyperlink>
    </w:p>
    <w:p w:rsidR="29F2A8F8" w:rsidP="493CAB5E" w:rsidRDefault="29F2A8F8" w14:paraId="75865F39" w14:textId="28D72202">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1fob9te" r:id="Rca6fb482f7ae4f40">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Total revenue</w:t>
        </w:r>
        <w:r>
          <w:tab/>
        </w:r>
        <w:r w:rsidRPr="493CAB5E" w:rsidR="7E2C8450">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 xml:space="preserve">        </w:t>
        </w:r>
        <w:r w:rsidRPr="493CAB5E" w:rsidR="4F15F69B">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4</w:t>
        </w:r>
      </w:hyperlink>
    </w:p>
    <w:p w:rsidR="29F2A8F8" w:rsidP="493CAB5E" w:rsidRDefault="29F2A8F8" w14:paraId="11A574F9" w14:textId="31A58FC3">
      <w:pPr>
        <w:jc w:val="both"/>
        <w:rPr>
          <w:color w:val="auto"/>
          <w:u w:val="none"/>
        </w:rPr>
      </w:pPr>
      <w:hyperlink w:anchor="heading=h.3znysh7" r:id="R42d5cef401eb453c">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Market Position</w:t>
        </w:r>
        <w:r>
          <w:tab/>
        </w:r>
        <w:r w:rsidRPr="493CAB5E" w:rsidR="2C01E44B">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 xml:space="preserve">  </w:t>
        </w:r>
        <w:r w:rsidRPr="493CAB5E" w:rsidR="3CC3306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4</w:t>
        </w:r>
      </w:hyperlink>
    </w:p>
    <w:p w:rsidR="29F2A8F8" w:rsidP="493CAB5E" w:rsidRDefault="29F2A8F8" w14:paraId="1569A678" w14:textId="71E37DEA">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2et92p0" r:id="R160883403df3477a">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Growth Potential</w:t>
        </w:r>
        <w:r>
          <w:tab/>
        </w:r>
        <w:r w:rsidRPr="493CAB5E" w:rsidR="0A759DEE">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 xml:space="preserve">       </w:t>
        </w:r>
        <w:r w:rsidRPr="493CAB5E" w:rsidR="6F56466E">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5</w:t>
        </w:r>
      </w:hyperlink>
    </w:p>
    <w:p w:rsidR="29F2A8F8" w:rsidP="493CAB5E" w:rsidRDefault="29F2A8F8" w14:paraId="51AC0EF8" w14:textId="4B67BD93">
      <w:pPr>
        <w:jc w:val="both"/>
        <w:rPr>
          <w:color w:val="auto"/>
          <w:u w:val="none"/>
        </w:rPr>
      </w:pPr>
      <w:hyperlink w:anchor="heading=h.tyjcwt" r:id="R68552105f3de44f7">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Financial Commitment to CSR</w:t>
        </w:r>
        <w:r>
          <w:tab/>
        </w:r>
        <w:r w:rsidRPr="493CAB5E" w:rsidR="4A5E3AE3">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6</w:t>
        </w:r>
      </w:hyperlink>
    </w:p>
    <w:p w:rsidR="29F2A8F8" w:rsidP="493CAB5E" w:rsidRDefault="29F2A8F8" w14:paraId="418E320E" w14:textId="11EDC8B6">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3dy6vkm" r:id="R7689b0df2f1e48b0">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Recommendation</w:t>
        </w:r>
        <w:r w:rsidRPr="493CAB5E" w:rsidR="3A1B33E5">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s...............................................................................................8</w:t>
        </w:r>
        <w:r w:rsidRPr="493CAB5E" w:rsidR="7915C504">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 xml:space="preserve"> </w:t>
        </w:r>
      </w:hyperlink>
    </w:p>
    <w:p w:rsidR="29F2A8F8" w:rsidP="493CAB5E" w:rsidRDefault="29F2A8F8" w14:paraId="39EB873B" w14:textId="68E9CAEB">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1t3h5sf" r:id="R3d9291aeabd44dcc">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A dedicated fund for CSR (Hilton)</w:t>
        </w:r>
        <w:r>
          <w:tab/>
        </w:r>
        <w:r w:rsidRPr="493CAB5E" w:rsidR="54622AE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8</w:t>
        </w:r>
      </w:hyperlink>
    </w:p>
    <w:p w:rsidR="29F2A8F8" w:rsidP="493CAB5E" w:rsidRDefault="29F2A8F8" w14:paraId="7AFD00AE" w14:textId="634A840D">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4d34og8" r:id="Rb905b59408ad4ef5">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Business Expansion (Best Western)</w:t>
        </w:r>
        <w:r>
          <w:tab/>
        </w:r>
        <w:r w:rsidRPr="493CAB5E" w:rsidR="4D946C24">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9</w:t>
        </w:r>
      </w:hyperlink>
    </w:p>
    <w:p w:rsidR="29F2A8F8" w:rsidP="493CAB5E" w:rsidRDefault="29F2A8F8" w14:paraId="64971AB5" w14:textId="6D3CBF71">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2s8eyo1" r:id="Rc41643fb6fa74729">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Conclusio</w:t>
        </w:r>
        <w:r w:rsidRPr="493CAB5E" w:rsidR="357BF376">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n..........................................................................................................</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11</w:t>
        </w:r>
      </w:hyperlink>
    </w:p>
    <w:p w:rsidR="29F2A8F8" w:rsidP="493CAB5E" w:rsidRDefault="29F2A8F8" w14:paraId="0093BB96" w14:textId="76E50125">
      <w:pPr>
        <w:jc w:val="both"/>
        <w:rPr>
          <w:rFonts w:ascii="Times New Roman" w:hAnsi="Times New Roman" w:eastAsia="Times New Roman" w:cs="Times New Roman"/>
          <w:b w:val="0"/>
          <w:bCs w:val="0"/>
          <w:i w:val="0"/>
          <w:iCs w:val="0"/>
          <w:strike w:val="0"/>
          <w:dstrike w:val="0"/>
          <w:noProof w:val="0"/>
          <w:color w:val="auto"/>
          <w:sz w:val="24"/>
          <w:szCs w:val="24"/>
          <w:u w:val="none"/>
          <w:lang w:val="en-US"/>
        </w:rPr>
      </w:pPr>
      <w:hyperlink w:anchor="heading=h.17dp8vu" r:id="R55ca84113f324cf1">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Reference</w:t>
        </w:r>
        <w:r w:rsidRPr="493CAB5E" w:rsidR="58128BAF">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 xml:space="preserve">  ..........................................................................................................</w:t>
        </w:r>
        <w:r w:rsidRPr="493CAB5E" w:rsidR="29F2A8F8">
          <w:rPr>
            <w:rStyle w:val="Hyperlink"/>
            <w:rFonts w:ascii="Times New Roman" w:hAnsi="Times New Roman" w:eastAsia="Times New Roman" w:cs="Times New Roman"/>
            <w:b w:val="0"/>
            <w:bCs w:val="0"/>
            <w:i w:val="0"/>
            <w:iCs w:val="0"/>
            <w:strike w:val="0"/>
            <w:dstrike w:val="0"/>
            <w:noProof w:val="0"/>
            <w:color w:val="auto"/>
            <w:sz w:val="24"/>
            <w:szCs w:val="24"/>
            <w:u w:val="none"/>
            <w:lang w:val="en-US"/>
          </w:rPr>
          <w:t>12</w:t>
        </w:r>
      </w:hyperlink>
    </w:p>
    <w:p w:rsidR="29F2A8F8" w:rsidP="493CAB5E" w:rsidRDefault="29F2A8F8" w14:paraId="6C674CD9" w14:textId="6EA6D762">
      <w:pPr>
        <w:jc w:val="both"/>
        <w:rPr>
          <w:color w:val="auto"/>
        </w:rPr>
      </w:pPr>
      <w:r>
        <w:br/>
      </w:r>
    </w:p>
    <w:p w:rsidR="29F2A8F8" w:rsidP="493CAB5E" w:rsidRDefault="29F2A8F8" w14:paraId="0F311A56" w14:textId="00AEE1D3">
      <w:pPr>
        <w:pStyle w:val="Normal"/>
        <w:jc w:val="both"/>
        <w:rPr>
          <w:color w:val="auto"/>
        </w:rPr>
      </w:pPr>
      <w:r>
        <w:br/>
      </w:r>
    </w:p>
    <w:p w:rsidR="33929F85" w:rsidP="493CAB5E" w:rsidRDefault="33929F85" w14:paraId="54778C89" w14:textId="62E188B1">
      <w:pPr>
        <w:jc w:val="both"/>
        <w:rPr>
          <w:color w:val="auto"/>
        </w:rPr>
      </w:pPr>
      <w:r>
        <w:br/>
      </w:r>
    </w:p>
    <w:p w:rsidR="493CAB5E" w:rsidP="493CAB5E" w:rsidRDefault="493CAB5E" w14:paraId="7C90A487" w14:textId="0B1BE7FA">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493CAB5E" w:rsidP="493CAB5E" w:rsidRDefault="493CAB5E" w14:paraId="332C4C7B" w14:textId="0F761496">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33929F85" w:rsidP="493CAB5E" w:rsidRDefault="33929F85" w14:paraId="28164967" w14:textId="179D6C63">
      <w:pPr>
        <w:pStyle w:val="Heading1"/>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Introduction</w:t>
      </w:r>
    </w:p>
    <w:p w:rsidR="33929F85" w:rsidP="493CAB5E" w:rsidRDefault="33929F85" w14:paraId="73EF48CF" w14:textId="3EF0A0EC">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financial management approaches used by Hilton and Best Western are contrasted in this study. Revenue, market position, development forecasts, and financial commitment to CSR will all be examined in the report. Each company will receive recommendations based on its potential and strengths. The researcher looks at Hilton and Best Western's overall revenue as well as their business model and revenue sources (Jia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2022). Then, it will look at their competitive advantages and market positioning. The inquiry will look at the market penetration strategies and growth goals of both companies. This will also look at the CSR money from Hilton and Best Western. Hilton manages upscale and upscale hotels all around the world. The premium brand is well-known in the marketplace. However, Best Western rules the low-cost and mid-scale hotel sectors (Daniella, Eric and Lindy, 2019). Best Western offers reliable, reasonable lodging all over the world. These companies offer fascinating contrasts because of their different market positions and business approaches.</w:t>
      </w:r>
    </w:p>
    <w:p w:rsidR="33929F85" w:rsidP="493CAB5E" w:rsidRDefault="33929F85" w14:paraId="688AD911" w14:textId="51C1B97C">
      <w:pPr>
        <w:jc w:val="both"/>
      </w:pPr>
      <w:r>
        <w:br/>
      </w:r>
      <w:r>
        <w:br/>
      </w:r>
      <w:r>
        <w:br/>
      </w:r>
      <w:r>
        <w:br/>
      </w:r>
      <w:r>
        <w:br/>
      </w:r>
      <w:r>
        <w:br/>
      </w:r>
      <w:r>
        <w:br/>
      </w:r>
      <w:r>
        <w:br/>
      </w:r>
      <w:r>
        <w:br/>
      </w:r>
      <w:r>
        <w:br/>
      </w:r>
      <w:r>
        <w:br/>
      </w:r>
      <w:r>
        <w:br/>
      </w:r>
      <w:r>
        <w:br/>
      </w:r>
      <w:r>
        <w:br/>
      </w:r>
    </w:p>
    <w:p w:rsidR="33929F85" w:rsidP="493CAB5E" w:rsidRDefault="33929F85" w14:paraId="7B1A4D91" w14:textId="6D63B799">
      <w:pPr>
        <w:pStyle w:val="Heading1"/>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Compare approaches of financial management of Hilton and Best Western</w:t>
      </w:r>
    </w:p>
    <w:p w:rsidR="33929F85" w:rsidP="493CAB5E" w:rsidRDefault="33929F85" w14:paraId="5EA8F796" w14:textId="303E1311">
      <w:pPr>
        <w:pStyle w:val="Heading2"/>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Total revenue </w:t>
      </w:r>
    </w:p>
    <w:p w:rsidR="33929F85" w:rsidP="493CAB5E" w:rsidRDefault="33929F85" w14:paraId="1C8DCE51" w14:textId="4D85464A">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 terms of overall revenue, Hilton outperforms Best Western. In contrast to Best Western, which made $6.1 billion last year, Hilton made $9.14 billion (Spanou, 2020). There are many reasons why Hilton's revenue has increased. In 119 nations and territories, Hilton has 6,500 properties (Deng, 2022). Through hotel reservations, sales of food and beverages, and other services, Hilton's extensive network draws in more clients and increases income. Revenue is increased by Hilton's diverse brand portfolio. Hilton offers brands such as Hilton Hotels &amp; Resorts, Waldorf Astoria, Conrad, and DoubleTree by Hilton to wealthy and upscale tourists. Higher hotel prices charged by premium brands boost RevPAR and revenue (Hua, DeFranco and Abbott, 2020).</w:t>
      </w:r>
    </w:p>
    <w:p w:rsidR="33929F85" w:rsidP="493CAB5E" w:rsidRDefault="33929F85" w14:paraId="4F7C18F2" w14:textId="6F36D11C">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Despite being less than Hilton, Best Westerns nevertheless makes a sizable amount of money from the hospitality industry. Globally, Best Western operates 4,700 low-cost and mid-range hotels (Michael et al., 2020). With this strategy, Best Western draws in niche markets and tourists on a tight budget. Despite serving different markets and employing various business strategies, Hilton makes more income than Best Western. While Best Western generates more money from its mid-scale and budget options, Hilton generates more from its luxury and premium offerings (Karaman and SAYIN, 2021). The sum of a company's revenues does not always indicate its success or profitability. Profitability margins, return on investment, and market share should all be taken into account when assessing an organization's financial performance.</w:t>
      </w:r>
    </w:p>
    <w:p w:rsidR="33929F85" w:rsidP="493CAB5E" w:rsidRDefault="33929F85" w14:paraId="2FB2C2AD" w14:textId="7C0FB7D9">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Best Western earns more revenue than Hilton, however, it is important to take into account their respective market niches and business strategies (Alameri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2021). Both businesses are big participants in the hospitality industry, catering to a variety of customer segments and doing well financially.</w:t>
      </w:r>
    </w:p>
    <w:p w:rsidR="33929F85" w:rsidP="493CAB5E" w:rsidRDefault="33929F85" w14:paraId="71FDCBCB" w14:textId="07C7A83E">
      <w:pPr>
        <w:pStyle w:val="Heading2"/>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Market Position</w:t>
      </w:r>
    </w:p>
    <w:p w:rsidR="33929F85" w:rsidP="493CAB5E" w:rsidRDefault="33929F85" w14:paraId="116801EA" w14:textId="42D023D2">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the market, Hilton performs better than Best Western. This assessment is impacted by various factors. With its extensive global presence and a well-known brand, Hilton rules the hotel industry. The hotel chain has 6,500 hotels throughout 119 nations and territories (Mekhruza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2022). With this extensive network, Hilton offers services to vacationers, business travellers, and event planners. Hilton Hotels &amp; Resorts, Waldorf Astoria, Conrad, and DoubleTree by Hilton are some of Hilton's well-known brands (Kusuma et al., 2023). These names stand for class, sophistication, and top-notch customer service. Hilton's high room prices, upscale clientele, and profitable partnerships with significant businesses and organisations show how dominant the company is in the industry (Dewi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2022).</w:t>
      </w:r>
    </w:p>
    <w:p w:rsidR="33929F85" w:rsidP="493CAB5E" w:rsidRDefault="33929F85" w14:paraId="10298973" w14:textId="6429BAE3">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Best Western, however, rules the mid-scale and low-cost hotel segments. The company runs more than 4,700 trustworthy hotels that are reasonably priced (McCune, 2020). Budget-conscious guests looking for cosy and economical hotels are drawn to Best Western by its dependable service and value. Despite Hilton's superior strength, Best Western competes in its target markets (Odilovich and Najmiddin, 2021). By providing inexpensive, easily accessible motels, Best Western has amassed a loyal following of customers. Its extensive hotel network and popularity among tourists on a midrange and low budget reflect its position in the market.</w:t>
      </w:r>
    </w:p>
    <w:p w:rsidR="33929F85" w:rsidP="493CAB5E" w:rsidRDefault="33929F85" w14:paraId="59C54BC1" w14:textId="27C6E3BD">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Hilton outperforms Best Western in the market thanks to its extensive worldwide network and an array of luxury brands. Market position, however, is influenced by geography and market industry. In contrast to Hilton, Best Western offers consistent prices that appeal to mid-scale and budget travellers (Adikusuma, Darlina and Sutarma, 2022). Hilton dominates the industry thanks to its extensive client base, strong brand reputation, and global reach. Best Western draws vacationers on a tight budget with its inexpensive lodgings.</w:t>
      </w:r>
    </w:p>
    <w:p w:rsidR="33929F85" w:rsidP="493CAB5E" w:rsidRDefault="33929F85" w14:paraId="34FF6F19" w14:textId="352B4968">
      <w:pPr>
        <w:pStyle w:val="Heading2"/>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Growth Potential </w:t>
      </w:r>
    </w:p>
    <w:p w:rsidR="33929F85" w:rsidP="493CAB5E" w:rsidRDefault="33929F85" w14:paraId="7085F834" w14:textId="58699F08">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One of the biggest hotel corporations in the world, Hilton, has development potential because of its presence around the world and variety of brands. The organization's growth has been aided by new properties and developing markets. According to Hilton, 2,570 hotels are under construction. With this strategy, Hilton may enter new areas and increase its market share. Additionally, Hilton pursues strategic acquisitions and brand diversity (Fu, 2023). By acquiring or collaborating with other hotel chains, Hilton can increase the size of its customer base. Revenue and market position are boosted by this.</w:t>
      </w:r>
    </w:p>
    <w:p w:rsidR="33929F85" w:rsidP="493CAB5E" w:rsidRDefault="33929F85" w14:paraId="11EAED8A" w14:textId="021E6C23">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But Best Western has been making efforts to grow because it understands the value of expansion. The company opens new hotels and renovates existing ones to increase its client base and brand recognition (Spanou, 2020). To diversify its offerings and cater to a wide range of market preferences, Best Western has identified the niche growth potential in boutique hotels and long-term accommodations.</w:t>
      </w:r>
    </w:p>
    <w:p w:rsidR="33929F85" w:rsidP="493CAB5E" w:rsidRDefault="33929F85" w14:paraId="01ACA948" w14:textId="4D6FA77E">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Due to its extensive brand diversification and global presence, Hilton has a more rapid growth trajectory. The company may profit from growing travel trends and shifting consumer tastes thanks to its extensive network and presence in important countries (Ricca, 2021). The potential for expansion of Hilton is increased by innovation, technological integration, and customized guest experiences. Market factors and each company's strategy affect growth potential. By focusing on market segment growth, Best Western takes advantage of special market opportunities. Customized offerings and targeted consumer groups aid Best Western's growth.</w:t>
      </w:r>
    </w:p>
    <w:p w:rsidR="33929F85" w:rsidP="493CAB5E" w:rsidRDefault="33929F85" w14:paraId="7506D025" w14:textId="0640AB03">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Hilton has a higher growth outlook than Best Western due to its extensive worldwide presence, diverse brand portfolio, and expansion goals. Best Western can expand in its targeted market locations thanks to its focused strategy and specialized growth opportunities. The best depends on the market segment and the requirements.</w:t>
      </w:r>
    </w:p>
    <w:p w:rsidR="33929F85" w:rsidP="493CAB5E" w:rsidRDefault="33929F85" w14:paraId="5AA55A72" w14:textId="7ED8AC4E">
      <w:pPr>
        <w:pStyle w:val="Heading2"/>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Financial Commitment to CSR </w:t>
      </w:r>
    </w:p>
    <w:p w:rsidR="33929F85" w:rsidP="493CAB5E" w:rsidRDefault="33929F85" w14:paraId="19208023" w14:textId="2CF29DD7">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Best Western and Hilton both make CSR investments, although they do so in various ways. Hilton is a pioneer in hospitality CSR. The Hilton Effect Foundation has made significant CSR investments. According to Hilton, the foundation has given more than $300 million to organisations and community initiatives around the world (Michael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2020). These programmes emphasise the empowerment of young people, disaster relief, sustainability, and education. Environmental sustainability is a priority for Hilton. The business wants to cut back on waste, carbon emissions, water use, and material sourcing. These initiatives are carried out and monitored globally with the aid of Hilton's Light Stay sustainability programme (Tien, 2019).</w:t>
      </w:r>
    </w:p>
    <w:p w:rsidR="33929F85" w:rsidP="493CAB5E" w:rsidRDefault="33929F85" w14:paraId="2B2BED22" w14:textId="20A1ED8D">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However, Best Westerns also engage in certain limited CSR and sustainability activities. Best Western promotes water conservation, garbage reduction, and energy efficiency. Through philanthropy and ethical travel, the company helps the community where it operates (Odilovich and Najmiddin, 2021). Hilton is more dedicated to CSR than its rivals due to its financial support and extensive activities. The Hilton Effect Foundation's significant contributions to charity and community initiatives show its dedication to positive change. The LightStay project at Hilton exemplifies a comprehensive commitment to sustainability.</w:t>
      </w:r>
    </w:p>
    <w:p w:rsidR="33929F85" w:rsidP="493CAB5E" w:rsidRDefault="33929F85" w14:paraId="62333EAE" w14:textId="1B244A53">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amount of money invested in CSR should be related to the size and scope of the company. Hilton has more resources and a wider audience for CSR initiatives because it is a bigger and more well-known brand globally. Best Western, a minor participant, supports sustainability and involvement in the community. Due to its broad range of projects and larger financial commitment, Hilton is the CSR leader. Despite their small size, Best Western's CSR initiatives support sustainable practices within their sphere of influence (Mekhruza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2022). The criteria and resources of each firm determine which one has the best CSR commitment.</w:t>
      </w:r>
    </w:p>
    <w:p w:rsidR="33929F85" w:rsidP="493CAB5E" w:rsidRDefault="33929F85" w14:paraId="1C413EDD" w14:textId="61B111DD">
      <w:pPr>
        <w:jc w:val="center"/>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Figure: Comparison basis</w:t>
      </w:r>
    </w:p>
    <w:p w:rsidR="33929F85" w:rsidP="493CAB5E" w:rsidRDefault="33929F85" w14:paraId="39524044" w14:textId="14F85198">
      <w:pPr>
        <w:jc w:val="center"/>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Source: Module</w:t>
      </w:r>
    </w:p>
    <w:p w:rsidR="33929F85" w:rsidP="493CAB5E" w:rsidRDefault="33929F85" w14:paraId="5324FD82" w14:textId="68622EBF">
      <w:pPr>
        <w:jc w:val="both"/>
      </w:pPr>
      <w:r>
        <w:br/>
      </w:r>
      <w:r>
        <w:br/>
      </w:r>
      <w:r>
        <w:br/>
      </w:r>
      <w:r>
        <w:br/>
      </w:r>
      <w:r>
        <w:br/>
      </w:r>
      <w:r>
        <w:br/>
      </w:r>
      <w:r>
        <w:br/>
      </w:r>
      <w:r>
        <w:br/>
      </w:r>
      <w:r>
        <w:br/>
      </w:r>
      <w:r>
        <w:br/>
      </w:r>
      <w:r>
        <w:br/>
      </w:r>
    </w:p>
    <w:p w:rsidR="33929F85" w:rsidP="493CAB5E" w:rsidRDefault="33929F85" w14:paraId="2D31C3E1" w14:textId="0166EDBF">
      <w:pPr>
        <w:pStyle w:val="Heading1"/>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Recommendations</w:t>
      </w:r>
    </w:p>
    <w:p w:rsidR="33929F85" w:rsidP="493CAB5E" w:rsidRDefault="33929F85" w14:paraId="4784BA9A" w14:textId="7F4C1B12">
      <w:pPr>
        <w:pStyle w:val="Heading2"/>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A dedicated fund for CSR (Hilton) </w:t>
      </w:r>
    </w:p>
    <w:p w:rsidR="33929F85" w:rsidP="493CAB5E" w:rsidRDefault="33929F85" w14:paraId="4B8283E3" w14:textId="0417148D">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 light of the company's approach to financial management, overall income, market position, development potential, and monetary commitment to corporate social responsibility, Hilton ought to establish a CSR fund. The Hilton Effect Foundation and LightStay programmes are examples of Hilton's commitment to corporate social responsibility (Volodymyrivna, 2019). To broaden its sphere of impact and strengthen its position as the undisputed leader in the hospitality sector, Hilton should establish a CSR fund.</w:t>
      </w:r>
    </w:p>
    <w:p w:rsidR="33929F85" w:rsidP="493CAB5E" w:rsidRDefault="33929F85" w14:paraId="55F471BF" w14:textId="33E29CE3">
      <w:pPr>
        <w:jc w:val="center"/>
      </w:pPr>
      <w:r w:rsidR="33929F85">
        <w:drawing>
          <wp:inline wp14:editId="5615DD9A" wp14:anchorId="004CC34E">
            <wp:extent cx="3495675" cy="2676525"/>
            <wp:effectExtent l="0" t="0" r="0" b="0"/>
            <wp:docPr id="2146899877" name="" descr="Corporate Social Responsibility - A Simple Guide | TheGivingMachine" title=""/>
            <wp:cNvGraphicFramePr>
              <a:graphicFrameLocks noChangeAspect="1"/>
            </wp:cNvGraphicFramePr>
            <a:graphic>
              <a:graphicData uri="http://schemas.openxmlformats.org/drawingml/2006/picture">
                <pic:pic>
                  <pic:nvPicPr>
                    <pic:cNvPr id="0" name=""/>
                    <pic:cNvPicPr/>
                  </pic:nvPicPr>
                  <pic:blipFill>
                    <a:blip r:embed="Rda4ce948596c40f6">
                      <a:extLst>
                        <a:ext xmlns:a="http://schemas.openxmlformats.org/drawingml/2006/main" uri="{28A0092B-C50C-407E-A947-70E740481C1C}">
                          <a14:useLocalDpi val="0"/>
                        </a:ext>
                      </a:extLst>
                    </a:blip>
                    <a:stretch>
                      <a:fillRect/>
                    </a:stretch>
                  </pic:blipFill>
                  <pic:spPr>
                    <a:xfrm>
                      <a:off x="0" y="0"/>
                      <a:ext cx="3495675" cy="2676525"/>
                    </a:xfrm>
                    <a:prstGeom prst="rect">
                      <a:avLst/>
                    </a:prstGeom>
                  </pic:spPr>
                </pic:pic>
              </a:graphicData>
            </a:graphic>
          </wp:inline>
        </w:drawing>
      </w:r>
    </w:p>
    <w:p w:rsidR="33929F85" w:rsidP="493CAB5E" w:rsidRDefault="33929F85" w14:paraId="1B4E0F52" w14:textId="0EA2DD21">
      <w:pPr>
        <w:jc w:val="center"/>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Figure: CSR </w:t>
      </w:r>
    </w:p>
    <w:p w:rsidR="33929F85" w:rsidP="493CAB5E" w:rsidRDefault="33929F85" w14:paraId="662F377D" w14:textId="546FC3A4">
      <w:pPr>
        <w:jc w:val="center"/>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Source: (Volodymyrivna, 2019)</w:t>
      </w:r>
    </w:p>
    <w:p w:rsidR="33929F85" w:rsidP="493CAB5E" w:rsidRDefault="33929F85" w14:paraId="6C77A673" w14:textId="4711EC12">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specific fund can be used to help Hilton in its corporate social responsibility efforts. This money might be put towards programmes that help the less fortunate, improve communities, protect the environment, and have a positive social impact (Tien, 2019). The consistent money provided by the fund would be beneficial to Hilton's Corporate Social Responsibility (CSR) initiatives, which would enable the corporation to have a greater influence in the areas in which it operates. Using the money, Hilton may make intelligent investments in various CSR activities. It can help with relief efforts after natural disasters, education, protecting the environment, and empowering local communities (Spanou, 2020). To ensure that Hilton's Corporate Social Responsibility (CSR) programmes have a significant and long-lasting impact, the company may use a designated fund to more effectively distribute the funds.</w:t>
      </w:r>
    </w:p>
    <w:p w:rsidR="33929F85" w:rsidP="493CAB5E" w:rsidRDefault="33929F85" w14:paraId="57DBD7BF" w14:textId="66C7AEEE">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CSR department at Hilton can be open and accountable with the money that has been given to them. It would make it possible for customers, employees, investors, and the general public to track the funding and results of CSR initiatives. Hilton's social responsibility would be improved with greater transparency (Sari, Sari and Aryana, 2022). A specialised fund could help Hilton improve their corporate social responsibility culture. The fund established by Hilton would demonstrate the company's commitment to the community over the long term. It would also make it possible for Hilton to work together with other groups that share similar values to tackle social and environmental problems.</w:t>
      </w:r>
    </w:p>
    <w:p w:rsidR="33929F85" w:rsidP="493CAB5E" w:rsidRDefault="33929F85" w14:paraId="2719D93A" w14:textId="5E0C61C5">
      <w:pPr>
        <w:pStyle w:val="Heading2"/>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 xml:space="preserve">Business Expansion (Best Western) </w:t>
      </w:r>
    </w:p>
    <w:p w:rsidR="33929F85" w:rsidP="493CAB5E" w:rsidRDefault="33929F85" w14:paraId="0CF9B692" w14:textId="598F3621">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financial management approach, total revenue, market position, development potential, and financial commitment to CSR used by Best Western all point to the possibility of the company expanding its operations (Odilovich and Najmiddin, 2021). The Best Western brand is well-known for its affordable and moderately priced hotels. To make the most of its current market position and continue its expansion, Best Western should expand into further markets.</w:t>
      </w:r>
    </w:p>
    <w:p w:rsidR="33929F85" w:rsidP="493CAB5E" w:rsidRDefault="33929F85" w14:paraId="750DA5D5" w14:textId="382CE640">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It is important that Best Western locate important expansion regions. It is feasible to target new markets or underserved areas that have a demand for accommodations in the mid-range and economy price ranges (Michael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2020). Market research and feasibility studies allow for the evaluation of new markets, as well as the identification of potential expansion opportunities for Best Western. Best Western should diversify its product offerings and expand its regional footprint to cater to a more diversified range of customer groups. This may involve introducing eco-friendly properties, extended-stay hotels, or boutique hotels under different brand identities. By expanding its offering, Best Western will be able to attract a greater number of customers and increase its market share within its target categories.</w:t>
      </w:r>
    </w:p>
    <w:p w:rsidR="33929F85" w:rsidP="493CAB5E" w:rsidRDefault="33929F85" w14:paraId="3BADA938" w14:textId="61A7996B">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Additionally, Best Westerns ought to take advantage of digital platforms to broaden both its distribution channels and its customer base. The company may increase its exposure and the number of bookings it receives by improving its online booking platform, participating in digital marketing, and forming partnerships with online travel agents and platforms (Mekhruza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et al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2022). By adopting digital transformation, Best Western can better compete in the rapidly evolving hotel sector and contact potential customers in a more timely and cost-effective manner. By growing its company, Best Western will have the opportunity to monetize its brand, its operational capabilities, and its network. By entering into new markets and increasing the variety of accommodations it provides, Best Western will evolve into a contemporary hotel brand.</w:t>
      </w:r>
    </w:p>
    <w:p w:rsidR="33929F85" w:rsidP="493CAB5E" w:rsidRDefault="33929F85" w14:paraId="0CDFCD1D" w14:textId="589DE531">
      <w:pPr>
        <w:jc w:val="both"/>
      </w:pPr>
      <w:r>
        <w:br/>
      </w:r>
      <w:r>
        <w:br/>
      </w:r>
      <w:r>
        <w:br/>
      </w:r>
      <w:r>
        <w:br/>
      </w:r>
      <w:r>
        <w:br/>
      </w:r>
      <w:r>
        <w:br/>
      </w:r>
      <w:r>
        <w:br/>
      </w:r>
      <w:r>
        <w:br/>
      </w:r>
      <w:r>
        <w:br/>
      </w:r>
      <w:r>
        <w:br/>
      </w:r>
      <w:r>
        <w:br/>
      </w:r>
      <w:r>
        <w:br/>
      </w:r>
      <w:r>
        <w:br/>
      </w:r>
      <w:r>
        <w:br/>
      </w:r>
      <w:r>
        <w:br/>
      </w:r>
      <w:r>
        <w:br/>
      </w:r>
      <w:r>
        <w:br/>
      </w:r>
      <w:r>
        <w:br/>
      </w:r>
      <w:r>
        <w:br/>
      </w:r>
      <w:r>
        <w:br/>
      </w:r>
      <w:r>
        <w:br/>
      </w:r>
      <w:r>
        <w:br/>
      </w:r>
      <w:r>
        <w:br/>
      </w:r>
    </w:p>
    <w:p w:rsidR="33929F85" w:rsidP="493CAB5E" w:rsidRDefault="33929F85" w14:paraId="3B3F9214" w14:textId="7A21D9D4">
      <w:pPr>
        <w:pStyle w:val="Heading1"/>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Conclusion </w:t>
      </w:r>
    </w:p>
    <w:p w:rsidR="33929F85" w:rsidP="493CAB5E" w:rsidRDefault="33929F85" w14:paraId="4B3840A4" w14:textId="29176B7D">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Overall, Hilton and Best Western are not comparable in terms of their financial management, revenue, market position, growth potential, or CSR financial commitment. Hilton is the industry leader when it comes to CSR and sustainability. Hilton needs to establish a CSR fund so that it can contribute to various humanitarian and environmental causes. The impact, openness, and accountability of Hilton would all increase, which would further reinforce the company's commitment to social responsibility. However, Best Western is a reliable brand that falls somewhere in the middle in terms of price and quality. It would be beneficial for Best Western to broaden its offerings and grow its geographic footprint. By identifying growth areas and making use of technology, Best Western may be able to expand into new markets and reach a greater number of customers. Both Hilton and Best Western have qualities that set them apart from one another. The implementation of the suggested strategies has the potential to enhance the competitiveness, profitability, and social impact of these companies, so ensuring their continued success in the competitive hospitality industry.</w:t>
      </w:r>
    </w:p>
    <w:p w:rsidR="33929F85" w:rsidP="493CAB5E" w:rsidRDefault="33929F85" w14:paraId="63A768AF" w14:textId="241ECA32">
      <w:pPr>
        <w:jc w:val="both"/>
      </w:pPr>
      <w:r>
        <w:br/>
      </w:r>
      <w:r>
        <w:br/>
      </w:r>
      <w:r>
        <w:br/>
      </w:r>
      <w:r>
        <w:br/>
      </w:r>
      <w:r>
        <w:br/>
      </w:r>
      <w:r>
        <w:br/>
      </w:r>
      <w:r>
        <w:br/>
      </w:r>
      <w:r>
        <w:br/>
      </w:r>
      <w:r>
        <w:br/>
      </w:r>
      <w:r>
        <w:br/>
      </w:r>
      <w:r>
        <w:br/>
      </w:r>
      <w:r>
        <w:br/>
      </w:r>
      <w:r>
        <w:br/>
      </w:r>
      <w:r>
        <w:br/>
      </w:r>
    </w:p>
    <w:p w:rsidR="33929F85" w:rsidP="493CAB5E" w:rsidRDefault="33929F85" w14:paraId="66B77233" w14:textId="0C1C521B">
      <w:pPr>
        <w:pStyle w:val="Heading1"/>
      </w:pPr>
      <w:r w:rsidRPr="493CAB5E" w:rsidR="33929F85">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References</w:t>
      </w:r>
    </w:p>
    <w:p w:rsidR="33929F85" w:rsidP="493CAB5E" w:rsidRDefault="33929F85" w14:paraId="1A579164" w14:textId="351B5AD8">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Adikusuma, I.M.J.A., Darlina, L. and Sutarma, I.G.P. (2022) Penerapan Green Practices pada Housekeeping Departement di Hilton Bali Resort.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Repositori Politeknik Negeri Bali</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Available at: </w:t>
      </w:r>
      <w:hyperlink r:id="Rb70b007ba5634cf2">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http://repository.pnb.ac.id/4295/</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33929F85" w:rsidP="493CAB5E" w:rsidRDefault="33929F85" w14:paraId="7DB40491" w14:textId="628F0292">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Aktaş, G. and Kozak, M. (2022)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International Case Studies in Tourism Marketing</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Google Books</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Taylor &amp; Francis. Available at: </w:t>
      </w:r>
      <w:hyperlink w:anchor="v=onepage&amp;q=Hilton%20hotels%20resorts&amp;f=false" r:id="R12cc72429eaa41a6">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https://books.google.com.bd/books?hl=en&amp;lr=&amp;id=on9qEAAAQBAJ&amp;oi=fnd&amp;pg=PA152&amp;dq=Hilton+hotels+resorts&amp;ots=nV7awTZ3pE&amp;sig=yiueRBUe6sKCyy0zs8TSY0eWQOE&amp;redir_esc=y#v=onepage&amp;q=Hilton%20hotels%20resorts&amp;f=false</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33929F85" w:rsidP="493CAB5E" w:rsidRDefault="33929F85" w14:paraId="5C30C5B9" w14:textId="66189426">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Alameri, M., Alshamsi, F., Alsaedi, S., Alkaabi, A., Alamri, R., Alshamsi, M. and Nobanee, H. (2021)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Financial Analysis of Hilton Holdings</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papers.ssrn.com. Available at: </w:t>
      </w:r>
      <w:hyperlink r:id="Rc526c146a8ea461e">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https://papers.ssrn.com/sol3/papers.cfm?abstract_id=3930493</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33929F85" w:rsidP="493CAB5E" w:rsidRDefault="33929F85" w14:paraId="6131FA0F" w14:textId="676896FF">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Daniella, F., Eric, R. and Lindy, F. (2019) Calculating Hotel Industry Impact: The Case of Hilton Lightstay. [online] Available at: </w:t>
      </w:r>
      <w:hyperlink r:id="R11018d8266cf4458">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https://ecommons.cornell.edu/handle/1813/70975</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21 Nov. 2022].</w:t>
      </w:r>
    </w:p>
    <w:p w:rsidR="33929F85" w:rsidP="493CAB5E" w:rsidRDefault="33929F85" w14:paraId="1F8EA43F" w14:textId="2F638FE2">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Deng, J. (2022) Hotel Brands and the Impact of Brand Differentiation on the Success of the Global Hotel Brands.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Highlights in Business, Economics and Management</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1, pp.265–276. doi:https://doi.org/10.54097/hbem.v1i.2582.</w:t>
      </w:r>
    </w:p>
    <w:p w:rsidR="33929F85" w:rsidP="493CAB5E" w:rsidRDefault="33929F85" w14:paraId="0878CEB5" w14:textId="1F6497DD">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Dewi, D.A.I., Suarja, I.K., Sutarma, I.G.P. and Widana, I.P.K.A. (2022) Implemention of Tri Hita Karana to increase room occupancy at Hilton Bali Resort.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International Journal of Green Tourism Research and Applications</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[online] 4(2), pp.99–107. doi:https://doi.org/10.31940/ijogtra.v4i2.99-107.</w:t>
      </w:r>
    </w:p>
    <w:p w:rsidR="33929F85" w:rsidP="493CAB5E" w:rsidRDefault="33929F85" w14:paraId="1BC4B355" w14:textId="76B0E0A4">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Fu, L. (2023) COVID-19 Impacts on and Responses of the Hotel Industry.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Education, Humanities and Social Sciences</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7, pp.320–323. doi:https://doi.org/10.54097/ehss.v7i.4697.</w:t>
      </w:r>
    </w:p>
    <w:p w:rsidR="33929F85" w:rsidP="493CAB5E" w:rsidRDefault="33929F85" w14:paraId="59D86A0B" w14:textId="6AD4FE05">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Hua, N., DeFranco, A. and Abbott, J. (2020) Management fees and hotel performance in the U.S.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Tourism Management</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79, p.104093. doi:https://doi.org/10.1016/j.tourman.2020.104093.</w:t>
      </w:r>
    </w:p>
    <w:p w:rsidR="33929F85" w:rsidP="493CAB5E" w:rsidRDefault="33929F85" w14:paraId="48B4CADF" w14:textId="1DE8F074">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Jia, Y., Curpad, S., Diller, C. and Gentry, R. (2022)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Serving Hotel Customers in a Postpandemic World: How Can Hilton Worldwide Recover and Change?</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SAGE Knowledge</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London. Available at: </w:t>
      </w:r>
      <w:hyperlink r:id="R87f07aa507804ae6">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https://sk.sagepub.com/cases/serving-hotel-customers-postpandemic-world-hilton-worldwide</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21 Nov. 2022].</w:t>
      </w:r>
    </w:p>
    <w:p w:rsidR="33929F85" w:rsidP="493CAB5E" w:rsidRDefault="33929F85" w14:paraId="22515D9E" w14:textId="041EACE5">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Karaman, A. and SAYIN, K. (2021) Practices in Hotels During Covid-19 Pandemic Process: the Case of Turkey.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Социално-икономически анализи</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(1), pp.9–17. Available at: </w:t>
      </w:r>
      <w:hyperlink r:id="R2f6dce3ac4c747f8">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https://www.ceeol.com/search/article-detail?id=960198</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33929F85" w:rsidP="493CAB5E" w:rsidRDefault="33929F85" w14:paraId="392E9DF6" w14:textId="4F6686C3">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Kusuma, K.D., Armoni, N.L.E., Astawa, I.K., Virginiya, P.T. and Chaerunnisah, I.U. (2023) Implementation of Digital Marketing in Increasing Room Occupancy Rate at Hilton Bali Resort Hotel.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International Journal of Glocal Tourism</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4(1), pp.1–10. Available at: </w:t>
      </w:r>
      <w:hyperlink r:id="R12f2c24e4dc748e5">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https://ejournal.catuspata.com/index.php/injogt/article/view/325</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4 Apr. 2023].</w:t>
      </w:r>
    </w:p>
    <w:p w:rsidR="33929F85" w:rsidP="493CAB5E" w:rsidRDefault="33929F85" w14:paraId="13FBD494" w14:textId="42B48405">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McCune, R. (2020) Hilton, Park CEOs to Industry: ‘Seize the moment’.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vtechworks.lib.vt.edu</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Available at: </w:t>
      </w:r>
      <w:hyperlink r:id="R638161005f17413d">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https://vtechworks.lib.vt.edu/handle/10919/100095</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33929F85" w:rsidP="493CAB5E" w:rsidRDefault="33929F85" w14:paraId="63CAE3BC" w14:textId="0BDB936D">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Mekhruza, V., Malokhat, S., Rustam, T. and Bakhora, R. (2022) PERFORMANCE OF HILTON: HOW HILTON TACKLES THE EPIDEMIC COVID-19 DISEASE.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Thematics Journal of Business Management</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5(2). Available at: </w:t>
      </w:r>
      <w:hyperlink r:id="R51ab225d2cad4651">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https://thematicsjournals.in/index.php/tjbm/article/view/1180</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33929F85" w:rsidP="493CAB5E" w:rsidRDefault="33929F85" w14:paraId="47A32887" w14:textId="1363F1F7">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Michael, S., Jung, Inhaeng, N. and Sharma, A. (2020) Journal of Hospitality Financial Management Journal of Hospitality Financial Management The Professional Refereed Journal of the International Association of Hospitality Financial The Professional Refereed Journal of the International Association of Hospitality Financial Management Educators Management Educators Volume 28 Issue 1 Article 3 2020 Recommended Citation Lin.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Hospitality Financial Management</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[online] 28. doi:https://doi.org/10.7275/rrkm-bd90.</w:t>
      </w:r>
    </w:p>
    <w:p w:rsidR="33929F85" w:rsidP="493CAB5E" w:rsidRDefault="33929F85" w14:paraId="627100EA" w14:textId="0E436876">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Odilovich, R.Z. and Najmiddin, I. (2021) Problems of Development of Tourism Infrastructure in The Republic Of Uzbekistan After Pandemid.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Central Asian Journal of Innovations on Tourism Management and Finance</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2(3), pp.16–19. Available at: </w:t>
      </w:r>
      <w:hyperlink r:id="Rd6bbc3d1e336444d">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https://cajitmf.centralasianstudies.org/index.php/CAJITMF/article/view/104</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33929F85" w:rsidP="493CAB5E" w:rsidRDefault="33929F85" w14:paraId="3AF77CD5" w14:textId="7F34A650">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Ricca, S. (2021) Hilton Makes Franchising Moves in China.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vtechworks.lib.vt.edu</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Available at: </w:t>
      </w:r>
      <w:hyperlink r:id="R70fd36ec45aa4d54">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https://vtechworks.lib.vt.edu/handle/10919/106470</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16 May 2022].</w:t>
      </w:r>
    </w:p>
    <w:p w:rsidR="33929F85" w:rsidP="493CAB5E" w:rsidRDefault="33929F85" w14:paraId="0B873111" w14:textId="035F2DA4">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Sari, N.P.A.K., Sari, I.G.A.M.K.K. and Aryana, I.N.R. (2022) Implementation of Green Practice in Food and Beverage Department to Support Green Restaurant at Hilton Bali Resort.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Repositori Politeknik Negeri Bali</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Available at: </w:t>
      </w:r>
      <w:hyperlink r:id="R8b3986bead8e4ac6">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http://repository.pnb.ac.id/3654/</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33929F85" w:rsidP="493CAB5E" w:rsidRDefault="33929F85" w14:paraId="4B10EFAA" w14:textId="362957AC">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Spanou, C. (2020) Between Domestic Learning and External Coercion: Budgeting and Fiscal Management Reform in Greece.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South European Society and Politics</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25(1), pp.1–26. doi:https://doi.org/10.1080/13608746.2020.1762372.</w:t>
      </w:r>
    </w:p>
    <w:p w:rsidR="33929F85" w:rsidP="493CAB5E" w:rsidRDefault="33929F85" w14:paraId="2845010F" w14:textId="52419554">
      <w:pPr>
        <w:jc w:val="both"/>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Tien, L. (2019)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Improving customer service within Asian culture at Hilton hotel</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www.theseus.fi</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c21eb53ac8bc4b22">
        <w:r w:rsidRPr="493CAB5E" w:rsidR="33929F85">
          <w:rPr>
            <w:rStyle w:val="Hyperlink"/>
            <w:rFonts w:ascii="Times New Roman" w:hAnsi="Times New Roman" w:eastAsia="Times New Roman" w:cs="Times New Roman"/>
            <w:b w:val="0"/>
            <w:bCs w:val="0"/>
            <w:i w:val="0"/>
            <w:iCs w:val="0"/>
            <w:strike w:val="0"/>
            <w:dstrike w:val="0"/>
            <w:noProof w:val="0"/>
            <w:sz w:val="24"/>
            <w:szCs w:val="24"/>
            <w:lang w:val="en-US"/>
          </w:rPr>
          <w:t>https://www.theseus.fi/handle/10024/261734</w:t>
        </w:r>
      </w:hyperlink>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16 Mar. 2023].</w:t>
      </w:r>
    </w:p>
    <w:p w:rsidR="33929F85" w:rsidP="493CAB5E" w:rsidRDefault="33929F85" w14:paraId="0418A67D" w14:textId="0D1DD663">
      <w:pPr>
        <w:pStyle w:val="Normal"/>
        <w:jc w:val="both"/>
        <w:rPr>
          <w:rFonts w:ascii="Roboto" w:hAnsi="Roboto" w:eastAsia="Roboto" w:cs="Roboto"/>
          <w:noProof w:val="0"/>
          <w:sz w:val="27"/>
          <w:szCs w:val="27"/>
          <w:lang w:val="en-US"/>
        </w:rPr>
      </w:pP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Volodymyrivna, F.S. (2019) </w:t>
      </w:r>
      <w:r w:rsidRPr="493CAB5E" w:rsidR="33929F8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Science initiative ‘Universum’ WE CREATE SCIENCE Proceedings of XXXХVI International scientific conference Lawrence</w:t>
      </w:r>
      <w:r w:rsidRPr="493CAB5E" w:rsidR="33929F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[online] Available at: https://sci.ldubgd.edu.ua/jspui/bitstream/123456789/9568/1/%D0%A1%D0%B1%D0%BE%D1%80%D0%BD%D0%B8%D0%BA%2009.03.19.pdf#page=22.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D8F95F"/>
    <w:rsid w:val="020A584C"/>
    <w:rsid w:val="060BC93E"/>
    <w:rsid w:val="072BF1B2"/>
    <w:rsid w:val="0A759DEE"/>
    <w:rsid w:val="0B3934DC"/>
    <w:rsid w:val="0E70D59E"/>
    <w:rsid w:val="14CA4AEB"/>
    <w:rsid w:val="14E01722"/>
    <w:rsid w:val="15E68145"/>
    <w:rsid w:val="16C9D22B"/>
    <w:rsid w:val="19B38845"/>
    <w:rsid w:val="1B65293B"/>
    <w:rsid w:val="1DB94486"/>
    <w:rsid w:val="1F5514E7"/>
    <w:rsid w:val="24FE2872"/>
    <w:rsid w:val="2835C934"/>
    <w:rsid w:val="29298C27"/>
    <w:rsid w:val="29F2A8F8"/>
    <w:rsid w:val="2C01E44B"/>
    <w:rsid w:val="2D093A57"/>
    <w:rsid w:val="2ED9594C"/>
    <w:rsid w:val="3107A63A"/>
    <w:rsid w:val="33929F85"/>
    <w:rsid w:val="357BF376"/>
    <w:rsid w:val="366AD31E"/>
    <w:rsid w:val="3A1B33E5"/>
    <w:rsid w:val="3AC257F5"/>
    <w:rsid w:val="3CC33068"/>
    <w:rsid w:val="3CD16982"/>
    <w:rsid w:val="3DC1ED52"/>
    <w:rsid w:val="3F95C918"/>
    <w:rsid w:val="4453D6E8"/>
    <w:rsid w:val="4562FAA5"/>
    <w:rsid w:val="493CAB5E"/>
    <w:rsid w:val="4A5E3AE3"/>
    <w:rsid w:val="4D946C24"/>
    <w:rsid w:val="4F15F69B"/>
    <w:rsid w:val="4F30BA29"/>
    <w:rsid w:val="523B8036"/>
    <w:rsid w:val="54622AE8"/>
    <w:rsid w:val="5810EDB2"/>
    <w:rsid w:val="58128BAF"/>
    <w:rsid w:val="5CD8F95F"/>
    <w:rsid w:val="60A498C8"/>
    <w:rsid w:val="6280D729"/>
    <w:rsid w:val="65B877EB"/>
    <w:rsid w:val="6800AE52"/>
    <w:rsid w:val="6988FF3D"/>
    <w:rsid w:val="6B9913EE"/>
    <w:rsid w:val="6F56466E"/>
    <w:rsid w:val="77968027"/>
    <w:rsid w:val="77C0D0AD"/>
    <w:rsid w:val="7814B026"/>
    <w:rsid w:val="7915C504"/>
    <w:rsid w:val="7B8F58A6"/>
    <w:rsid w:val="7BA1A07D"/>
    <w:rsid w:val="7D1877CF"/>
    <w:rsid w:val="7E2C84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8F95F"/>
  <w15:chartTrackingRefBased/>
  <w15:docId w15:val="{8325181E-9FAB-4F89-A9BB-5EADCFDBBF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43e023910ad459d" /><Relationship Type="http://schemas.openxmlformats.org/officeDocument/2006/relationships/hyperlink" Target="https://docs.google.com/document/d/1i_k_LrSyI82jLFTzRRKshW6x3cwjWMPo/edit" TargetMode="External" Id="Rfec75569858a44f1" /><Relationship Type="http://schemas.openxmlformats.org/officeDocument/2006/relationships/hyperlink" Target="https://docs.google.com/document/d/1i_k_LrSyI82jLFTzRRKshW6x3cwjWMPo/edit" TargetMode="External" Id="Re8d48dd298894a6d" /><Relationship Type="http://schemas.openxmlformats.org/officeDocument/2006/relationships/hyperlink" Target="https://docs.google.com/document/d/1i_k_LrSyI82jLFTzRRKshW6x3cwjWMPo/edit" TargetMode="External" Id="Rca6fb482f7ae4f40" /><Relationship Type="http://schemas.openxmlformats.org/officeDocument/2006/relationships/hyperlink" Target="https://docs.google.com/document/d/1i_k_LrSyI82jLFTzRRKshW6x3cwjWMPo/edit" TargetMode="External" Id="R42d5cef401eb453c" /><Relationship Type="http://schemas.openxmlformats.org/officeDocument/2006/relationships/hyperlink" Target="https://docs.google.com/document/d/1i_k_LrSyI82jLFTzRRKshW6x3cwjWMPo/edit" TargetMode="External" Id="R160883403df3477a" /><Relationship Type="http://schemas.openxmlformats.org/officeDocument/2006/relationships/hyperlink" Target="https://docs.google.com/document/d/1i_k_LrSyI82jLFTzRRKshW6x3cwjWMPo/edit" TargetMode="External" Id="R68552105f3de44f7" /><Relationship Type="http://schemas.openxmlformats.org/officeDocument/2006/relationships/hyperlink" Target="https://docs.google.com/document/d/1i_k_LrSyI82jLFTzRRKshW6x3cwjWMPo/edit" TargetMode="External" Id="R7689b0df2f1e48b0" /><Relationship Type="http://schemas.openxmlformats.org/officeDocument/2006/relationships/hyperlink" Target="https://docs.google.com/document/d/1i_k_LrSyI82jLFTzRRKshW6x3cwjWMPo/edit" TargetMode="External" Id="R3d9291aeabd44dcc" /><Relationship Type="http://schemas.openxmlformats.org/officeDocument/2006/relationships/hyperlink" Target="https://docs.google.com/document/d/1i_k_LrSyI82jLFTzRRKshW6x3cwjWMPo/edit" TargetMode="External" Id="Rb905b59408ad4ef5" /><Relationship Type="http://schemas.openxmlformats.org/officeDocument/2006/relationships/hyperlink" Target="https://docs.google.com/document/d/1i_k_LrSyI82jLFTzRRKshW6x3cwjWMPo/edit" TargetMode="External" Id="Rc41643fb6fa74729" /><Relationship Type="http://schemas.openxmlformats.org/officeDocument/2006/relationships/hyperlink" Target="https://docs.google.com/document/d/1i_k_LrSyI82jLFTzRRKshW6x3cwjWMPo/edit" TargetMode="External" Id="R55ca84113f324cf1" /><Relationship Type="http://schemas.openxmlformats.org/officeDocument/2006/relationships/image" Target="/media/image2.png" Id="Rda4ce948596c40f6" /><Relationship Type="http://schemas.openxmlformats.org/officeDocument/2006/relationships/hyperlink" Target="http://repository.pnb.ac.id/4295/" TargetMode="External" Id="Rb70b007ba5634cf2" /><Relationship Type="http://schemas.openxmlformats.org/officeDocument/2006/relationships/hyperlink" Target="https://books.google.com.bd/books?hl=en&amp;lr=&amp;id=on9qEAAAQBAJ&amp;oi=fnd&amp;pg=PA152&amp;dq=Hilton+hotels+resorts&amp;ots=nV7awTZ3pE&amp;sig=yiueRBUe6sKCyy0zs8TSY0eWQOE&amp;redir_esc=y" TargetMode="External" Id="R12cc72429eaa41a6" /><Relationship Type="http://schemas.openxmlformats.org/officeDocument/2006/relationships/hyperlink" Target="https://papers.ssrn.com/sol3/papers.cfm?abstract_id=3930493" TargetMode="External" Id="Rc526c146a8ea461e" /><Relationship Type="http://schemas.openxmlformats.org/officeDocument/2006/relationships/hyperlink" Target="https://ecommons.cornell.edu/handle/1813/70975" TargetMode="External" Id="R11018d8266cf4458" /><Relationship Type="http://schemas.openxmlformats.org/officeDocument/2006/relationships/hyperlink" Target="https://sk.sagepub.com/cases/serving-hotel-customers-postpandemic-world-hilton-worldwide" TargetMode="External" Id="R87f07aa507804ae6" /><Relationship Type="http://schemas.openxmlformats.org/officeDocument/2006/relationships/hyperlink" Target="https://www.ceeol.com/search/article-detail?id=960198" TargetMode="External" Id="R2f6dce3ac4c747f8" /><Relationship Type="http://schemas.openxmlformats.org/officeDocument/2006/relationships/hyperlink" Target="https://ejournal.catuspata.com/index.php/injogt/article/view/325" TargetMode="External" Id="R12f2c24e4dc748e5" /><Relationship Type="http://schemas.openxmlformats.org/officeDocument/2006/relationships/hyperlink" Target="https://vtechworks.lib.vt.edu/handle/10919/100095" TargetMode="External" Id="R638161005f17413d" /><Relationship Type="http://schemas.openxmlformats.org/officeDocument/2006/relationships/hyperlink" Target="https://thematicsjournals.in/index.php/tjbm/article/view/1180" TargetMode="External" Id="R51ab225d2cad4651" /><Relationship Type="http://schemas.openxmlformats.org/officeDocument/2006/relationships/hyperlink" Target="https://cajitmf.centralasianstudies.org/index.php/CAJITMF/article/view/104" TargetMode="External" Id="Rd6bbc3d1e336444d" /><Relationship Type="http://schemas.openxmlformats.org/officeDocument/2006/relationships/hyperlink" Target="https://vtechworks.lib.vt.edu/handle/10919/106470" TargetMode="External" Id="R70fd36ec45aa4d54" /><Relationship Type="http://schemas.openxmlformats.org/officeDocument/2006/relationships/hyperlink" Target="http://repository.pnb.ac.id/3654/" TargetMode="External" Id="R8b3986bead8e4ac6" /><Relationship Type="http://schemas.openxmlformats.org/officeDocument/2006/relationships/hyperlink" Target="https://www.theseus.fi/handle/10024/261734" TargetMode="External" Id="Rc21eb53ac8bc4b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2023-05-18T22:04:23.8989326Z</dcterms:created>
  <dcterms:modified xsi:type="dcterms:W3CDTF">2023-05-18T22:58:27.4126802Z</dcterms:modified>
  <dc:creator>Salman Mashud Shah Mohammed Ali (2119165)</dc:creator>
  <lastModifiedBy>Salman Mashud Shah Mohammed Ali (2119165)</lastModifiedBy>
</coreProperties>
</file>