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B4DF8" w14:textId="77777777" w:rsidR="002115E2" w:rsidRDefault="002115E2" w:rsidP="002115E2">
      <w:pPr>
        <w:jc w:val="center"/>
        <w:rPr>
          <w:b/>
          <w:bCs/>
          <w:sz w:val="32"/>
          <w:szCs w:val="32"/>
        </w:rPr>
      </w:pPr>
      <w:r>
        <w:rPr>
          <w:b/>
          <w:bCs/>
          <w:noProof/>
          <w:sz w:val="30"/>
          <w:szCs w:val="30"/>
          <w:lang w:val="en-US"/>
        </w:rPr>
        <w:drawing>
          <wp:inline distT="114300" distB="114300" distL="114300" distR="114300" wp14:anchorId="7608CCBF" wp14:editId="4AA3B598">
            <wp:extent cx="1809750" cy="723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809750" cy="723900"/>
                    </a:xfrm>
                    <a:prstGeom prst="rect">
                      <a:avLst/>
                    </a:prstGeom>
                    <a:ln/>
                  </pic:spPr>
                </pic:pic>
              </a:graphicData>
            </a:graphic>
          </wp:inline>
        </w:drawing>
      </w:r>
    </w:p>
    <w:p w14:paraId="317ADE10" w14:textId="77777777" w:rsidR="002115E2" w:rsidRDefault="002115E2" w:rsidP="002115E2">
      <w:pPr>
        <w:jc w:val="center"/>
        <w:rPr>
          <w:b/>
          <w:bCs/>
          <w:sz w:val="32"/>
          <w:szCs w:val="32"/>
        </w:rPr>
      </w:pPr>
    </w:p>
    <w:p w14:paraId="51A5E3C7" w14:textId="77777777" w:rsidR="002115E2" w:rsidRPr="00CA6468" w:rsidRDefault="002115E2" w:rsidP="002115E2">
      <w:pPr>
        <w:jc w:val="center"/>
        <w:rPr>
          <w:b/>
          <w:bCs/>
          <w:sz w:val="32"/>
          <w:szCs w:val="32"/>
          <w:lang w:val="en-IN"/>
        </w:rPr>
      </w:pPr>
      <w:r>
        <w:rPr>
          <w:b/>
          <w:bCs/>
          <w:sz w:val="32"/>
          <w:szCs w:val="32"/>
        </w:rPr>
        <w:t xml:space="preserve">Module Code: </w:t>
      </w:r>
      <w:r w:rsidRPr="00CA6468">
        <w:rPr>
          <w:b/>
          <w:bCs/>
          <w:sz w:val="32"/>
          <w:szCs w:val="32"/>
          <w:lang w:val="en-IN"/>
        </w:rPr>
        <w:t>LCMB7024</w:t>
      </w:r>
    </w:p>
    <w:p w14:paraId="64202C92" w14:textId="77777777" w:rsidR="002115E2" w:rsidRDefault="002115E2" w:rsidP="002115E2">
      <w:pPr>
        <w:jc w:val="center"/>
        <w:rPr>
          <w:b/>
          <w:bCs/>
          <w:sz w:val="32"/>
          <w:szCs w:val="32"/>
        </w:rPr>
      </w:pPr>
    </w:p>
    <w:p w14:paraId="415AD0BB" w14:textId="77777777" w:rsidR="002115E2" w:rsidRDefault="002115E2" w:rsidP="002115E2">
      <w:pPr>
        <w:spacing w:line="360" w:lineRule="auto"/>
        <w:jc w:val="center"/>
        <w:rPr>
          <w:b/>
          <w:bCs/>
          <w:sz w:val="32"/>
          <w:szCs w:val="32"/>
        </w:rPr>
      </w:pPr>
      <w:r>
        <w:rPr>
          <w:b/>
          <w:bCs/>
          <w:sz w:val="32"/>
          <w:szCs w:val="32"/>
        </w:rPr>
        <w:t>Module Name: Marketing Management</w:t>
      </w:r>
    </w:p>
    <w:p w14:paraId="54065ACB" w14:textId="77777777" w:rsidR="002115E2" w:rsidRDefault="002115E2" w:rsidP="002115E2">
      <w:pPr>
        <w:spacing w:line="360" w:lineRule="auto"/>
        <w:jc w:val="center"/>
        <w:rPr>
          <w:b/>
          <w:bCs/>
          <w:sz w:val="32"/>
          <w:szCs w:val="32"/>
        </w:rPr>
      </w:pPr>
    </w:p>
    <w:p w14:paraId="12D5F4D1" w14:textId="77777777" w:rsidR="002115E2" w:rsidRDefault="002115E2" w:rsidP="002115E2">
      <w:pPr>
        <w:spacing w:line="360" w:lineRule="auto"/>
        <w:jc w:val="center"/>
        <w:rPr>
          <w:b/>
          <w:bCs/>
          <w:sz w:val="32"/>
          <w:szCs w:val="32"/>
        </w:rPr>
      </w:pPr>
      <w:r>
        <w:rPr>
          <w:b/>
          <w:bCs/>
          <w:sz w:val="32"/>
          <w:szCs w:val="32"/>
        </w:rPr>
        <w:t>Assessment Component 1: Marketing Environment Analysis</w:t>
      </w:r>
    </w:p>
    <w:p w14:paraId="351DABF3" w14:textId="77777777" w:rsidR="002115E2" w:rsidRDefault="002115E2" w:rsidP="002115E2">
      <w:pPr>
        <w:spacing w:line="360" w:lineRule="auto"/>
        <w:jc w:val="center"/>
        <w:rPr>
          <w:b/>
          <w:bCs/>
          <w:sz w:val="32"/>
          <w:szCs w:val="32"/>
        </w:rPr>
      </w:pPr>
    </w:p>
    <w:p w14:paraId="4E5A61B1" w14:textId="77777777" w:rsidR="002115E2" w:rsidRDefault="002115E2" w:rsidP="002115E2">
      <w:pPr>
        <w:jc w:val="center"/>
        <w:rPr>
          <w:b/>
          <w:sz w:val="32"/>
          <w:szCs w:val="32"/>
        </w:rPr>
      </w:pPr>
      <w:r w:rsidRPr="00901613">
        <w:rPr>
          <w:b/>
          <w:sz w:val="32"/>
          <w:szCs w:val="32"/>
        </w:rPr>
        <w:t>Student Name</w:t>
      </w:r>
      <w:r w:rsidRPr="00632BFB">
        <w:rPr>
          <w:b/>
          <w:sz w:val="32"/>
          <w:szCs w:val="32"/>
        </w:rPr>
        <w:t>: Shivam Vijaykumar Patel</w:t>
      </w:r>
    </w:p>
    <w:p w14:paraId="7C62AA06" w14:textId="77777777" w:rsidR="002115E2" w:rsidRPr="00632BFB" w:rsidRDefault="002115E2" w:rsidP="002115E2">
      <w:pPr>
        <w:jc w:val="center"/>
        <w:rPr>
          <w:b/>
          <w:sz w:val="32"/>
          <w:szCs w:val="32"/>
        </w:rPr>
      </w:pPr>
    </w:p>
    <w:p w14:paraId="7021A981" w14:textId="77777777" w:rsidR="002115E2" w:rsidRDefault="002115E2" w:rsidP="002115E2">
      <w:pPr>
        <w:jc w:val="center"/>
        <w:rPr>
          <w:b/>
          <w:sz w:val="32"/>
          <w:szCs w:val="32"/>
        </w:rPr>
      </w:pPr>
      <w:r w:rsidRPr="00632BFB">
        <w:rPr>
          <w:b/>
          <w:sz w:val="32"/>
          <w:szCs w:val="32"/>
        </w:rPr>
        <w:t>Student ID: 2439811</w:t>
      </w:r>
    </w:p>
    <w:p w14:paraId="5670A77B" w14:textId="77777777" w:rsidR="002115E2" w:rsidRDefault="002115E2" w:rsidP="002115E2">
      <w:pPr>
        <w:jc w:val="center"/>
        <w:rPr>
          <w:b/>
          <w:sz w:val="32"/>
          <w:szCs w:val="32"/>
        </w:rPr>
      </w:pPr>
    </w:p>
    <w:p w14:paraId="3AD60FFF" w14:textId="77777777" w:rsidR="002115E2" w:rsidRDefault="002115E2" w:rsidP="002115E2">
      <w:pPr>
        <w:spacing w:line="360" w:lineRule="auto"/>
        <w:jc w:val="center"/>
        <w:rPr>
          <w:b/>
          <w:color w:val="1D2125"/>
          <w:sz w:val="32"/>
          <w:szCs w:val="32"/>
          <w:shd w:val="clear" w:color="auto" w:fill="FFFFFF"/>
        </w:rPr>
      </w:pPr>
      <w:r w:rsidRPr="00901613">
        <w:rPr>
          <w:rStyle w:val="Strong"/>
          <w:sz w:val="32"/>
          <w:szCs w:val="32"/>
        </w:rPr>
        <w:t>Lecturer Name</w:t>
      </w:r>
      <w:r w:rsidRPr="00901613">
        <w:rPr>
          <w:rStyle w:val="Strong"/>
        </w:rPr>
        <w:t>:</w:t>
      </w:r>
      <w:r w:rsidRPr="00901613">
        <w:t xml:space="preserve"> </w:t>
      </w:r>
      <w:r w:rsidRPr="00CA6468">
        <w:rPr>
          <w:b/>
          <w:color w:val="1D2125"/>
          <w:sz w:val="32"/>
          <w:szCs w:val="32"/>
          <w:shd w:val="clear" w:color="auto" w:fill="FFFFFF"/>
        </w:rPr>
        <w:t xml:space="preserve">Dr Laila </w:t>
      </w:r>
      <w:proofErr w:type="spellStart"/>
      <w:r w:rsidRPr="00CA6468">
        <w:rPr>
          <w:b/>
          <w:color w:val="1D2125"/>
          <w:sz w:val="32"/>
          <w:szCs w:val="32"/>
          <w:shd w:val="clear" w:color="auto" w:fill="FFFFFF"/>
        </w:rPr>
        <w:t>Maazouz</w:t>
      </w:r>
      <w:proofErr w:type="spellEnd"/>
    </w:p>
    <w:p w14:paraId="41307C35" w14:textId="77777777" w:rsidR="002115E2" w:rsidRDefault="002115E2" w:rsidP="002115E2">
      <w:pPr>
        <w:spacing w:line="360" w:lineRule="auto"/>
        <w:jc w:val="center"/>
        <w:rPr>
          <w:b/>
          <w:color w:val="1D2125"/>
          <w:sz w:val="32"/>
          <w:szCs w:val="32"/>
          <w:shd w:val="clear" w:color="auto" w:fill="FFFFFF"/>
        </w:rPr>
      </w:pPr>
    </w:p>
    <w:p w14:paraId="7C19DD89" w14:textId="77777777" w:rsidR="002115E2" w:rsidRPr="00CA6468" w:rsidRDefault="002115E2" w:rsidP="002115E2">
      <w:pPr>
        <w:spacing w:line="360" w:lineRule="auto"/>
        <w:jc w:val="center"/>
        <w:rPr>
          <w:b/>
          <w:bCs/>
          <w:sz w:val="32"/>
          <w:szCs w:val="32"/>
        </w:rPr>
      </w:pPr>
      <w:r w:rsidRPr="00901613">
        <w:rPr>
          <w:rStyle w:val="Strong"/>
          <w:sz w:val="32"/>
          <w:szCs w:val="32"/>
        </w:rPr>
        <w:t>Lecturer Name</w:t>
      </w:r>
      <w:r w:rsidRPr="00901613">
        <w:rPr>
          <w:rStyle w:val="Strong"/>
        </w:rPr>
        <w:t>:</w:t>
      </w:r>
      <w:r w:rsidRPr="00901613">
        <w:t xml:space="preserve"> </w:t>
      </w:r>
      <w:r w:rsidRPr="00CA6468">
        <w:rPr>
          <w:b/>
          <w:color w:val="1D2125"/>
          <w:sz w:val="32"/>
          <w:szCs w:val="32"/>
          <w:shd w:val="clear" w:color="auto" w:fill="FFFFFF"/>
        </w:rPr>
        <w:t xml:space="preserve">Dr Gladius David </w:t>
      </w:r>
      <w:proofErr w:type="spellStart"/>
      <w:r w:rsidRPr="00CA6468">
        <w:rPr>
          <w:b/>
          <w:color w:val="1D2125"/>
          <w:sz w:val="32"/>
          <w:szCs w:val="32"/>
          <w:shd w:val="clear" w:color="auto" w:fill="FFFFFF"/>
        </w:rPr>
        <w:t>Kulothungan</w:t>
      </w:r>
      <w:proofErr w:type="spellEnd"/>
    </w:p>
    <w:p w14:paraId="0754BA46" w14:textId="77777777" w:rsidR="002115E2" w:rsidRDefault="002115E2" w:rsidP="002115E2">
      <w:pPr>
        <w:spacing w:line="360" w:lineRule="auto"/>
        <w:jc w:val="center"/>
        <w:rPr>
          <w:b/>
          <w:bCs/>
          <w:sz w:val="32"/>
          <w:szCs w:val="32"/>
        </w:rPr>
      </w:pPr>
    </w:p>
    <w:p w14:paraId="587AB950" w14:textId="77777777" w:rsidR="002115E2" w:rsidRDefault="002115E2" w:rsidP="002115E2">
      <w:pPr>
        <w:spacing w:line="360" w:lineRule="auto"/>
        <w:jc w:val="center"/>
        <w:rPr>
          <w:b/>
          <w:bCs/>
          <w:sz w:val="32"/>
          <w:szCs w:val="32"/>
        </w:rPr>
      </w:pPr>
    </w:p>
    <w:p w14:paraId="77242081" w14:textId="77777777" w:rsidR="002115E2" w:rsidRDefault="002115E2" w:rsidP="002115E2">
      <w:pPr>
        <w:spacing w:line="360" w:lineRule="auto"/>
        <w:jc w:val="center"/>
        <w:rPr>
          <w:b/>
          <w:bCs/>
          <w:sz w:val="32"/>
          <w:szCs w:val="32"/>
        </w:rPr>
      </w:pPr>
    </w:p>
    <w:p w14:paraId="3FFFEB07" w14:textId="77777777" w:rsidR="002115E2" w:rsidRDefault="002115E2" w:rsidP="002115E2">
      <w:pPr>
        <w:spacing w:line="360" w:lineRule="auto"/>
        <w:jc w:val="center"/>
        <w:rPr>
          <w:b/>
          <w:bCs/>
          <w:sz w:val="32"/>
          <w:szCs w:val="32"/>
        </w:rPr>
      </w:pPr>
    </w:p>
    <w:p w14:paraId="57E83040" w14:textId="77777777" w:rsidR="002115E2" w:rsidRDefault="002115E2" w:rsidP="002115E2">
      <w:pPr>
        <w:spacing w:line="360" w:lineRule="auto"/>
        <w:jc w:val="center"/>
        <w:rPr>
          <w:b/>
          <w:bCs/>
          <w:sz w:val="32"/>
          <w:szCs w:val="32"/>
        </w:rPr>
      </w:pPr>
    </w:p>
    <w:p w14:paraId="018FF6BF" w14:textId="77777777" w:rsidR="002115E2" w:rsidRDefault="002115E2" w:rsidP="002115E2">
      <w:pPr>
        <w:spacing w:line="360" w:lineRule="auto"/>
        <w:jc w:val="center"/>
        <w:rPr>
          <w:b/>
          <w:bCs/>
          <w:sz w:val="32"/>
          <w:szCs w:val="32"/>
        </w:rPr>
      </w:pPr>
    </w:p>
    <w:p w14:paraId="0AF9BBA8" w14:textId="77777777" w:rsidR="002115E2" w:rsidRDefault="002115E2" w:rsidP="002115E2">
      <w:pPr>
        <w:spacing w:line="360" w:lineRule="auto"/>
        <w:jc w:val="center"/>
        <w:rPr>
          <w:b/>
          <w:bCs/>
          <w:sz w:val="32"/>
          <w:szCs w:val="32"/>
        </w:rPr>
      </w:pPr>
    </w:p>
    <w:p w14:paraId="29A0CD56" w14:textId="77777777" w:rsidR="002115E2" w:rsidRDefault="002115E2" w:rsidP="002115E2">
      <w:pPr>
        <w:spacing w:line="360" w:lineRule="auto"/>
        <w:jc w:val="center"/>
        <w:rPr>
          <w:b/>
          <w:bCs/>
          <w:sz w:val="32"/>
          <w:szCs w:val="32"/>
        </w:rPr>
      </w:pPr>
    </w:p>
    <w:p w14:paraId="736B53B2" w14:textId="77777777" w:rsidR="002115E2" w:rsidRDefault="002115E2" w:rsidP="008D4A97">
      <w:pPr>
        <w:spacing w:line="360" w:lineRule="auto"/>
        <w:rPr>
          <w:b/>
          <w:bCs/>
          <w:sz w:val="32"/>
          <w:szCs w:val="32"/>
        </w:rPr>
      </w:pPr>
    </w:p>
    <w:p w14:paraId="7776C015" w14:textId="77777777" w:rsidR="002115E2" w:rsidRDefault="002115E2" w:rsidP="002115E2">
      <w:pPr>
        <w:spacing w:line="360" w:lineRule="auto"/>
        <w:rPr>
          <w:b/>
          <w:bCs/>
          <w:sz w:val="32"/>
          <w:szCs w:val="32"/>
        </w:rPr>
      </w:pPr>
    </w:p>
    <w:sdt>
      <w:sdtPr>
        <w:rPr>
          <w:rFonts w:ascii="Arial" w:eastAsia="Arial" w:hAnsi="Arial" w:cs="Arial"/>
          <w:b w:val="0"/>
          <w:bCs w:val="0"/>
          <w:color w:val="auto"/>
          <w:sz w:val="32"/>
          <w:szCs w:val="22"/>
          <w:lang w:val="en-GB" w:eastAsia="en-GB"/>
        </w:rPr>
        <w:id w:val="-1828744310"/>
        <w:docPartObj>
          <w:docPartGallery w:val="Table of Contents"/>
          <w:docPartUnique/>
        </w:docPartObj>
      </w:sdtPr>
      <w:sdtEndPr>
        <w:rPr>
          <w:noProof/>
          <w:sz w:val="22"/>
        </w:rPr>
      </w:sdtEndPr>
      <w:sdtContent>
        <w:p w14:paraId="21B3DF8A" w14:textId="77777777" w:rsidR="002115E2" w:rsidRPr="0070792E" w:rsidRDefault="002115E2" w:rsidP="002115E2">
          <w:pPr>
            <w:pStyle w:val="TOCHeading"/>
            <w:spacing w:line="360" w:lineRule="auto"/>
            <w:jc w:val="center"/>
            <w:rPr>
              <w:rFonts w:ascii="Arial" w:hAnsi="Arial" w:cs="Arial"/>
              <w:color w:val="000000" w:themeColor="text1"/>
              <w:szCs w:val="24"/>
            </w:rPr>
          </w:pPr>
          <w:r w:rsidRPr="0070792E">
            <w:rPr>
              <w:rFonts w:ascii="Arial" w:hAnsi="Arial" w:cs="Arial"/>
              <w:color w:val="000000" w:themeColor="text1"/>
              <w:szCs w:val="24"/>
            </w:rPr>
            <w:t>Table of Contents</w:t>
          </w:r>
        </w:p>
        <w:p w14:paraId="0C9378FE" w14:textId="77777777" w:rsidR="002115E2" w:rsidRPr="0070792E" w:rsidRDefault="002115E2" w:rsidP="002115E2">
          <w:pPr>
            <w:pStyle w:val="TOC1"/>
            <w:tabs>
              <w:tab w:val="right" w:leader="dot" w:pos="9350"/>
            </w:tabs>
            <w:spacing w:line="360" w:lineRule="auto"/>
            <w:jc w:val="center"/>
            <w:rPr>
              <w:noProof/>
              <w:color w:val="000000" w:themeColor="text1"/>
              <w:sz w:val="24"/>
              <w:szCs w:val="24"/>
            </w:rPr>
          </w:pPr>
          <w:r w:rsidRPr="0070792E">
            <w:rPr>
              <w:color w:val="000000" w:themeColor="text1"/>
              <w:sz w:val="24"/>
              <w:szCs w:val="24"/>
            </w:rPr>
            <w:fldChar w:fldCharType="begin"/>
          </w:r>
          <w:r w:rsidRPr="0070792E">
            <w:rPr>
              <w:color w:val="000000" w:themeColor="text1"/>
              <w:sz w:val="24"/>
              <w:szCs w:val="24"/>
            </w:rPr>
            <w:instrText xml:space="preserve"> TOC \o "1-3" \h \z \u </w:instrText>
          </w:r>
          <w:r w:rsidRPr="0070792E">
            <w:rPr>
              <w:color w:val="000000" w:themeColor="text1"/>
              <w:sz w:val="24"/>
              <w:szCs w:val="24"/>
            </w:rPr>
            <w:fldChar w:fldCharType="separate"/>
          </w:r>
          <w:hyperlink w:anchor="_Toc214052997" w:history="1">
            <w:r w:rsidRPr="0070792E">
              <w:rPr>
                <w:rStyle w:val="Hyperlink"/>
                <w:noProof/>
                <w:color w:val="000000" w:themeColor="text1"/>
                <w:sz w:val="24"/>
                <w:szCs w:val="24"/>
              </w:rPr>
              <w:t>1.0 Introduction</w:t>
            </w:r>
            <w:r w:rsidRPr="0070792E">
              <w:rPr>
                <w:noProof/>
                <w:webHidden/>
                <w:color w:val="000000" w:themeColor="text1"/>
                <w:sz w:val="24"/>
                <w:szCs w:val="24"/>
              </w:rPr>
              <w:tab/>
            </w:r>
            <w:r w:rsidRPr="0070792E">
              <w:rPr>
                <w:noProof/>
                <w:webHidden/>
                <w:color w:val="000000" w:themeColor="text1"/>
                <w:sz w:val="24"/>
                <w:szCs w:val="24"/>
              </w:rPr>
              <w:fldChar w:fldCharType="begin"/>
            </w:r>
            <w:r w:rsidRPr="0070792E">
              <w:rPr>
                <w:noProof/>
                <w:webHidden/>
                <w:color w:val="000000" w:themeColor="text1"/>
                <w:sz w:val="24"/>
                <w:szCs w:val="24"/>
              </w:rPr>
              <w:instrText xml:space="preserve"> PAGEREF _Toc214052997 \h </w:instrText>
            </w:r>
            <w:r w:rsidRPr="0070792E">
              <w:rPr>
                <w:noProof/>
                <w:webHidden/>
                <w:color w:val="000000" w:themeColor="text1"/>
                <w:sz w:val="24"/>
                <w:szCs w:val="24"/>
              </w:rPr>
            </w:r>
            <w:r w:rsidRPr="0070792E">
              <w:rPr>
                <w:noProof/>
                <w:webHidden/>
                <w:color w:val="000000" w:themeColor="text1"/>
                <w:sz w:val="24"/>
                <w:szCs w:val="24"/>
              </w:rPr>
              <w:fldChar w:fldCharType="separate"/>
            </w:r>
            <w:r>
              <w:rPr>
                <w:noProof/>
                <w:webHidden/>
                <w:color w:val="000000" w:themeColor="text1"/>
                <w:sz w:val="24"/>
                <w:szCs w:val="24"/>
              </w:rPr>
              <w:t>3</w:t>
            </w:r>
            <w:r w:rsidRPr="0070792E">
              <w:rPr>
                <w:noProof/>
                <w:webHidden/>
                <w:color w:val="000000" w:themeColor="text1"/>
                <w:sz w:val="24"/>
                <w:szCs w:val="24"/>
              </w:rPr>
              <w:fldChar w:fldCharType="end"/>
            </w:r>
          </w:hyperlink>
        </w:p>
        <w:p w14:paraId="1095632C" w14:textId="77777777" w:rsidR="002115E2" w:rsidRPr="0070792E" w:rsidRDefault="00B27DD6" w:rsidP="002115E2">
          <w:pPr>
            <w:pStyle w:val="TOC1"/>
            <w:tabs>
              <w:tab w:val="right" w:leader="dot" w:pos="9350"/>
            </w:tabs>
            <w:spacing w:line="360" w:lineRule="auto"/>
            <w:jc w:val="center"/>
            <w:rPr>
              <w:noProof/>
              <w:color w:val="000000" w:themeColor="text1"/>
              <w:sz w:val="24"/>
              <w:szCs w:val="24"/>
            </w:rPr>
          </w:pPr>
          <w:hyperlink w:anchor="_Toc214052998" w:history="1">
            <w:r w:rsidR="002115E2" w:rsidRPr="0070792E">
              <w:rPr>
                <w:rStyle w:val="Hyperlink"/>
                <w:noProof/>
                <w:color w:val="000000" w:themeColor="text1"/>
                <w:sz w:val="24"/>
                <w:szCs w:val="24"/>
              </w:rPr>
              <w:t>2.0 Selected Macro-Environmental Actors</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_Toc214052998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3</w:t>
            </w:r>
            <w:r w:rsidR="002115E2" w:rsidRPr="0070792E">
              <w:rPr>
                <w:noProof/>
                <w:webHidden/>
                <w:color w:val="000000" w:themeColor="text1"/>
                <w:sz w:val="24"/>
                <w:szCs w:val="24"/>
              </w:rPr>
              <w:fldChar w:fldCharType="end"/>
            </w:r>
          </w:hyperlink>
        </w:p>
        <w:p w14:paraId="4E0A399E" w14:textId="77777777" w:rsidR="002115E2" w:rsidRPr="0070792E" w:rsidRDefault="00B27DD6" w:rsidP="002115E2">
          <w:pPr>
            <w:pStyle w:val="TOC1"/>
            <w:tabs>
              <w:tab w:val="right" w:leader="dot" w:pos="9350"/>
            </w:tabs>
            <w:spacing w:line="360" w:lineRule="auto"/>
            <w:jc w:val="center"/>
            <w:rPr>
              <w:noProof/>
              <w:color w:val="000000" w:themeColor="text1"/>
              <w:sz w:val="24"/>
              <w:szCs w:val="24"/>
            </w:rPr>
          </w:pPr>
          <w:hyperlink w:anchor="_Toc214052999" w:history="1">
            <w:r w:rsidR="002115E2" w:rsidRPr="0070792E">
              <w:rPr>
                <w:rStyle w:val="Hyperlink"/>
                <w:noProof/>
                <w:color w:val="000000" w:themeColor="text1"/>
                <w:sz w:val="24"/>
                <w:szCs w:val="24"/>
              </w:rPr>
              <w:t>3.0 Macro Actor 1: Technology</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_Toc214052999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4</w:t>
            </w:r>
            <w:r w:rsidR="002115E2" w:rsidRPr="0070792E">
              <w:rPr>
                <w:noProof/>
                <w:webHidden/>
                <w:color w:val="000000" w:themeColor="text1"/>
                <w:sz w:val="24"/>
                <w:szCs w:val="24"/>
              </w:rPr>
              <w:fldChar w:fldCharType="end"/>
            </w:r>
          </w:hyperlink>
        </w:p>
        <w:p w14:paraId="795149CC"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0" w:history="1">
            <w:r w:rsidR="002115E2" w:rsidRPr="0070792E">
              <w:rPr>
                <w:rStyle w:val="Hyperlink"/>
                <w:noProof/>
                <w:color w:val="000000" w:themeColor="text1"/>
                <w:sz w:val="24"/>
                <w:szCs w:val="24"/>
              </w:rPr>
              <w:t>3.1 Opportunities for Nestlé</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_Toc214053000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4</w:t>
            </w:r>
            <w:r w:rsidR="002115E2" w:rsidRPr="0070792E">
              <w:rPr>
                <w:noProof/>
                <w:webHidden/>
                <w:color w:val="000000" w:themeColor="text1"/>
                <w:sz w:val="24"/>
                <w:szCs w:val="24"/>
              </w:rPr>
              <w:fldChar w:fldCharType="end"/>
            </w:r>
          </w:hyperlink>
        </w:p>
        <w:p w14:paraId="3E890A6D"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1" w:history="1">
            <w:r w:rsidR="002115E2" w:rsidRPr="0070792E">
              <w:rPr>
                <w:rStyle w:val="Hyperlink"/>
                <w:noProof/>
                <w:color w:val="000000" w:themeColor="text1"/>
                <w:sz w:val="24"/>
                <w:szCs w:val="24"/>
              </w:rPr>
              <w:t>3.2 Threats to Nestlé</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_Toc214053001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5</w:t>
            </w:r>
            <w:r w:rsidR="002115E2" w:rsidRPr="0070792E">
              <w:rPr>
                <w:noProof/>
                <w:webHidden/>
                <w:color w:val="000000" w:themeColor="text1"/>
                <w:sz w:val="24"/>
                <w:szCs w:val="24"/>
              </w:rPr>
              <w:fldChar w:fldCharType="end"/>
            </w:r>
          </w:hyperlink>
        </w:p>
        <w:p w14:paraId="2A61C00E"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2" w:history="1">
            <w:r w:rsidR="002115E2" w:rsidRPr="0070792E">
              <w:rPr>
                <w:rStyle w:val="Hyperlink"/>
                <w:noProof/>
                <w:color w:val="000000" w:themeColor="text1"/>
                <w:sz w:val="24"/>
                <w:szCs w:val="24"/>
              </w:rPr>
              <w:t>3.3 Opportunities for Mondelēz</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_Toc214053002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5</w:t>
            </w:r>
            <w:r w:rsidR="002115E2" w:rsidRPr="0070792E">
              <w:rPr>
                <w:noProof/>
                <w:webHidden/>
                <w:color w:val="000000" w:themeColor="text1"/>
                <w:sz w:val="24"/>
                <w:szCs w:val="24"/>
              </w:rPr>
              <w:fldChar w:fldCharType="end"/>
            </w:r>
          </w:hyperlink>
        </w:p>
        <w:p w14:paraId="0311A55E"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3" w:history="1">
            <w:r w:rsidR="002115E2" w:rsidRPr="0070792E">
              <w:rPr>
                <w:rStyle w:val="Hyperlink"/>
                <w:noProof/>
                <w:color w:val="000000" w:themeColor="text1"/>
                <w:sz w:val="24"/>
                <w:szCs w:val="24"/>
              </w:rPr>
              <w:t>3.4 Threats to Mondelēz</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_Toc214053003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6</w:t>
            </w:r>
            <w:r w:rsidR="002115E2" w:rsidRPr="0070792E">
              <w:rPr>
                <w:noProof/>
                <w:webHidden/>
                <w:color w:val="000000" w:themeColor="text1"/>
                <w:sz w:val="24"/>
                <w:szCs w:val="24"/>
              </w:rPr>
              <w:fldChar w:fldCharType="end"/>
            </w:r>
          </w:hyperlink>
        </w:p>
        <w:p w14:paraId="5701B72D" w14:textId="77777777" w:rsidR="002115E2" w:rsidRPr="0070792E" w:rsidRDefault="00B27DD6" w:rsidP="002115E2">
          <w:pPr>
            <w:pStyle w:val="TOC1"/>
            <w:tabs>
              <w:tab w:val="right" w:leader="dot" w:pos="9350"/>
            </w:tabs>
            <w:spacing w:line="360" w:lineRule="auto"/>
            <w:jc w:val="center"/>
            <w:rPr>
              <w:noProof/>
              <w:color w:val="000000" w:themeColor="text1"/>
              <w:sz w:val="24"/>
              <w:szCs w:val="24"/>
            </w:rPr>
          </w:pPr>
          <w:hyperlink w:anchor="_Toc214053004" w:history="1">
            <w:r w:rsidR="002115E2" w:rsidRPr="0070792E">
              <w:rPr>
                <w:rStyle w:val="Hyperlink"/>
                <w:noProof/>
                <w:color w:val="000000" w:themeColor="text1"/>
                <w:sz w:val="24"/>
                <w:szCs w:val="24"/>
              </w:rPr>
              <w:t>4.0 Macro Actor 2: Socio-Cultural Environment</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_Toc214053004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6</w:t>
            </w:r>
            <w:r w:rsidR="002115E2" w:rsidRPr="0070792E">
              <w:rPr>
                <w:noProof/>
                <w:webHidden/>
                <w:color w:val="000000" w:themeColor="text1"/>
                <w:sz w:val="24"/>
                <w:szCs w:val="24"/>
              </w:rPr>
              <w:fldChar w:fldCharType="end"/>
            </w:r>
          </w:hyperlink>
        </w:p>
        <w:p w14:paraId="77DD23BF"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5" w:history="1">
            <w:r w:rsidR="002115E2" w:rsidRPr="0070792E">
              <w:rPr>
                <w:rStyle w:val="Hyperlink"/>
                <w:noProof/>
                <w:color w:val="000000" w:themeColor="text1"/>
                <w:sz w:val="24"/>
                <w:szCs w:val="24"/>
              </w:rPr>
              <w:t>4.1 Nestlé's Opportunities (Pioneer)</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_Toc214053005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6</w:t>
            </w:r>
            <w:r w:rsidR="002115E2" w:rsidRPr="0070792E">
              <w:rPr>
                <w:noProof/>
                <w:webHidden/>
                <w:color w:val="000000" w:themeColor="text1"/>
                <w:sz w:val="24"/>
                <w:szCs w:val="24"/>
              </w:rPr>
              <w:fldChar w:fldCharType="end"/>
            </w:r>
          </w:hyperlink>
        </w:p>
        <w:p w14:paraId="79B14487"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6" w:history="1">
            <w:r w:rsidR="002115E2" w:rsidRPr="0070792E">
              <w:rPr>
                <w:rStyle w:val="Hyperlink"/>
                <w:noProof/>
                <w:color w:val="000000" w:themeColor="text1"/>
                <w:sz w:val="24"/>
                <w:szCs w:val="24"/>
              </w:rPr>
              <w:t>4.2 Threats to Nestlé</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_Toc214053006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7</w:t>
            </w:r>
            <w:r w:rsidR="002115E2" w:rsidRPr="0070792E">
              <w:rPr>
                <w:noProof/>
                <w:webHidden/>
                <w:color w:val="000000" w:themeColor="text1"/>
                <w:sz w:val="24"/>
                <w:szCs w:val="24"/>
              </w:rPr>
              <w:fldChar w:fldCharType="end"/>
            </w:r>
          </w:hyperlink>
        </w:p>
        <w:p w14:paraId="209EEFD9"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7" w:history="1">
            <w:r w:rsidR="002115E2" w:rsidRPr="0070792E">
              <w:rPr>
                <w:rStyle w:val="Hyperlink"/>
                <w:noProof/>
                <w:color w:val="000000" w:themeColor="text1"/>
                <w:sz w:val="24"/>
                <w:szCs w:val="24"/>
              </w:rPr>
              <w:t>4.3 Opportunities for Mondelēz (Follower)</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_Toc214053007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7</w:t>
            </w:r>
            <w:r w:rsidR="002115E2" w:rsidRPr="0070792E">
              <w:rPr>
                <w:noProof/>
                <w:webHidden/>
                <w:color w:val="000000" w:themeColor="text1"/>
                <w:sz w:val="24"/>
                <w:szCs w:val="24"/>
              </w:rPr>
              <w:fldChar w:fldCharType="end"/>
            </w:r>
          </w:hyperlink>
        </w:p>
        <w:p w14:paraId="0C64149A"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08" w:history="1">
            <w:r w:rsidR="002115E2" w:rsidRPr="0070792E">
              <w:rPr>
                <w:rStyle w:val="Hyperlink"/>
                <w:noProof/>
                <w:color w:val="000000" w:themeColor="text1"/>
                <w:sz w:val="24"/>
                <w:szCs w:val="24"/>
              </w:rPr>
              <w:t>4.4 Threats Facing Mondelēz</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_Toc214053008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7</w:t>
            </w:r>
            <w:r w:rsidR="002115E2" w:rsidRPr="0070792E">
              <w:rPr>
                <w:noProof/>
                <w:webHidden/>
                <w:color w:val="000000" w:themeColor="text1"/>
                <w:sz w:val="24"/>
                <w:szCs w:val="24"/>
              </w:rPr>
              <w:fldChar w:fldCharType="end"/>
            </w:r>
          </w:hyperlink>
        </w:p>
        <w:p w14:paraId="76771755" w14:textId="77777777" w:rsidR="002115E2" w:rsidRPr="0070792E" w:rsidRDefault="00B27DD6" w:rsidP="002115E2">
          <w:pPr>
            <w:pStyle w:val="TOC1"/>
            <w:tabs>
              <w:tab w:val="right" w:leader="dot" w:pos="9350"/>
            </w:tabs>
            <w:spacing w:line="360" w:lineRule="auto"/>
            <w:jc w:val="center"/>
            <w:rPr>
              <w:noProof/>
              <w:color w:val="000000" w:themeColor="text1"/>
              <w:sz w:val="24"/>
              <w:szCs w:val="24"/>
            </w:rPr>
          </w:pPr>
          <w:hyperlink w:anchor="_Toc214053009" w:history="1">
            <w:r w:rsidR="002115E2" w:rsidRPr="0070792E">
              <w:rPr>
                <w:rStyle w:val="Hyperlink"/>
                <w:noProof/>
                <w:color w:val="000000" w:themeColor="text1"/>
                <w:sz w:val="24"/>
                <w:szCs w:val="24"/>
              </w:rPr>
              <w:t>5.0 Strategic Responses to Technological Change</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_Toc214053009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8</w:t>
            </w:r>
            <w:r w:rsidR="002115E2" w:rsidRPr="0070792E">
              <w:rPr>
                <w:noProof/>
                <w:webHidden/>
                <w:color w:val="000000" w:themeColor="text1"/>
                <w:sz w:val="24"/>
                <w:szCs w:val="24"/>
              </w:rPr>
              <w:fldChar w:fldCharType="end"/>
            </w:r>
          </w:hyperlink>
        </w:p>
        <w:p w14:paraId="51C70B58"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10" w:history="1">
            <w:r w:rsidR="002115E2" w:rsidRPr="0070792E">
              <w:rPr>
                <w:rStyle w:val="Hyperlink"/>
                <w:noProof/>
                <w:color w:val="000000" w:themeColor="text1"/>
                <w:sz w:val="24"/>
                <w:szCs w:val="24"/>
              </w:rPr>
              <w:t>5.1 Nestlé (Pioneer) Strategies</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_Toc214053010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8</w:t>
            </w:r>
            <w:r w:rsidR="002115E2" w:rsidRPr="0070792E">
              <w:rPr>
                <w:noProof/>
                <w:webHidden/>
                <w:color w:val="000000" w:themeColor="text1"/>
                <w:sz w:val="24"/>
                <w:szCs w:val="24"/>
              </w:rPr>
              <w:fldChar w:fldCharType="end"/>
            </w:r>
          </w:hyperlink>
        </w:p>
        <w:p w14:paraId="5C0B055C"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11" w:history="1">
            <w:r w:rsidR="002115E2" w:rsidRPr="0070792E">
              <w:rPr>
                <w:rStyle w:val="Hyperlink"/>
                <w:noProof/>
                <w:color w:val="000000" w:themeColor="text1"/>
                <w:sz w:val="24"/>
                <w:szCs w:val="24"/>
              </w:rPr>
              <w:t>5.2 Mondelēz (Follower) Strategies</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_Toc214053011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9</w:t>
            </w:r>
            <w:r w:rsidR="002115E2" w:rsidRPr="0070792E">
              <w:rPr>
                <w:noProof/>
                <w:webHidden/>
                <w:color w:val="000000" w:themeColor="text1"/>
                <w:sz w:val="24"/>
                <w:szCs w:val="24"/>
              </w:rPr>
              <w:fldChar w:fldCharType="end"/>
            </w:r>
          </w:hyperlink>
        </w:p>
        <w:p w14:paraId="2DD984D2"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12" w:history="1">
            <w:r w:rsidR="002115E2" w:rsidRPr="0070792E">
              <w:rPr>
                <w:rStyle w:val="Hyperlink"/>
                <w:noProof/>
                <w:color w:val="000000" w:themeColor="text1"/>
                <w:sz w:val="24"/>
                <w:szCs w:val="24"/>
              </w:rPr>
              <w:t>5.3 Comparative Discussion</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_Toc214053012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9</w:t>
            </w:r>
            <w:r w:rsidR="002115E2" w:rsidRPr="0070792E">
              <w:rPr>
                <w:noProof/>
                <w:webHidden/>
                <w:color w:val="000000" w:themeColor="text1"/>
                <w:sz w:val="24"/>
                <w:szCs w:val="24"/>
              </w:rPr>
              <w:fldChar w:fldCharType="end"/>
            </w:r>
          </w:hyperlink>
        </w:p>
        <w:p w14:paraId="0CC9436F" w14:textId="77777777" w:rsidR="002115E2" w:rsidRPr="0070792E" w:rsidRDefault="00B27DD6" w:rsidP="002115E2">
          <w:pPr>
            <w:pStyle w:val="TOC1"/>
            <w:tabs>
              <w:tab w:val="right" w:leader="dot" w:pos="9350"/>
            </w:tabs>
            <w:spacing w:line="360" w:lineRule="auto"/>
            <w:jc w:val="center"/>
            <w:rPr>
              <w:noProof/>
              <w:color w:val="000000" w:themeColor="text1"/>
              <w:sz w:val="24"/>
              <w:szCs w:val="24"/>
            </w:rPr>
          </w:pPr>
          <w:hyperlink w:anchor="_Toc214053013" w:history="1">
            <w:r w:rsidR="002115E2" w:rsidRPr="0070792E">
              <w:rPr>
                <w:rStyle w:val="Hyperlink"/>
                <w:noProof/>
                <w:color w:val="000000" w:themeColor="text1"/>
                <w:sz w:val="24"/>
                <w:szCs w:val="24"/>
              </w:rPr>
              <w:t>6.0 Strategic Responses to Social and Cultural Changes</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_Toc214053013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9</w:t>
            </w:r>
            <w:r w:rsidR="002115E2" w:rsidRPr="0070792E">
              <w:rPr>
                <w:noProof/>
                <w:webHidden/>
                <w:color w:val="000000" w:themeColor="text1"/>
                <w:sz w:val="24"/>
                <w:szCs w:val="24"/>
              </w:rPr>
              <w:fldChar w:fldCharType="end"/>
            </w:r>
          </w:hyperlink>
        </w:p>
        <w:p w14:paraId="202CB651"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14" w:history="1">
            <w:r w:rsidR="002115E2" w:rsidRPr="0070792E">
              <w:rPr>
                <w:rStyle w:val="Hyperlink"/>
                <w:noProof/>
                <w:color w:val="000000" w:themeColor="text1"/>
                <w:sz w:val="24"/>
                <w:szCs w:val="24"/>
              </w:rPr>
              <w:t>6.1 Nestlé Strategies (Pioneer)</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_Toc214053014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10</w:t>
            </w:r>
            <w:r w:rsidR="002115E2" w:rsidRPr="0070792E">
              <w:rPr>
                <w:noProof/>
                <w:webHidden/>
                <w:color w:val="000000" w:themeColor="text1"/>
                <w:sz w:val="24"/>
                <w:szCs w:val="24"/>
              </w:rPr>
              <w:fldChar w:fldCharType="end"/>
            </w:r>
          </w:hyperlink>
        </w:p>
        <w:p w14:paraId="6E5B15B8" w14:textId="77777777" w:rsidR="002115E2" w:rsidRPr="0070792E" w:rsidRDefault="00B27DD6" w:rsidP="002115E2">
          <w:pPr>
            <w:pStyle w:val="TOC2"/>
            <w:tabs>
              <w:tab w:val="right" w:leader="dot" w:pos="9350"/>
            </w:tabs>
            <w:spacing w:line="360" w:lineRule="auto"/>
            <w:jc w:val="center"/>
            <w:rPr>
              <w:noProof/>
              <w:color w:val="000000" w:themeColor="text1"/>
              <w:sz w:val="24"/>
              <w:szCs w:val="24"/>
            </w:rPr>
          </w:pPr>
          <w:hyperlink w:anchor="_Toc214053015" w:history="1">
            <w:r w:rsidR="002115E2" w:rsidRPr="0070792E">
              <w:rPr>
                <w:rStyle w:val="Hyperlink"/>
                <w:noProof/>
                <w:color w:val="000000" w:themeColor="text1"/>
                <w:sz w:val="24"/>
                <w:szCs w:val="24"/>
              </w:rPr>
              <w:t>6.2 Mondelēz Strategies (Follower)</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_Toc214053015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10</w:t>
            </w:r>
            <w:r w:rsidR="002115E2" w:rsidRPr="0070792E">
              <w:rPr>
                <w:noProof/>
                <w:webHidden/>
                <w:color w:val="000000" w:themeColor="text1"/>
                <w:sz w:val="24"/>
                <w:szCs w:val="24"/>
              </w:rPr>
              <w:fldChar w:fldCharType="end"/>
            </w:r>
          </w:hyperlink>
        </w:p>
        <w:p w14:paraId="375D1AF2" w14:textId="77777777" w:rsidR="002115E2" w:rsidRPr="0070792E" w:rsidRDefault="00B27DD6" w:rsidP="002115E2">
          <w:pPr>
            <w:pStyle w:val="TOC1"/>
            <w:tabs>
              <w:tab w:val="right" w:leader="dot" w:pos="9350"/>
            </w:tabs>
            <w:spacing w:line="360" w:lineRule="auto"/>
            <w:jc w:val="center"/>
            <w:rPr>
              <w:noProof/>
              <w:color w:val="000000" w:themeColor="text1"/>
              <w:sz w:val="24"/>
              <w:szCs w:val="24"/>
            </w:rPr>
          </w:pPr>
          <w:hyperlink w:anchor="_Toc214053016" w:history="1">
            <w:r w:rsidR="002115E2" w:rsidRPr="0070792E">
              <w:rPr>
                <w:rStyle w:val="Hyperlink"/>
                <w:noProof/>
                <w:color w:val="000000" w:themeColor="text1"/>
                <w:sz w:val="24"/>
                <w:szCs w:val="24"/>
              </w:rPr>
              <w:t>7.0 Conclusion</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_Toc214053016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11</w:t>
            </w:r>
            <w:r w:rsidR="002115E2" w:rsidRPr="0070792E">
              <w:rPr>
                <w:noProof/>
                <w:webHidden/>
                <w:color w:val="000000" w:themeColor="text1"/>
                <w:sz w:val="24"/>
                <w:szCs w:val="24"/>
              </w:rPr>
              <w:fldChar w:fldCharType="end"/>
            </w:r>
          </w:hyperlink>
        </w:p>
        <w:p w14:paraId="09DF8D5C" w14:textId="77777777" w:rsidR="002115E2" w:rsidRPr="0070792E" w:rsidRDefault="00B27DD6" w:rsidP="002115E2">
          <w:pPr>
            <w:pStyle w:val="TOC1"/>
            <w:tabs>
              <w:tab w:val="right" w:leader="dot" w:pos="9350"/>
            </w:tabs>
            <w:spacing w:line="360" w:lineRule="auto"/>
            <w:jc w:val="center"/>
            <w:rPr>
              <w:noProof/>
              <w:color w:val="000000" w:themeColor="text1"/>
              <w:sz w:val="24"/>
              <w:szCs w:val="24"/>
            </w:rPr>
          </w:pPr>
          <w:hyperlink w:anchor="_Toc214053017" w:history="1">
            <w:r w:rsidR="002115E2" w:rsidRPr="0070792E">
              <w:rPr>
                <w:rStyle w:val="Hyperlink"/>
                <w:noProof/>
                <w:color w:val="000000" w:themeColor="text1"/>
                <w:sz w:val="24"/>
                <w:szCs w:val="24"/>
              </w:rPr>
              <w:t>References</w:t>
            </w:r>
            <w:r w:rsidR="002115E2" w:rsidRPr="0070792E">
              <w:rPr>
                <w:noProof/>
                <w:webHidden/>
                <w:color w:val="000000" w:themeColor="text1"/>
                <w:sz w:val="24"/>
                <w:szCs w:val="24"/>
              </w:rPr>
              <w:tab/>
            </w:r>
            <w:r w:rsidR="002115E2" w:rsidRPr="0070792E">
              <w:rPr>
                <w:noProof/>
                <w:webHidden/>
                <w:color w:val="000000" w:themeColor="text1"/>
                <w:sz w:val="24"/>
                <w:szCs w:val="24"/>
              </w:rPr>
              <w:fldChar w:fldCharType="begin"/>
            </w:r>
            <w:r w:rsidR="002115E2" w:rsidRPr="0070792E">
              <w:rPr>
                <w:noProof/>
                <w:webHidden/>
                <w:color w:val="000000" w:themeColor="text1"/>
                <w:sz w:val="24"/>
                <w:szCs w:val="24"/>
              </w:rPr>
              <w:instrText xml:space="preserve"> PAGEREF _Toc214053017 \h </w:instrText>
            </w:r>
            <w:r w:rsidR="002115E2" w:rsidRPr="0070792E">
              <w:rPr>
                <w:noProof/>
                <w:webHidden/>
                <w:color w:val="000000" w:themeColor="text1"/>
                <w:sz w:val="24"/>
                <w:szCs w:val="24"/>
              </w:rPr>
            </w:r>
            <w:r w:rsidR="002115E2" w:rsidRPr="0070792E">
              <w:rPr>
                <w:noProof/>
                <w:webHidden/>
                <w:color w:val="000000" w:themeColor="text1"/>
                <w:sz w:val="24"/>
                <w:szCs w:val="24"/>
              </w:rPr>
              <w:fldChar w:fldCharType="separate"/>
            </w:r>
            <w:r w:rsidR="002115E2">
              <w:rPr>
                <w:noProof/>
                <w:webHidden/>
                <w:color w:val="000000" w:themeColor="text1"/>
                <w:sz w:val="24"/>
                <w:szCs w:val="24"/>
              </w:rPr>
              <w:t>12</w:t>
            </w:r>
            <w:r w:rsidR="002115E2" w:rsidRPr="0070792E">
              <w:rPr>
                <w:noProof/>
                <w:webHidden/>
                <w:color w:val="000000" w:themeColor="text1"/>
                <w:sz w:val="24"/>
                <w:szCs w:val="24"/>
              </w:rPr>
              <w:fldChar w:fldCharType="end"/>
            </w:r>
          </w:hyperlink>
        </w:p>
        <w:p w14:paraId="603EB4EC" w14:textId="77777777" w:rsidR="002115E2" w:rsidRPr="0070792E" w:rsidRDefault="002115E2" w:rsidP="002115E2">
          <w:pPr>
            <w:spacing w:line="360" w:lineRule="auto"/>
            <w:jc w:val="center"/>
          </w:pPr>
          <w:r w:rsidRPr="0070792E">
            <w:rPr>
              <w:b/>
              <w:bCs/>
              <w:noProof/>
              <w:color w:val="000000" w:themeColor="text1"/>
              <w:sz w:val="24"/>
              <w:szCs w:val="24"/>
            </w:rPr>
            <w:fldChar w:fldCharType="end"/>
          </w:r>
        </w:p>
      </w:sdtContent>
    </w:sdt>
    <w:p w14:paraId="60AFABE8" w14:textId="77777777" w:rsidR="002115E2" w:rsidRDefault="002115E2" w:rsidP="002115E2">
      <w:pPr>
        <w:spacing w:line="360" w:lineRule="auto"/>
        <w:jc w:val="both"/>
        <w:rPr>
          <w:b/>
          <w:bCs/>
          <w:sz w:val="28"/>
          <w:szCs w:val="28"/>
        </w:rPr>
      </w:pPr>
    </w:p>
    <w:p w14:paraId="4E62CBE1" w14:textId="77777777" w:rsidR="002115E2" w:rsidRDefault="002115E2" w:rsidP="002115E2">
      <w:pPr>
        <w:spacing w:line="360" w:lineRule="auto"/>
        <w:jc w:val="both"/>
        <w:rPr>
          <w:b/>
          <w:bCs/>
          <w:sz w:val="28"/>
          <w:szCs w:val="28"/>
        </w:rPr>
      </w:pPr>
    </w:p>
    <w:p w14:paraId="3F346675" w14:textId="77777777" w:rsidR="002115E2" w:rsidRDefault="002115E2" w:rsidP="002115E2">
      <w:pPr>
        <w:spacing w:line="360" w:lineRule="auto"/>
        <w:jc w:val="both"/>
        <w:rPr>
          <w:b/>
          <w:bCs/>
          <w:sz w:val="28"/>
          <w:szCs w:val="28"/>
        </w:rPr>
      </w:pPr>
    </w:p>
    <w:p w14:paraId="584B69AC" w14:textId="77777777" w:rsidR="002115E2" w:rsidRDefault="002115E2" w:rsidP="002115E2">
      <w:pPr>
        <w:pStyle w:val="Heading1"/>
      </w:pPr>
      <w:bookmarkStart w:id="0" w:name="_Toc214052997"/>
      <w:r>
        <w:t>1.0 Introduction</w:t>
      </w:r>
      <w:bookmarkEnd w:id="0"/>
    </w:p>
    <w:p w14:paraId="6021DD26" w14:textId="77777777" w:rsidR="002115E2" w:rsidRDefault="002115E2" w:rsidP="002115E2">
      <w:pPr>
        <w:spacing w:line="360" w:lineRule="auto"/>
        <w:jc w:val="both"/>
        <w:rPr>
          <w:sz w:val="24"/>
          <w:szCs w:val="24"/>
        </w:rPr>
      </w:pPr>
      <w:r>
        <w:rPr>
          <w:sz w:val="24"/>
          <w:szCs w:val="24"/>
        </w:rPr>
        <w:t>Strategic marketing management involves the automatic monitoring and evaluation of a company's history with any changes in the macro marketing environment. Specifically, external environmental actors are essential to the development of competitive capacity for an organisation, the way in which markets behave and importantly defining what strategy to follow. For those pioneering companies, changes in their environment can create opportunities to develop an entirely new market and to assume the role of leader in the early stages of market development. In this case, follower companies typically gauge how they react to proven strategies adopted by the stamping companies and industries of a market. Therefore, understanding how macro-environmental forces work is vital in understanding competition that is evolving in a market or in any industry.</w:t>
      </w:r>
    </w:p>
    <w:p w14:paraId="0E2DE9B4" w14:textId="77777777" w:rsidR="002115E2" w:rsidRDefault="002115E2" w:rsidP="002115E2">
      <w:pPr>
        <w:spacing w:line="360" w:lineRule="auto"/>
        <w:jc w:val="both"/>
        <w:rPr>
          <w:sz w:val="24"/>
          <w:szCs w:val="24"/>
        </w:rPr>
      </w:pPr>
      <w:r>
        <w:rPr>
          <w:sz w:val="24"/>
          <w:szCs w:val="24"/>
        </w:rPr>
        <w:t>This report will explore this competitive behaviour across companies through a comparative study of Nestlé as an industry pioneer global player in the food and beverage industry, and Mondelēz International, which is recognised as a follower in many of the product categories including snacks, confectionery, and packaged food. Nestlé has an historical propensity to innovate early, invest in food technology as it relates to food and beverage development, and lead the way in sustainability initiatives, both of which are self-evident of a pioneering business. With Mondelēz typically adopting a fast-second approach to development, they will also be in a position to develop modifications of proven and lower risk innovations with shorter time frames.</w:t>
      </w:r>
    </w:p>
    <w:p w14:paraId="126B4B47" w14:textId="77777777" w:rsidR="002115E2" w:rsidRDefault="002115E2" w:rsidP="002115E2">
      <w:pPr>
        <w:spacing w:line="360" w:lineRule="auto"/>
        <w:jc w:val="both"/>
        <w:rPr>
          <w:sz w:val="24"/>
          <w:szCs w:val="24"/>
        </w:rPr>
      </w:pPr>
      <w:r>
        <w:rPr>
          <w:sz w:val="24"/>
          <w:szCs w:val="24"/>
        </w:rPr>
        <w:t>The two macro-environmental actors identified for critique are technological actors and socio-cultural. The rationale for selecting these two actors, in particular, is that they will have the greatest impact on consumer expectations, product innovation across companies, and their competitiveness in the global industry.</w:t>
      </w:r>
    </w:p>
    <w:p w14:paraId="39338EB4" w14:textId="77777777" w:rsidR="002115E2" w:rsidRDefault="002115E2" w:rsidP="002115E2">
      <w:pPr>
        <w:pStyle w:val="Heading1"/>
      </w:pPr>
      <w:bookmarkStart w:id="1" w:name="_Toc214052998"/>
      <w:r>
        <w:lastRenderedPageBreak/>
        <w:t>2.0 Selected Macro-Environmental Actors</w:t>
      </w:r>
      <w:bookmarkEnd w:id="1"/>
    </w:p>
    <w:p w14:paraId="09F653CE" w14:textId="225326A5" w:rsidR="002115E2" w:rsidRDefault="002115E2" w:rsidP="002115E2">
      <w:pPr>
        <w:spacing w:line="360" w:lineRule="auto"/>
        <w:jc w:val="both"/>
        <w:rPr>
          <w:sz w:val="24"/>
          <w:szCs w:val="24"/>
        </w:rPr>
      </w:pPr>
      <w:r>
        <w:rPr>
          <w:sz w:val="24"/>
          <w:szCs w:val="24"/>
        </w:rPr>
        <w:t>This report will use two of the macro-environmental actors located in the PESTLE framework: Technological factors and Socio-Cultural factors.</w:t>
      </w:r>
      <w:r w:rsidR="00D80E1A" w:rsidRPr="00D80E1A">
        <w:rPr>
          <w:spacing w:val="1"/>
          <w:sz w:val="27"/>
          <w:szCs w:val="27"/>
          <w:shd w:val="clear" w:color="auto" w:fill="FFFFFF"/>
        </w:rPr>
        <w:t xml:space="preserve"> </w:t>
      </w:r>
      <w:r w:rsidR="00D80E1A" w:rsidRPr="00D80E1A">
        <w:rPr>
          <w:spacing w:val="1"/>
          <w:sz w:val="24"/>
          <w:szCs w:val="24"/>
          <w:shd w:val="clear" w:color="auto" w:fill="FFFFFF"/>
        </w:rPr>
        <w:t>A macro environment refers to the overall, broader economy and the external forces that affect it.</w:t>
      </w:r>
      <w:r>
        <w:rPr>
          <w:sz w:val="24"/>
          <w:szCs w:val="24"/>
        </w:rPr>
        <w:t xml:space="preserve"> These factors are important to use as within the global food and beverage industry, technological innovations drive product development, supply chain efficiencies and digital transformation. Likewise, socio-cultural changes are changing consumer demand, behaviour, and expectations. Technological and socio-cultural factors will provide several unique opportunities and threats to a pioneer firm such as Nestlé, and a follower organization such as Mondelēz. The barriers of using actors with differing strategic orientations will allow for an insightful comparison regarding how organizations respond to rapid environment changes.</w:t>
      </w:r>
    </w:p>
    <w:p w14:paraId="49F9B318" w14:textId="77777777" w:rsidR="002115E2" w:rsidRPr="00F47599" w:rsidRDefault="002115E2" w:rsidP="002115E2">
      <w:pPr>
        <w:pStyle w:val="Heading1"/>
      </w:pPr>
      <w:bookmarkStart w:id="2" w:name="_Toc214052999"/>
      <w:r w:rsidRPr="00F47599">
        <w:t>3.0 Macro Actor 1: Technology</w:t>
      </w:r>
      <w:bookmarkEnd w:id="2"/>
    </w:p>
    <w:p w14:paraId="0B586E79" w14:textId="77777777" w:rsidR="002115E2" w:rsidRPr="00F47599" w:rsidRDefault="002115E2" w:rsidP="002115E2">
      <w:pPr>
        <w:spacing w:line="360" w:lineRule="auto"/>
        <w:jc w:val="both"/>
        <w:rPr>
          <w:color w:val="000000" w:themeColor="text1"/>
          <w:sz w:val="24"/>
          <w:szCs w:val="24"/>
        </w:rPr>
      </w:pPr>
      <w:r w:rsidRPr="00F47599">
        <w:rPr>
          <w:color w:val="000000" w:themeColor="text1"/>
          <w:sz w:val="24"/>
          <w:szCs w:val="24"/>
        </w:rPr>
        <w:t xml:space="preserve">Technological change stands out as one of the key actors constituting the macro-environmental context affecting the global food and beverage sector. There is also an evolution in the pace of technology adoption in the market that is fast-tracking innovators and the </w:t>
      </w:r>
      <w:proofErr w:type="spellStart"/>
      <w:r w:rsidRPr="00F47599">
        <w:rPr>
          <w:color w:val="000000" w:themeColor="text1"/>
          <w:sz w:val="24"/>
          <w:szCs w:val="24"/>
        </w:rPr>
        <w:t>laggars</w:t>
      </w:r>
      <w:proofErr w:type="spellEnd"/>
      <w:r w:rsidRPr="00F47599">
        <w:rPr>
          <w:color w:val="000000" w:themeColor="text1"/>
          <w:sz w:val="24"/>
          <w:szCs w:val="24"/>
        </w:rPr>
        <w:t xml:space="preserve"> who follow, to remain competitive. </w:t>
      </w:r>
      <w:r>
        <w:rPr>
          <w:color w:val="000000" w:themeColor="text1"/>
          <w:sz w:val="24"/>
          <w:szCs w:val="24"/>
        </w:rPr>
        <w:t>For innovators</w:t>
      </w:r>
      <w:r w:rsidRPr="00F47599">
        <w:rPr>
          <w:color w:val="000000" w:themeColor="text1"/>
          <w:sz w:val="24"/>
          <w:szCs w:val="24"/>
        </w:rPr>
        <w:t xml:space="preserve"> like Nestlé, technology creates great opportunity for innovation leadership and changing industry practice and for being the first mover and gaining market leadership position. On the other side of the ledger there are substantial risk development costs associated with technology for firms, as well. When firms have a following opportunity, technology represents following opportunity, especially when the following firms take a meditatively risky approach in their strategies, such as Mondelēz.</w:t>
      </w:r>
    </w:p>
    <w:p w14:paraId="5A92C7C3" w14:textId="77777777" w:rsidR="002115E2" w:rsidRPr="00F47599" w:rsidRDefault="002115E2" w:rsidP="002115E2">
      <w:pPr>
        <w:pStyle w:val="Heading2"/>
      </w:pPr>
      <w:bookmarkStart w:id="3" w:name="_Toc214053000"/>
      <w:r w:rsidRPr="00F47599">
        <w:t>3.1 Opportunities for Nestlé</w:t>
      </w:r>
      <w:bookmarkEnd w:id="3"/>
    </w:p>
    <w:p w14:paraId="4C065955" w14:textId="77777777" w:rsidR="002115E2" w:rsidRDefault="002115E2" w:rsidP="002115E2">
      <w:pPr>
        <w:spacing w:line="360" w:lineRule="auto"/>
        <w:jc w:val="both"/>
        <w:rPr>
          <w:sz w:val="24"/>
          <w:szCs w:val="24"/>
        </w:rPr>
      </w:pPr>
      <w:r w:rsidRPr="00F47599">
        <w:rPr>
          <w:color w:val="000000" w:themeColor="text1"/>
          <w:sz w:val="24"/>
          <w:szCs w:val="24"/>
        </w:rPr>
        <w:t xml:space="preserve">Implementing an ongoing strategic decision process for technology and innovation can create numerous advantages for a company </w:t>
      </w:r>
      <w:r>
        <w:rPr>
          <w:sz w:val="24"/>
          <w:szCs w:val="24"/>
        </w:rPr>
        <w:t xml:space="preserve">like Nestlé. Firstly, consistent strategy investment and execution of research and development (R&amp;D) facilitate the firm's growth position in the forefront of food science including alternative proteins, personalized </w:t>
      </w:r>
      <w:r>
        <w:rPr>
          <w:sz w:val="24"/>
          <w:szCs w:val="24"/>
        </w:rPr>
        <w:lastRenderedPageBreak/>
        <w:t xml:space="preserve">nutrition products, as </w:t>
      </w:r>
      <w:proofErr w:type="gramStart"/>
      <w:r>
        <w:rPr>
          <w:sz w:val="24"/>
          <w:szCs w:val="24"/>
        </w:rPr>
        <w:t>well advanced</w:t>
      </w:r>
      <w:proofErr w:type="gramEnd"/>
      <w:r>
        <w:rPr>
          <w:sz w:val="24"/>
          <w:szCs w:val="24"/>
        </w:rPr>
        <w:t xml:space="preserve"> food safety technologies and food sustainability related measures. Nestlé’s large global R&amp;D network provides the firm with more opportunities to implement new product categories before their rivals which also allows for deeper market influence and leadership in first mover category development.</w:t>
      </w:r>
    </w:p>
    <w:p w14:paraId="2A9DF563" w14:textId="77777777" w:rsidR="002115E2" w:rsidRDefault="002115E2" w:rsidP="002115E2">
      <w:pPr>
        <w:spacing w:line="360" w:lineRule="auto"/>
        <w:jc w:val="both"/>
        <w:rPr>
          <w:sz w:val="24"/>
          <w:szCs w:val="24"/>
        </w:rPr>
      </w:pPr>
      <w:r>
        <w:rPr>
          <w:sz w:val="24"/>
          <w:szCs w:val="24"/>
        </w:rPr>
        <w:t>Secondly, the increasing dominance of digital systems for automation and intelligent manufacturing presents a tremendous opportunity for firms to address their organic product domain value chain and supply operations.</w:t>
      </w:r>
    </w:p>
    <w:p w14:paraId="08DB92D6" w14:textId="77777777" w:rsidR="002115E2" w:rsidRDefault="002115E2" w:rsidP="002115E2">
      <w:pPr>
        <w:spacing w:line="360" w:lineRule="auto"/>
        <w:jc w:val="both"/>
        <w:rPr>
          <w:sz w:val="24"/>
          <w:szCs w:val="24"/>
        </w:rPr>
      </w:pPr>
      <w:r>
        <w:rPr>
          <w:sz w:val="24"/>
          <w:szCs w:val="24"/>
        </w:rPr>
        <w:t>Third, digital consumer analytics allow Nestlé to segment markets more accurately and tailor product offerings in a more accurate manner.</w:t>
      </w:r>
    </w:p>
    <w:p w14:paraId="6A9CD43C" w14:textId="77777777" w:rsidR="002115E2" w:rsidRPr="00F47599" w:rsidRDefault="002115E2" w:rsidP="002115E2">
      <w:pPr>
        <w:pStyle w:val="Heading2"/>
        <w:rPr>
          <w:color w:val="000000" w:themeColor="text1"/>
        </w:rPr>
      </w:pPr>
      <w:bookmarkStart w:id="4" w:name="_Toc214053001"/>
      <w:r>
        <w:t>3.2 Threats to Nestlé</w:t>
      </w:r>
      <w:bookmarkEnd w:id="4"/>
    </w:p>
    <w:p w14:paraId="1D87005A" w14:textId="60636C87" w:rsidR="002115E2" w:rsidRPr="004E2BF3" w:rsidRDefault="002115E2" w:rsidP="002115E2">
      <w:pPr>
        <w:spacing w:line="360" w:lineRule="auto"/>
        <w:jc w:val="both"/>
        <w:rPr>
          <w:color w:val="000000" w:themeColor="text1"/>
          <w:sz w:val="24"/>
          <w:szCs w:val="24"/>
        </w:rPr>
      </w:pPr>
      <w:r w:rsidRPr="00F47599">
        <w:rPr>
          <w:color w:val="000000" w:themeColor="text1"/>
          <w:sz w:val="24"/>
          <w:szCs w:val="24"/>
        </w:rPr>
        <w:t>While there are opportunities presented by technology shifts, there are also threats to pioneer organisations. The high level of investment in R&amp;D and digital infrastructure results in high sunk costs, which increases financial exposure with failed innovations and unexpected shifts in consumer preferences. Moreover, technological leadership comes with rapid imitation from followers, which undermines Nestlé’s competitive advantage sooner than it did in the past</w:t>
      </w:r>
      <w:r w:rsidRPr="004E2BF3">
        <w:rPr>
          <w:color w:val="000000" w:themeColor="text1"/>
          <w:sz w:val="24"/>
          <w:szCs w:val="24"/>
        </w:rPr>
        <w:t>.</w:t>
      </w:r>
      <w:r w:rsidR="004E2BF3" w:rsidRPr="004E2BF3">
        <w:rPr>
          <w:color w:val="1F1F1F"/>
          <w:sz w:val="24"/>
          <w:szCs w:val="24"/>
          <w:shd w:val="clear" w:color="auto" w:fill="FFFFFF"/>
        </w:rPr>
        <w:t xml:space="preserve"> Increase in prices. Costs for many companies have increased due to raw material and transportation costs, supply chain constraints, and an overall inflationary environment</w:t>
      </w:r>
      <w:r w:rsidR="004E2BF3">
        <w:rPr>
          <w:color w:val="1F1F1F"/>
          <w:sz w:val="24"/>
          <w:szCs w:val="24"/>
          <w:shd w:val="clear" w:color="auto" w:fill="FFFFFF"/>
        </w:rPr>
        <w:t>.</w:t>
      </w:r>
    </w:p>
    <w:p w14:paraId="5F254E84" w14:textId="77777777" w:rsidR="002115E2" w:rsidRPr="00F47599" w:rsidRDefault="002115E2" w:rsidP="002115E2">
      <w:pPr>
        <w:spacing w:line="360" w:lineRule="auto"/>
        <w:jc w:val="both"/>
        <w:rPr>
          <w:color w:val="000000" w:themeColor="text1"/>
          <w:sz w:val="24"/>
          <w:szCs w:val="24"/>
        </w:rPr>
      </w:pPr>
      <w:r w:rsidRPr="00F47599">
        <w:rPr>
          <w:color w:val="000000" w:themeColor="text1"/>
          <w:sz w:val="24"/>
          <w:szCs w:val="24"/>
        </w:rPr>
        <w:t xml:space="preserve">The rapid advancement of technology creates a significant cyber risk, also. Since supply chain management processes have been elevated to a digitalisation process, there is a greater opportunity and risk of data breach and/or disruption to the firm's operations. Finally, the rapidly advancing technology rate creates the follow-on issue for innovators, or pioneering organisations, to continuously upgrade their capabilities. </w:t>
      </w:r>
    </w:p>
    <w:p w14:paraId="35420548" w14:textId="77777777" w:rsidR="002115E2" w:rsidRPr="00F47599" w:rsidRDefault="002115E2" w:rsidP="002115E2">
      <w:pPr>
        <w:pStyle w:val="Heading2"/>
      </w:pPr>
      <w:bookmarkStart w:id="5" w:name="_Toc214053002"/>
      <w:r w:rsidRPr="00F47599">
        <w:t>3.3 Opportunities for Mondelēz</w:t>
      </w:r>
      <w:bookmarkEnd w:id="5"/>
      <w:r w:rsidRPr="00F47599">
        <w:t xml:space="preserve"> </w:t>
      </w:r>
    </w:p>
    <w:p w14:paraId="40D16124" w14:textId="77777777" w:rsidR="002115E2" w:rsidRPr="00F47599" w:rsidRDefault="002115E2" w:rsidP="002115E2">
      <w:pPr>
        <w:spacing w:line="360" w:lineRule="auto"/>
        <w:jc w:val="both"/>
        <w:rPr>
          <w:color w:val="000000" w:themeColor="text1"/>
          <w:sz w:val="24"/>
          <w:szCs w:val="24"/>
        </w:rPr>
      </w:pPr>
      <w:r w:rsidRPr="00F47599">
        <w:rPr>
          <w:color w:val="000000" w:themeColor="text1"/>
          <w:sz w:val="24"/>
          <w:szCs w:val="24"/>
        </w:rPr>
        <w:t xml:space="preserve">For Mondelēz, technological change offers a different set of possibilities. Instead of "leading" and "learning-by-doing," being a "follower" means that they have the opportunity to observe the technologies that "first movers," like Nestlé, adopt as successful or unsuccessful before committing resources. Mondelēz is engaging with technologies that carry less risk at lesser costs. Fast-second innovation strategies can allow the firm to use, </w:t>
      </w:r>
      <w:r w:rsidRPr="00F47599">
        <w:rPr>
          <w:color w:val="000000" w:themeColor="text1"/>
          <w:sz w:val="24"/>
          <w:szCs w:val="24"/>
        </w:rPr>
        <w:lastRenderedPageBreak/>
        <w:t>not invent, digital tools, established automation systems, and product formulations that have been piloted and tested by innovators rather than incurring the development costs associated with being the first mover. Mondelēz can also use the relationships they built with suppliers and tech providers to gain access to new advanced manufacturing systems and logistics systems to advance their company, rather than exploring the benefits of forming partnerships that have already been validated by forerunners. They can capitalize on the benefits of using data analytics and their innovative digital visitor engagement strategies that are being or have been validated in market settings by early adopters.</w:t>
      </w:r>
    </w:p>
    <w:p w14:paraId="3B886E95" w14:textId="77777777" w:rsidR="002115E2" w:rsidRPr="00F47599" w:rsidRDefault="002115E2" w:rsidP="002115E2">
      <w:pPr>
        <w:pStyle w:val="Heading2"/>
      </w:pPr>
      <w:bookmarkStart w:id="6" w:name="_Toc214053003"/>
      <w:r w:rsidRPr="00F47599">
        <w:t>3.4 Threats to Mondelēz</w:t>
      </w:r>
      <w:bookmarkEnd w:id="6"/>
    </w:p>
    <w:p w14:paraId="7C070F0F" w14:textId="77777777" w:rsidR="002115E2" w:rsidRPr="003E6A62" w:rsidRDefault="002115E2" w:rsidP="002115E2">
      <w:pPr>
        <w:spacing w:line="360" w:lineRule="auto"/>
        <w:jc w:val="both"/>
        <w:rPr>
          <w:color w:val="000000" w:themeColor="text1"/>
          <w:sz w:val="24"/>
          <w:szCs w:val="24"/>
        </w:rPr>
      </w:pPr>
      <w:r w:rsidRPr="00F47599">
        <w:rPr>
          <w:color w:val="000000" w:themeColor="text1"/>
          <w:sz w:val="24"/>
          <w:szCs w:val="24"/>
        </w:rPr>
        <w:t xml:space="preserve">In addition to the potential loss of market share and reduced positions as a competitor by adopting norms that rapidly changing technology sectors typically require rules later </w:t>
      </w:r>
      <w:r w:rsidRPr="003E6A62">
        <w:rPr>
          <w:color w:val="000000" w:themeColor="text1"/>
          <w:sz w:val="24"/>
          <w:szCs w:val="24"/>
        </w:rPr>
        <w:t>than their competitor, there exists a reliance on technology suppliers or licensing agreements that may limit the organisation's ability to establish customised solutions and develop proprietary advantage. Follower organisations may experience a risk with their consumers perceiving their firm as having a lower level of innovation, and resulting in lower brand equity in the relevant markets. Finally, follower organisations can also be pressured to adapt faster to new standards set by their pioneer, and therefore they will still be affected when the new standard is established without any strategic planning for adaptation or future adaptability.</w:t>
      </w:r>
    </w:p>
    <w:p w14:paraId="35D9B6D9" w14:textId="77777777" w:rsidR="002115E2" w:rsidRPr="003E6A62" w:rsidRDefault="002115E2" w:rsidP="002115E2">
      <w:pPr>
        <w:pStyle w:val="Heading1"/>
      </w:pPr>
      <w:bookmarkStart w:id="7" w:name="_Toc214053004"/>
      <w:r w:rsidRPr="003E6A62">
        <w:t>4.0 Macro Actor 2: Socio-Cultural Environment</w:t>
      </w:r>
      <w:bookmarkEnd w:id="7"/>
    </w:p>
    <w:p w14:paraId="7C487B2B" w14:textId="77777777" w:rsidR="002115E2" w:rsidRPr="003E6A62" w:rsidRDefault="002115E2" w:rsidP="002115E2">
      <w:pPr>
        <w:spacing w:line="360" w:lineRule="auto"/>
        <w:jc w:val="both"/>
        <w:rPr>
          <w:color w:val="000000" w:themeColor="text1"/>
          <w:sz w:val="24"/>
          <w:szCs w:val="24"/>
        </w:rPr>
      </w:pPr>
      <w:r w:rsidRPr="003E6A62">
        <w:rPr>
          <w:color w:val="000000" w:themeColor="text1"/>
          <w:sz w:val="24"/>
          <w:szCs w:val="24"/>
        </w:rPr>
        <w:t>The socio-cultural environment states a vital force of consumer expectation which precipitates consumer purchasing behaviour. Environmental trends in this context alter power in the dynamics of the global food and beverage industry. Changes in consumption and preferences cause organisations to shift positions in competitive markets. For leading firms like Nestlé, the socio-cultural environment is a vehicle to take an active role in the transformation of markets and adapt with their consumers as norms change. For following firms like Mondelēz, the socio-cultural environment represents an opportunity of selective adaptation and niche marketing. There are risks however with the notion of delayed market development and brand image.</w:t>
      </w:r>
    </w:p>
    <w:p w14:paraId="03AA26BF" w14:textId="77777777" w:rsidR="002115E2" w:rsidRPr="003E6A62" w:rsidRDefault="002115E2" w:rsidP="002115E2">
      <w:pPr>
        <w:pStyle w:val="Heading2"/>
      </w:pPr>
      <w:bookmarkStart w:id="8" w:name="_Toc214053005"/>
      <w:r w:rsidRPr="003E6A62">
        <w:lastRenderedPageBreak/>
        <w:t>4.1 Nestlé's Opportunities (Pioneer)</w:t>
      </w:r>
      <w:bookmarkEnd w:id="8"/>
    </w:p>
    <w:p w14:paraId="319D2642" w14:textId="77777777" w:rsidR="002115E2" w:rsidRPr="003E6A62" w:rsidRDefault="002115E2" w:rsidP="002115E2">
      <w:pPr>
        <w:spacing w:line="360" w:lineRule="auto"/>
        <w:jc w:val="both"/>
        <w:rPr>
          <w:color w:val="000000" w:themeColor="text1"/>
          <w:sz w:val="24"/>
          <w:szCs w:val="24"/>
        </w:rPr>
      </w:pPr>
      <w:r w:rsidRPr="003E6A62">
        <w:rPr>
          <w:color w:val="000000" w:themeColor="text1"/>
          <w:sz w:val="24"/>
          <w:szCs w:val="24"/>
        </w:rPr>
        <w:t xml:space="preserve">The social and cultural environment provides important opportunities to Nestlé, especially as global consumers become more aware of their purchasing decisions and are searching for healthier, more transparency-related, and ethical products. Health and wellness </w:t>
      </w:r>
      <w:proofErr w:type="gramStart"/>
      <w:r w:rsidRPr="003E6A62">
        <w:rPr>
          <w:color w:val="000000" w:themeColor="text1"/>
          <w:sz w:val="24"/>
          <w:szCs w:val="24"/>
        </w:rPr>
        <w:t>has</w:t>
      </w:r>
      <w:proofErr w:type="gramEnd"/>
      <w:r w:rsidRPr="003E6A62">
        <w:rPr>
          <w:color w:val="000000" w:themeColor="text1"/>
          <w:sz w:val="24"/>
          <w:szCs w:val="24"/>
        </w:rPr>
        <w:t xml:space="preserve"> become one of the dominant influencers within the consumer </w:t>
      </w:r>
      <w:proofErr w:type="spellStart"/>
      <w:r w:rsidRPr="003E6A62">
        <w:rPr>
          <w:color w:val="000000" w:themeColor="text1"/>
          <w:sz w:val="24"/>
          <w:szCs w:val="24"/>
        </w:rPr>
        <w:t>behavior</w:t>
      </w:r>
      <w:proofErr w:type="spellEnd"/>
      <w:r w:rsidRPr="003E6A62">
        <w:rPr>
          <w:color w:val="000000" w:themeColor="text1"/>
          <w:sz w:val="24"/>
          <w:szCs w:val="24"/>
        </w:rPr>
        <w:t xml:space="preserve"> in the food and beverage space, and rising health consciousness among consumers is promoting consumer interest in food with less sugar, salt and artificial ingredients. Nestlé has already pivoted to take advantage of this trend, from investing into product reformulation, focusing on nutrition research sooner, and offering more products in the health space.</w:t>
      </w:r>
    </w:p>
    <w:p w14:paraId="74D186A5" w14:textId="77777777" w:rsidR="002115E2" w:rsidRPr="003E6A62" w:rsidRDefault="002115E2" w:rsidP="002115E2">
      <w:pPr>
        <w:pStyle w:val="Heading2"/>
      </w:pPr>
      <w:bookmarkStart w:id="9" w:name="_Toc214053006"/>
      <w:r w:rsidRPr="003E6A62">
        <w:t>4.2 Threats to Nestlé</w:t>
      </w:r>
      <w:bookmarkEnd w:id="9"/>
    </w:p>
    <w:p w14:paraId="25274B86" w14:textId="77777777" w:rsidR="002115E2" w:rsidRPr="00F47599" w:rsidRDefault="002115E2" w:rsidP="002115E2">
      <w:pPr>
        <w:spacing w:line="360" w:lineRule="auto"/>
        <w:jc w:val="both"/>
        <w:rPr>
          <w:color w:val="000000" w:themeColor="text1"/>
          <w:sz w:val="24"/>
          <w:szCs w:val="24"/>
        </w:rPr>
      </w:pPr>
      <w:r w:rsidRPr="00F47599">
        <w:rPr>
          <w:color w:val="000000" w:themeColor="text1"/>
          <w:sz w:val="24"/>
          <w:szCs w:val="24"/>
        </w:rPr>
        <w:t>If there is an unexpected surge in plant-based snacks, that provides a first mover with a challenge to quickly reformulate and invest in R&amp;D. Finally, first mover companies often struggle with balancing global standardisation with culturally sensitive marketing, exposing themselves to reputational risk, especially in local markets.</w:t>
      </w:r>
    </w:p>
    <w:p w14:paraId="6F891697" w14:textId="7ACD0D89" w:rsidR="002115E2" w:rsidRDefault="002115E2" w:rsidP="002115E2">
      <w:pPr>
        <w:pStyle w:val="Heading2"/>
      </w:pPr>
      <w:bookmarkStart w:id="10" w:name="_Toc214053007"/>
      <w:r>
        <w:t>4.</w:t>
      </w:r>
      <w:r w:rsidR="00843EFC">
        <w:t>3</w:t>
      </w:r>
      <w:r>
        <w:t>Opportunities for Mondelēz (Follower)</w:t>
      </w:r>
      <w:bookmarkEnd w:id="10"/>
    </w:p>
    <w:p w14:paraId="7934808F" w14:textId="7A4ECAF8" w:rsidR="002115E2" w:rsidRPr="00843EFC" w:rsidRDefault="002115E2" w:rsidP="002115E2">
      <w:pPr>
        <w:spacing w:line="360" w:lineRule="auto"/>
        <w:jc w:val="both"/>
        <w:rPr>
          <w:rStyle w:val="Emphasis"/>
          <w:i w:val="0"/>
        </w:rPr>
      </w:pPr>
      <w:r>
        <w:rPr>
          <w:sz w:val="24"/>
          <w:szCs w:val="24"/>
        </w:rPr>
        <w:t>Opportunities exist for Mondelēz with rising demand for healthy snacks, sustainable packaging, and culturally specific flavours, that allow Mondelēz to improve innovation efficiency and minimize risk. For example, when first movers demonstrate the dietary benefits of reducing sugar, or use of native environmentally responsible sourcing, Mondelēz can act so much easier with a more targeted and less costly effort. Similarly, the follower is able to work in focused niche segments that much larger first movers may ignore, or where cultural preferences and emerging trends are present. Similarly, observing market reactions on pioneering strategies also allows Mondelēz to adjust communication messages and product features for a better fit for consumers</w:t>
      </w:r>
      <w:r w:rsidRPr="00843EFC">
        <w:rPr>
          <w:sz w:val="24"/>
          <w:szCs w:val="24"/>
        </w:rPr>
        <w:t>.</w:t>
      </w:r>
      <w:r w:rsidR="00843EFC" w:rsidRPr="00843EFC">
        <w:rPr>
          <w:color w:val="474747"/>
          <w:sz w:val="24"/>
          <w:szCs w:val="24"/>
          <w:shd w:val="clear" w:color="auto" w:fill="FFFFFF"/>
        </w:rPr>
        <w:t xml:space="preserve"> </w:t>
      </w:r>
      <w:r w:rsidR="00843EFC" w:rsidRPr="00843EFC">
        <w:rPr>
          <w:rStyle w:val="Emphasis"/>
          <w:i w:val="0"/>
        </w:rPr>
        <w:t>The company's long history in the region – combined with its local-first strategy, robust supply chain, sophisticated route-to-market infrastructure and high levels of investment – represent key competitive advantages.</w:t>
      </w:r>
    </w:p>
    <w:p w14:paraId="6E34E8C1" w14:textId="77777777" w:rsidR="002115E2" w:rsidRDefault="002115E2" w:rsidP="002115E2">
      <w:pPr>
        <w:pStyle w:val="Heading2"/>
      </w:pPr>
      <w:bookmarkStart w:id="11" w:name="_Toc214053008"/>
      <w:r>
        <w:lastRenderedPageBreak/>
        <w:t>4.4 Threats Facing Mondelēz</w:t>
      </w:r>
      <w:bookmarkEnd w:id="11"/>
    </w:p>
    <w:p w14:paraId="7ED22939" w14:textId="77777777" w:rsidR="002115E2" w:rsidRDefault="002115E2" w:rsidP="002115E2">
      <w:pPr>
        <w:spacing w:line="360" w:lineRule="auto"/>
        <w:jc w:val="both"/>
        <w:rPr>
          <w:sz w:val="24"/>
          <w:szCs w:val="24"/>
        </w:rPr>
      </w:pPr>
      <w:r>
        <w:rPr>
          <w:sz w:val="24"/>
          <w:szCs w:val="24"/>
        </w:rPr>
        <w:t>Socio-cultural changes were equally, if not more, of a burden for follower firms. When pioneers set standards and norms in the industry, Mondelēz may find it difficult to catch up to the scale and visibility of a sustainability or health campaign. This creates a possibility of a brand image of being less responsible or less in touch with consumer values, especially so in markets where ethical consumption is a high priority.</w:t>
      </w:r>
    </w:p>
    <w:p w14:paraId="5F846C50" w14:textId="77777777" w:rsidR="002115E2" w:rsidRDefault="002115E2" w:rsidP="002115E2">
      <w:pPr>
        <w:spacing w:line="360" w:lineRule="auto"/>
        <w:jc w:val="both"/>
        <w:rPr>
          <w:sz w:val="24"/>
          <w:szCs w:val="24"/>
        </w:rPr>
      </w:pPr>
      <w:r>
        <w:rPr>
          <w:sz w:val="24"/>
          <w:szCs w:val="24"/>
        </w:rPr>
        <w:t>Additionally, follower organizations may enter certain product categories later, which restricts their ability to influence consumer preference. The other threat is competitive pressure whereby consumers seeking healthier or more ethical alternatives, puts pressure on follower firms to show adequate and credible commitments to these values, which poses a challenge against pioneers who are already activating these environments on a larger scale. Finally, socio-cultural trends are constantly evolving, and delays in catching up with the pioneer firms may result in strategically misaligning the organization or a reduction of market share.</w:t>
      </w:r>
    </w:p>
    <w:p w14:paraId="763C1599" w14:textId="77777777" w:rsidR="002115E2" w:rsidRDefault="002115E2" w:rsidP="002115E2">
      <w:pPr>
        <w:pStyle w:val="Heading1"/>
      </w:pPr>
      <w:bookmarkStart w:id="12" w:name="_Toc214053009"/>
      <w:r>
        <w:t>5.0 Strategic Responses to Technological Change</w:t>
      </w:r>
      <w:bookmarkEnd w:id="12"/>
    </w:p>
    <w:p w14:paraId="7A1574EE" w14:textId="77777777" w:rsidR="002115E2" w:rsidRDefault="002115E2" w:rsidP="002115E2">
      <w:pPr>
        <w:spacing w:line="360" w:lineRule="auto"/>
        <w:jc w:val="both"/>
        <w:rPr>
          <w:sz w:val="24"/>
          <w:szCs w:val="24"/>
        </w:rPr>
      </w:pPr>
      <w:r>
        <w:rPr>
          <w:sz w:val="24"/>
          <w:szCs w:val="24"/>
        </w:rPr>
        <w:t xml:space="preserve">Technological changes are prominent drivers of strategic choice and will considerably affect food and beverage organisations as firms will need to accommodate technological change by implementing new and advanced production techniques to ensure competitiveness. To expand upon the analysis presented earlier, this section assesses how Nestlé as a pioneer and Mondelēz as a follower strategically engage with technological change. Their strategies demonstrate core differences in long-term competitive advantage. </w:t>
      </w:r>
    </w:p>
    <w:p w14:paraId="2433D376" w14:textId="77777777" w:rsidR="002115E2" w:rsidRDefault="002115E2" w:rsidP="002115E2">
      <w:pPr>
        <w:pStyle w:val="Heading2"/>
      </w:pPr>
      <w:bookmarkStart w:id="13" w:name="_Toc214053010"/>
      <w:r>
        <w:t>5.1 Nestlé (Pioneer) Strategies</w:t>
      </w:r>
      <w:bookmarkEnd w:id="13"/>
    </w:p>
    <w:p w14:paraId="7344193A" w14:textId="77777777" w:rsidR="002115E2" w:rsidRDefault="002115E2" w:rsidP="002115E2">
      <w:pPr>
        <w:spacing w:line="360" w:lineRule="auto"/>
        <w:jc w:val="both"/>
        <w:rPr>
          <w:sz w:val="24"/>
          <w:szCs w:val="24"/>
        </w:rPr>
      </w:pPr>
      <w:r>
        <w:rPr>
          <w:sz w:val="24"/>
          <w:szCs w:val="24"/>
        </w:rPr>
        <w:t xml:space="preserve">Nestlé, as a pioneering organisation, leverages a proactive and innovation-based approach to technological change. Nestlé’s strategy contains a core focus on continued investment in research and development (R&amp;D). The company operates one of the world’s largest private R&amp;D networks in the food industry and as such, can continually examine untested food technologies, including alternative proteins, functional ingredients </w:t>
      </w:r>
      <w:r>
        <w:rPr>
          <w:sz w:val="24"/>
          <w:szCs w:val="24"/>
        </w:rPr>
        <w:lastRenderedPageBreak/>
        <w:t>and technologically advanced formulations enforced by a scientific application. Profound product innovation and scientific advancement are applied in areas such as personalised nutrition and food safety analytics, with Nestlé's investment strategy to guarantee they remain at the forefront of the food and beverage industry.</w:t>
      </w:r>
    </w:p>
    <w:p w14:paraId="1688AB3A" w14:textId="77777777" w:rsidR="002115E2" w:rsidRDefault="002115E2" w:rsidP="002115E2">
      <w:pPr>
        <w:spacing w:line="360" w:lineRule="auto"/>
        <w:jc w:val="both"/>
        <w:rPr>
          <w:sz w:val="24"/>
          <w:szCs w:val="24"/>
        </w:rPr>
      </w:pPr>
      <w:r>
        <w:rPr>
          <w:sz w:val="24"/>
          <w:szCs w:val="24"/>
        </w:rPr>
        <w:t xml:space="preserve">A further strategic response is to increase partnerships and acquisitions. Nestlé works in partnership with start-ups, biotechnology companies and digital health platforms to facilitate the innovation process and gain access to the partner's knowledge. </w:t>
      </w:r>
      <w:proofErr w:type="gramStart"/>
      <w:r>
        <w:rPr>
          <w:sz w:val="24"/>
          <w:szCs w:val="24"/>
        </w:rPr>
        <w:t>This boosts</w:t>
      </w:r>
      <w:proofErr w:type="gramEnd"/>
      <w:r>
        <w:rPr>
          <w:sz w:val="24"/>
          <w:szCs w:val="24"/>
        </w:rPr>
        <w:t xml:space="preserve"> and supports Nestlé’s first-mover advantage in that it enables the company to experiment quickly and enter new market segments much earlier than through the reliance of internal research and development alone. </w:t>
      </w:r>
    </w:p>
    <w:p w14:paraId="141D8BF1" w14:textId="77777777" w:rsidR="002115E2" w:rsidRDefault="002115E2" w:rsidP="002115E2">
      <w:pPr>
        <w:pStyle w:val="Heading2"/>
      </w:pPr>
      <w:bookmarkStart w:id="14" w:name="_Toc214053011"/>
      <w:r>
        <w:t>5.2 Mondelēz (Follower) Strategies</w:t>
      </w:r>
      <w:bookmarkEnd w:id="14"/>
    </w:p>
    <w:p w14:paraId="4C8E550C" w14:textId="77777777" w:rsidR="002115E2" w:rsidRDefault="002115E2" w:rsidP="002115E2">
      <w:pPr>
        <w:spacing w:line="360" w:lineRule="auto"/>
        <w:jc w:val="both"/>
        <w:rPr>
          <w:sz w:val="24"/>
          <w:szCs w:val="24"/>
        </w:rPr>
      </w:pPr>
      <w:r>
        <w:rPr>
          <w:sz w:val="24"/>
          <w:szCs w:val="24"/>
        </w:rPr>
        <w:t>Mondelēz takes a more cautious, efficiency strategy approach to technological change. Given its follower posture, the company focuses on technology that has already been validated and proven by the pioneers, which allows it to reduce risk and upfront investment cost. Mondelēz tends to use a fast-second innovation approach, in which it watches the pioneers innovate, and uses the same approach to enter the market with the same strategy in its own way, at a more economical cost.</w:t>
      </w:r>
    </w:p>
    <w:p w14:paraId="0B61858E" w14:textId="77777777" w:rsidR="002115E2" w:rsidRDefault="002115E2" w:rsidP="002115E2">
      <w:pPr>
        <w:pStyle w:val="Heading2"/>
      </w:pPr>
      <w:bookmarkStart w:id="15" w:name="_Toc214053012"/>
      <w:r>
        <w:t>5.3 Comparative Discussion</w:t>
      </w:r>
      <w:bookmarkEnd w:id="15"/>
    </w:p>
    <w:p w14:paraId="374D440C" w14:textId="77777777" w:rsidR="002115E2" w:rsidRDefault="002115E2" w:rsidP="002115E2">
      <w:pPr>
        <w:spacing w:line="360" w:lineRule="auto"/>
        <w:jc w:val="both"/>
        <w:rPr>
          <w:sz w:val="24"/>
          <w:szCs w:val="24"/>
        </w:rPr>
      </w:pPr>
      <w:r>
        <w:rPr>
          <w:sz w:val="24"/>
          <w:szCs w:val="24"/>
        </w:rPr>
        <w:t xml:space="preserve">The Nestlé approach is that the firm is proactively investing in R&amp;D, digital infrastructure, and partnerships for various technologies, positioning itself as a market leader with a plan to shape standards within the industry. However, this approach necessitates a commitment of financial resources, but it is also associated with greater strategic risk exposure for the company. </w:t>
      </w:r>
    </w:p>
    <w:p w14:paraId="2A384153" w14:textId="77777777" w:rsidR="002115E2" w:rsidRDefault="002115E2" w:rsidP="002115E2">
      <w:pPr>
        <w:spacing w:line="360" w:lineRule="auto"/>
        <w:jc w:val="both"/>
        <w:rPr>
          <w:sz w:val="24"/>
          <w:szCs w:val="24"/>
        </w:rPr>
      </w:pPr>
      <w:r>
        <w:rPr>
          <w:sz w:val="24"/>
          <w:szCs w:val="24"/>
        </w:rPr>
        <w:t>Conversely, Mondelēz appears to be leveraging technologies once they have received a level of acceptance or legitimacy through implementation. The benefit is that the firm will have lower levels of hypothesis testing, uncertainty, and cost. The downside is that they forgo the opportunity for technology leadership and are likely reacting to significant or disruptive technology much less successfully or timely.</w:t>
      </w:r>
    </w:p>
    <w:p w14:paraId="4B2ED323" w14:textId="77777777" w:rsidR="002115E2" w:rsidRDefault="002115E2" w:rsidP="002115E2">
      <w:pPr>
        <w:pStyle w:val="Heading1"/>
      </w:pPr>
      <w:bookmarkStart w:id="16" w:name="_Toc214053013"/>
      <w:r>
        <w:lastRenderedPageBreak/>
        <w:t>6.0 Strategic Responses to Social and Cultural Changes</w:t>
      </w:r>
      <w:bookmarkEnd w:id="16"/>
    </w:p>
    <w:p w14:paraId="5E66B237" w14:textId="3C70E398" w:rsidR="002115E2" w:rsidRPr="00B27DD6" w:rsidRDefault="002115E2" w:rsidP="002115E2">
      <w:pPr>
        <w:spacing w:line="360" w:lineRule="auto"/>
        <w:jc w:val="both"/>
        <w:rPr>
          <w:rStyle w:val="Emphasis"/>
          <w:i w:val="0"/>
        </w:rPr>
      </w:pPr>
      <w:r>
        <w:rPr>
          <w:sz w:val="24"/>
          <w:szCs w:val="24"/>
        </w:rPr>
        <w:t>Socio-cultural forces impact and affect organisational strategy in the global food and beverage sector. Simply put, shifts in consumer values around health, sustainability, ethics, and cultural identity push all firms to change their product portfolios, communication approaches, and operational practices. In this section, we evaluate how Nestlé and Mondelēz respond to socio-cultural shifts and what this means strategically on behalf of pioneer and follower organisations.</w:t>
      </w:r>
      <w:r w:rsidR="00B27DD6" w:rsidRPr="00B27DD6">
        <w:rPr>
          <w:color w:val="474747"/>
          <w:shd w:val="clear" w:color="auto" w:fill="FFFFFF"/>
        </w:rPr>
        <w:t xml:space="preserve"> </w:t>
      </w:r>
      <w:r w:rsidR="00B27DD6" w:rsidRPr="00B27DD6">
        <w:rPr>
          <w:rStyle w:val="Emphasis"/>
          <w:i w:val="0"/>
        </w:rPr>
        <w:t>To manage culture change, the first step is to observe and understand your organization's culture as it is now, and to determine which values will best align with your strategy and structure.</w:t>
      </w:r>
      <w:bookmarkStart w:id="17" w:name="_GoBack"/>
      <w:bookmarkEnd w:id="17"/>
    </w:p>
    <w:p w14:paraId="24CFD348" w14:textId="77777777" w:rsidR="002115E2" w:rsidRDefault="002115E2" w:rsidP="002115E2">
      <w:pPr>
        <w:pStyle w:val="Heading2"/>
      </w:pPr>
      <w:bookmarkStart w:id="18" w:name="_Toc214053014"/>
      <w:r>
        <w:t>6.1 Nestlé Strategies (Pioneer)</w:t>
      </w:r>
      <w:bookmarkEnd w:id="18"/>
    </w:p>
    <w:p w14:paraId="53E928D4" w14:textId="77777777" w:rsidR="002115E2" w:rsidRPr="003E6A62" w:rsidRDefault="002115E2" w:rsidP="002115E2">
      <w:pPr>
        <w:spacing w:line="360" w:lineRule="auto"/>
        <w:jc w:val="both"/>
        <w:rPr>
          <w:sz w:val="24"/>
          <w:szCs w:val="24"/>
        </w:rPr>
      </w:pPr>
      <w:r>
        <w:rPr>
          <w:sz w:val="24"/>
          <w:szCs w:val="24"/>
        </w:rPr>
        <w:t>As a pioneer, Nestlé adopts anticipatory strategies concerning emergent socio-cultural expectations prior to a widespread norm. Digital transformation is also an important element of Nestlé’s technology strategy. The organization has automation, robotics and digital quality control in its manufacturing sites to automatically increase operational efficiency. Supply chain management tools minimise waste, and improves demand forecasting, and Nestlé has also partnered with advanced analytics providers who analyse consumer trends to help to identify the latest trends for each market to adapt and tailor their product portfolios.</w:t>
      </w:r>
    </w:p>
    <w:p w14:paraId="32D02548" w14:textId="77777777" w:rsidR="002115E2" w:rsidRDefault="002115E2" w:rsidP="002115E2">
      <w:pPr>
        <w:pStyle w:val="Heading2"/>
      </w:pPr>
      <w:bookmarkStart w:id="19" w:name="_Toc214053015"/>
      <w:r>
        <w:t>6.2 Mondelēz Strategies (Follower)</w:t>
      </w:r>
      <w:bookmarkEnd w:id="19"/>
    </w:p>
    <w:p w14:paraId="763313F1" w14:textId="77777777" w:rsidR="002115E2" w:rsidRDefault="002115E2" w:rsidP="002115E2">
      <w:pPr>
        <w:spacing w:line="360" w:lineRule="auto"/>
        <w:jc w:val="both"/>
        <w:rPr>
          <w:sz w:val="24"/>
          <w:szCs w:val="24"/>
        </w:rPr>
      </w:pPr>
      <w:r>
        <w:rPr>
          <w:sz w:val="24"/>
          <w:szCs w:val="24"/>
        </w:rPr>
        <w:t>Mondelēz has the ability to take selective action, as well as to incur lower strategic risk and provide some flexibility and/ or responsiveness to local or regional micro-trends. However, being a follower can limit consumer perceptions of prestige, and lower the likelihood of consumers viewing as responsible or outcome oriented, particularly with the social and cultural expectations. These more focused goals allow Mondelēz an opportunity to show social responsibility, without the expenditure often associated with being a sustainable pioneer.</w:t>
      </w:r>
    </w:p>
    <w:p w14:paraId="20910E1F" w14:textId="77777777" w:rsidR="002115E2" w:rsidRDefault="002115E2" w:rsidP="002115E2">
      <w:pPr>
        <w:spacing w:line="360" w:lineRule="auto"/>
        <w:jc w:val="both"/>
        <w:rPr>
          <w:sz w:val="24"/>
          <w:szCs w:val="24"/>
        </w:rPr>
      </w:pPr>
      <w:r>
        <w:rPr>
          <w:sz w:val="24"/>
          <w:szCs w:val="24"/>
        </w:rPr>
        <w:t xml:space="preserve">Nestlé's role in progressiveness is more associated with social and cultural trends, enhancing its commitment to societal cause advocacy, while better positioning itself to capitalize on socio-cultural trends in the marketplace. However, this process is ongoing </w:t>
      </w:r>
      <w:r>
        <w:rPr>
          <w:sz w:val="24"/>
          <w:szCs w:val="24"/>
        </w:rPr>
        <w:lastRenderedPageBreak/>
        <w:t>and requires continual ramped-up spending in reformulation, fast leading product, transparency, and sustainability, and is faced with higher operational costs and marketplace scrutiny.</w:t>
      </w:r>
    </w:p>
    <w:p w14:paraId="77D7819E" w14:textId="77777777" w:rsidR="002115E2" w:rsidRDefault="002115E2" w:rsidP="002115E2">
      <w:pPr>
        <w:pStyle w:val="Heading1"/>
      </w:pPr>
      <w:bookmarkStart w:id="20" w:name="_Toc214053016"/>
      <w:r>
        <w:t>7.0 Conclusion</w:t>
      </w:r>
      <w:bookmarkEnd w:id="20"/>
    </w:p>
    <w:p w14:paraId="219479BE" w14:textId="77777777" w:rsidR="002115E2" w:rsidRDefault="002115E2" w:rsidP="002115E2">
      <w:pPr>
        <w:spacing w:line="360" w:lineRule="auto"/>
        <w:jc w:val="both"/>
        <w:rPr>
          <w:sz w:val="24"/>
          <w:szCs w:val="24"/>
        </w:rPr>
      </w:pPr>
      <w:r>
        <w:rPr>
          <w:sz w:val="24"/>
          <w:szCs w:val="24"/>
        </w:rPr>
        <w:t>This report has described how technological and socio-cultural macro-environmental actors influence strategic decisions by pioneering and follower organisations in the global food and beverage industry. Using Nestlé as a pioneer organisation and Mondelēz as a follower organisation, the analysis has shown that changes in the external environment provide opportunities and threats, however the impact differs substantially based on the firm's strategic direction.</w:t>
      </w:r>
    </w:p>
    <w:p w14:paraId="580F44DD" w14:textId="77777777" w:rsidR="002115E2" w:rsidRDefault="002115E2" w:rsidP="002115E2">
      <w:pPr>
        <w:spacing w:line="360" w:lineRule="auto"/>
        <w:jc w:val="both"/>
        <w:rPr>
          <w:sz w:val="24"/>
          <w:szCs w:val="24"/>
        </w:rPr>
      </w:pPr>
      <w:r>
        <w:rPr>
          <w:sz w:val="24"/>
          <w:szCs w:val="24"/>
        </w:rPr>
        <w:t xml:space="preserve">Establishing first-mover technological positions allows pioneers to innovate and shape industry </w:t>
      </w:r>
      <w:proofErr w:type="spellStart"/>
      <w:r>
        <w:rPr>
          <w:sz w:val="24"/>
          <w:szCs w:val="24"/>
        </w:rPr>
        <w:t>behavior</w:t>
      </w:r>
      <w:proofErr w:type="spellEnd"/>
      <w:r>
        <w:rPr>
          <w:sz w:val="24"/>
          <w:szCs w:val="24"/>
        </w:rPr>
        <w:t>, however exposes significant investment cost risks and risks of imitation by both followers and other industry outsiders. Followers in turn benefit from risk managed adoptions of already established technologies but may be slower in their responses to evolving disruptive developments. However, pioneering organisations must manage these new technological ramifications under greater scrutiny and with potentially greater sourcing costs due to increased ethical sourcing protocols.</w:t>
      </w:r>
    </w:p>
    <w:p w14:paraId="5CD1C021" w14:textId="77777777" w:rsidR="002115E2" w:rsidRDefault="002115E2" w:rsidP="002115E2">
      <w:pPr>
        <w:spacing w:line="360" w:lineRule="auto"/>
        <w:jc w:val="both"/>
        <w:rPr>
          <w:sz w:val="24"/>
          <w:szCs w:val="24"/>
        </w:rPr>
      </w:pPr>
    </w:p>
    <w:p w14:paraId="75C496C4" w14:textId="77777777" w:rsidR="002115E2" w:rsidRDefault="002115E2" w:rsidP="002115E2">
      <w:pPr>
        <w:spacing w:line="360" w:lineRule="auto"/>
        <w:jc w:val="both"/>
        <w:rPr>
          <w:sz w:val="24"/>
          <w:szCs w:val="24"/>
        </w:rPr>
      </w:pPr>
    </w:p>
    <w:p w14:paraId="11D8C2CF" w14:textId="77777777" w:rsidR="002115E2" w:rsidRDefault="002115E2" w:rsidP="002115E2">
      <w:pPr>
        <w:spacing w:line="360" w:lineRule="auto"/>
        <w:jc w:val="both"/>
        <w:rPr>
          <w:sz w:val="24"/>
          <w:szCs w:val="24"/>
        </w:rPr>
      </w:pPr>
    </w:p>
    <w:p w14:paraId="43B63E5D" w14:textId="77777777" w:rsidR="002115E2" w:rsidRDefault="002115E2" w:rsidP="002115E2">
      <w:pPr>
        <w:spacing w:line="360" w:lineRule="auto"/>
        <w:jc w:val="both"/>
        <w:rPr>
          <w:sz w:val="24"/>
          <w:szCs w:val="24"/>
        </w:rPr>
      </w:pPr>
    </w:p>
    <w:p w14:paraId="41835458" w14:textId="77777777" w:rsidR="002115E2" w:rsidRDefault="002115E2" w:rsidP="002115E2">
      <w:pPr>
        <w:spacing w:line="360" w:lineRule="auto"/>
        <w:jc w:val="both"/>
        <w:rPr>
          <w:sz w:val="24"/>
          <w:szCs w:val="24"/>
        </w:rPr>
      </w:pPr>
    </w:p>
    <w:p w14:paraId="664796A6" w14:textId="77777777" w:rsidR="002115E2" w:rsidRDefault="002115E2" w:rsidP="002115E2">
      <w:pPr>
        <w:spacing w:line="360" w:lineRule="auto"/>
        <w:jc w:val="both"/>
        <w:rPr>
          <w:sz w:val="24"/>
          <w:szCs w:val="24"/>
        </w:rPr>
      </w:pPr>
    </w:p>
    <w:p w14:paraId="636B409C" w14:textId="77777777" w:rsidR="002115E2" w:rsidRDefault="002115E2" w:rsidP="002115E2">
      <w:pPr>
        <w:spacing w:line="360" w:lineRule="auto"/>
        <w:jc w:val="both"/>
        <w:rPr>
          <w:sz w:val="24"/>
          <w:szCs w:val="24"/>
        </w:rPr>
      </w:pPr>
    </w:p>
    <w:p w14:paraId="249A8680" w14:textId="77777777" w:rsidR="002115E2" w:rsidRDefault="002115E2" w:rsidP="002115E2">
      <w:pPr>
        <w:spacing w:line="360" w:lineRule="auto"/>
        <w:jc w:val="both"/>
        <w:rPr>
          <w:sz w:val="24"/>
          <w:szCs w:val="24"/>
        </w:rPr>
      </w:pPr>
    </w:p>
    <w:p w14:paraId="5726B092" w14:textId="77777777" w:rsidR="002115E2" w:rsidRDefault="002115E2" w:rsidP="002115E2">
      <w:pPr>
        <w:spacing w:line="360" w:lineRule="auto"/>
        <w:jc w:val="both"/>
        <w:rPr>
          <w:sz w:val="24"/>
          <w:szCs w:val="24"/>
        </w:rPr>
      </w:pPr>
    </w:p>
    <w:p w14:paraId="0250A33D" w14:textId="77777777" w:rsidR="002115E2" w:rsidRDefault="002115E2" w:rsidP="002115E2">
      <w:pPr>
        <w:spacing w:line="360" w:lineRule="auto"/>
        <w:jc w:val="both"/>
        <w:rPr>
          <w:sz w:val="24"/>
          <w:szCs w:val="24"/>
        </w:rPr>
      </w:pPr>
    </w:p>
    <w:p w14:paraId="6A931899" w14:textId="77777777" w:rsidR="002115E2" w:rsidRDefault="002115E2" w:rsidP="002115E2">
      <w:pPr>
        <w:spacing w:line="360" w:lineRule="auto"/>
        <w:jc w:val="both"/>
        <w:rPr>
          <w:sz w:val="24"/>
          <w:szCs w:val="24"/>
        </w:rPr>
      </w:pPr>
    </w:p>
    <w:p w14:paraId="2823A3B1" w14:textId="77777777" w:rsidR="002115E2" w:rsidRDefault="002115E2" w:rsidP="002115E2">
      <w:pPr>
        <w:spacing w:line="360" w:lineRule="auto"/>
        <w:jc w:val="both"/>
        <w:rPr>
          <w:sz w:val="24"/>
          <w:szCs w:val="24"/>
        </w:rPr>
      </w:pPr>
    </w:p>
    <w:p w14:paraId="7A4B7C50" w14:textId="77777777" w:rsidR="002115E2" w:rsidRDefault="002115E2" w:rsidP="002115E2">
      <w:pPr>
        <w:spacing w:line="360" w:lineRule="auto"/>
        <w:jc w:val="both"/>
        <w:rPr>
          <w:sz w:val="24"/>
          <w:szCs w:val="24"/>
        </w:rPr>
      </w:pPr>
    </w:p>
    <w:p w14:paraId="3CED000D" w14:textId="77777777" w:rsidR="002115E2" w:rsidRDefault="002115E2" w:rsidP="002115E2">
      <w:pPr>
        <w:spacing w:line="360" w:lineRule="auto"/>
        <w:jc w:val="both"/>
        <w:rPr>
          <w:sz w:val="24"/>
          <w:szCs w:val="24"/>
        </w:rPr>
      </w:pPr>
    </w:p>
    <w:p w14:paraId="6B27B748" w14:textId="77777777" w:rsidR="002115E2" w:rsidRDefault="002115E2" w:rsidP="002115E2">
      <w:pPr>
        <w:spacing w:line="360" w:lineRule="auto"/>
        <w:jc w:val="both"/>
        <w:rPr>
          <w:sz w:val="24"/>
          <w:szCs w:val="24"/>
        </w:rPr>
      </w:pPr>
    </w:p>
    <w:p w14:paraId="6DAF26B6" w14:textId="77777777" w:rsidR="002115E2" w:rsidRDefault="002115E2" w:rsidP="002115E2">
      <w:pPr>
        <w:spacing w:line="360" w:lineRule="auto"/>
        <w:jc w:val="both"/>
        <w:rPr>
          <w:sz w:val="24"/>
          <w:szCs w:val="24"/>
        </w:rPr>
      </w:pPr>
    </w:p>
    <w:p w14:paraId="736D0123" w14:textId="77777777" w:rsidR="002115E2" w:rsidRDefault="002115E2" w:rsidP="002115E2">
      <w:pPr>
        <w:spacing w:line="360" w:lineRule="auto"/>
        <w:jc w:val="both"/>
        <w:rPr>
          <w:sz w:val="24"/>
          <w:szCs w:val="24"/>
        </w:rPr>
      </w:pPr>
    </w:p>
    <w:p w14:paraId="37D180A5" w14:textId="77777777" w:rsidR="002115E2" w:rsidRDefault="002115E2" w:rsidP="002115E2">
      <w:pPr>
        <w:pStyle w:val="Heading1"/>
      </w:pPr>
      <w:bookmarkStart w:id="21" w:name="_Toc214053017"/>
      <w:r>
        <w:t>References</w:t>
      </w:r>
      <w:bookmarkEnd w:id="21"/>
    </w:p>
    <w:p w14:paraId="7B410730" w14:textId="77777777" w:rsidR="002115E2" w:rsidRDefault="002115E2" w:rsidP="002115E2">
      <w:pPr>
        <w:spacing w:after="240" w:line="360" w:lineRule="auto"/>
        <w:jc w:val="both"/>
        <w:rPr>
          <w:sz w:val="24"/>
          <w:szCs w:val="24"/>
        </w:rPr>
      </w:pPr>
      <w:r>
        <w:rPr>
          <w:sz w:val="24"/>
          <w:szCs w:val="24"/>
        </w:rPr>
        <w:t xml:space="preserve">Aaker, D.A. (2014) </w:t>
      </w:r>
      <w:r>
        <w:rPr>
          <w:i/>
          <w:iCs/>
          <w:sz w:val="24"/>
          <w:szCs w:val="24"/>
        </w:rPr>
        <w:t>Strategic Market Management</w:t>
      </w:r>
      <w:r>
        <w:rPr>
          <w:sz w:val="24"/>
          <w:szCs w:val="24"/>
        </w:rPr>
        <w:t xml:space="preserve">. 10th </w:t>
      </w:r>
      <w:proofErr w:type="spellStart"/>
      <w:r>
        <w:rPr>
          <w:sz w:val="24"/>
          <w:szCs w:val="24"/>
        </w:rPr>
        <w:t>edn</w:t>
      </w:r>
      <w:proofErr w:type="spellEnd"/>
      <w:r>
        <w:rPr>
          <w:sz w:val="24"/>
          <w:szCs w:val="24"/>
        </w:rPr>
        <w:t>. Hoboken: Wiley.</w:t>
      </w:r>
    </w:p>
    <w:p w14:paraId="08BDC70F" w14:textId="77777777" w:rsidR="002115E2" w:rsidRDefault="002115E2" w:rsidP="002115E2">
      <w:pPr>
        <w:spacing w:before="240" w:after="240" w:line="360" w:lineRule="auto"/>
        <w:jc w:val="both"/>
        <w:rPr>
          <w:sz w:val="24"/>
          <w:szCs w:val="24"/>
        </w:rPr>
      </w:pPr>
      <w:r>
        <w:rPr>
          <w:sz w:val="24"/>
          <w:szCs w:val="24"/>
        </w:rPr>
        <w:t xml:space="preserve">Barrett, C.B., Reardon, T., </w:t>
      </w:r>
      <w:proofErr w:type="spellStart"/>
      <w:r>
        <w:rPr>
          <w:sz w:val="24"/>
          <w:szCs w:val="24"/>
        </w:rPr>
        <w:t>Swinnen</w:t>
      </w:r>
      <w:proofErr w:type="spellEnd"/>
      <w:r>
        <w:rPr>
          <w:sz w:val="24"/>
          <w:szCs w:val="24"/>
        </w:rPr>
        <w:t xml:space="preserve">, J. and Zilberman, D. (2022) ‘Innovating global food systems under climate change’, </w:t>
      </w:r>
      <w:r>
        <w:rPr>
          <w:i/>
          <w:iCs/>
          <w:sz w:val="24"/>
          <w:szCs w:val="24"/>
        </w:rPr>
        <w:t>Nature Food</w:t>
      </w:r>
      <w:r>
        <w:rPr>
          <w:sz w:val="24"/>
          <w:szCs w:val="24"/>
        </w:rPr>
        <w:t>, 3(4), pp. 273–283.</w:t>
      </w:r>
    </w:p>
    <w:p w14:paraId="738A3F6C" w14:textId="77777777" w:rsidR="002115E2" w:rsidRDefault="002115E2" w:rsidP="002115E2">
      <w:pPr>
        <w:spacing w:before="240" w:after="240" w:line="360" w:lineRule="auto"/>
        <w:jc w:val="both"/>
        <w:rPr>
          <w:sz w:val="24"/>
          <w:szCs w:val="24"/>
        </w:rPr>
      </w:pPr>
      <w:proofErr w:type="spellStart"/>
      <w:r>
        <w:rPr>
          <w:sz w:val="24"/>
          <w:szCs w:val="24"/>
        </w:rPr>
        <w:t>Bublitz</w:t>
      </w:r>
      <w:proofErr w:type="spellEnd"/>
      <w:r>
        <w:rPr>
          <w:sz w:val="24"/>
          <w:szCs w:val="24"/>
        </w:rPr>
        <w:t xml:space="preserve">, M.G., </w:t>
      </w:r>
      <w:proofErr w:type="spellStart"/>
      <w:r>
        <w:rPr>
          <w:sz w:val="24"/>
          <w:szCs w:val="24"/>
        </w:rPr>
        <w:t>Peracchio</w:t>
      </w:r>
      <w:proofErr w:type="spellEnd"/>
      <w:r>
        <w:rPr>
          <w:sz w:val="24"/>
          <w:szCs w:val="24"/>
        </w:rPr>
        <w:t xml:space="preserve">, L.A., </w:t>
      </w:r>
      <w:proofErr w:type="spellStart"/>
      <w:r>
        <w:rPr>
          <w:sz w:val="24"/>
          <w:szCs w:val="24"/>
        </w:rPr>
        <w:t>Escalas</w:t>
      </w:r>
      <w:proofErr w:type="spellEnd"/>
      <w:r>
        <w:rPr>
          <w:sz w:val="24"/>
          <w:szCs w:val="24"/>
        </w:rPr>
        <w:t xml:space="preserve">, J.E. and Thomas, R. (2020) ‘The role of marketing in public health: A theory-based perspective’, </w:t>
      </w:r>
      <w:r>
        <w:rPr>
          <w:i/>
          <w:iCs/>
          <w:sz w:val="24"/>
          <w:szCs w:val="24"/>
        </w:rPr>
        <w:t>Journal of Public Policy &amp; Marketing</w:t>
      </w:r>
      <w:r>
        <w:rPr>
          <w:sz w:val="24"/>
          <w:szCs w:val="24"/>
        </w:rPr>
        <w:t>, 39(4), pp. 387–405.</w:t>
      </w:r>
    </w:p>
    <w:p w14:paraId="19AFFC30" w14:textId="77777777" w:rsidR="002115E2" w:rsidRDefault="002115E2" w:rsidP="002115E2">
      <w:pPr>
        <w:spacing w:before="240" w:after="240" w:line="360" w:lineRule="auto"/>
        <w:jc w:val="both"/>
        <w:rPr>
          <w:sz w:val="24"/>
          <w:szCs w:val="24"/>
        </w:rPr>
      </w:pPr>
      <w:r>
        <w:rPr>
          <w:sz w:val="24"/>
          <w:szCs w:val="24"/>
        </w:rPr>
        <w:t xml:space="preserve">Euromonitor International (2023) </w:t>
      </w:r>
      <w:r>
        <w:rPr>
          <w:i/>
          <w:iCs/>
          <w:sz w:val="24"/>
          <w:szCs w:val="24"/>
        </w:rPr>
        <w:t>Health and Wellness Trends in Packaged Food</w:t>
      </w:r>
      <w:r>
        <w:rPr>
          <w:sz w:val="24"/>
          <w:szCs w:val="24"/>
        </w:rPr>
        <w:t>. London: Euromonitor.</w:t>
      </w:r>
    </w:p>
    <w:p w14:paraId="0F6A6AEC" w14:textId="77777777" w:rsidR="002115E2" w:rsidRDefault="002115E2" w:rsidP="002115E2">
      <w:pPr>
        <w:spacing w:before="240" w:after="240" w:line="360" w:lineRule="auto"/>
        <w:jc w:val="both"/>
        <w:rPr>
          <w:sz w:val="24"/>
          <w:szCs w:val="24"/>
        </w:rPr>
      </w:pPr>
      <w:r>
        <w:rPr>
          <w:sz w:val="24"/>
          <w:szCs w:val="24"/>
        </w:rPr>
        <w:t xml:space="preserve">Euromonitor International (2024) </w:t>
      </w:r>
      <w:r>
        <w:rPr>
          <w:i/>
          <w:iCs/>
          <w:sz w:val="24"/>
          <w:szCs w:val="24"/>
        </w:rPr>
        <w:t>Global Snacks Market Overview</w:t>
      </w:r>
      <w:r>
        <w:rPr>
          <w:sz w:val="24"/>
          <w:szCs w:val="24"/>
        </w:rPr>
        <w:t>. London: Euromonitor.</w:t>
      </w:r>
    </w:p>
    <w:p w14:paraId="00949D08" w14:textId="77777777" w:rsidR="002115E2" w:rsidRDefault="002115E2" w:rsidP="002115E2">
      <w:pPr>
        <w:spacing w:before="240" w:after="240" w:line="360" w:lineRule="auto"/>
        <w:jc w:val="both"/>
        <w:rPr>
          <w:sz w:val="24"/>
          <w:szCs w:val="24"/>
        </w:rPr>
      </w:pPr>
      <w:r>
        <w:rPr>
          <w:sz w:val="24"/>
          <w:szCs w:val="24"/>
        </w:rPr>
        <w:t xml:space="preserve">Grewal, D. and </w:t>
      </w:r>
      <w:proofErr w:type="spellStart"/>
      <w:r>
        <w:rPr>
          <w:sz w:val="24"/>
          <w:szCs w:val="24"/>
        </w:rPr>
        <w:t>Roggeveen</w:t>
      </w:r>
      <w:proofErr w:type="spellEnd"/>
      <w:r>
        <w:rPr>
          <w:sz w:val="24"/>
          <w:szCs w:val="24"/>
        </w:rPr>
        <w:t xml:space="preserve">, A.L. (2020) </w:t>
      </w:r>
      <w:r>
        <w:rPr>
          <w:i/>
          <w:iCs/>
          <w:sz w:val="24"/>
          <w:szCs w:val="24"/>
        </w:rPr>
        <w:t>Retailing Management</w:t>
      </w:r>
      <w:r>
        <w:rPr>
          <w:sz w:val="24"/>
          <w:szCs w:val="24"/>
        </w:rPr>
        <w:t xml:space="preserve">. 11th </w:t>
      </w:r>
      <w:proofErr w:type="spellStart"/>
      <w:r>
        <w:rPr>
          <w:sz w:val="24"/>
          <w:szCs w:val="24"/>
        </w:rPr>
        <w:t>edn</w:t>
      </w:r>
      <w:proofErr w:type="spellEnd"/>
      <w:r>
        <w:rPr>
          <w:sz w:val="24"/>
          <w:szCs w:val="24"/>
        </w:rPr>
        <w:t>. New York: McGraw-Hill.</w:t>
      </w:r>
    </w:p>
    <w:p w14:paraId="6058DF58" w14:textId="77777777" w:rsidR="002115E2" w:rsidRDefault="002115E2" w:rsidP="002115E2">
      <w:pPr>
        <w:spacing w:before="240" w:after="240" w:line="360" w:lineRule="auto"/>
        <w:jc w:val="both"/>
        <w:rPr>
          <w:sz w:val="24"/>
          <w:szCs w:val="24"/>
        </w:rPr>
      </w:pPr>
      <w:r>
        <w:rPr>
          <w:sz w:val="24"/>
          <w:szCs w:val="24"/>
        </w:rPr>
        <w:t xml:space="preserve">Kotler, P. and Keller, K.L. (2022) </w:t>
      </w:r>
      <w:r>
        <w:rPr>
          <w:i/>
          <w:iCs/>
          <w:sz w:val="24"/>
          <w:szCs w:val="24"/>
        </w:rPr>
        <w:t>Marketing Management</w:t>
      </w:r>
      <w:r>
        <w:rPr>
          <w:sz w:val="24"/>
          <w:szCs w:val="24"/>
        </w:rPr>
        <w:t xml:space="preserve">. 16th </w:t>
      </w:r>
      <w:proofErr w:type="spellStart"/>
      <w:r>
        <w:rPr>
          <w:sz w:val="24"/>
          <w:szCs w:val="24"/>
        </w:rPr>
        <w:t>edn</w:t>
      </w:r>
      <w:proofErr w:type="spellEnd"/>
      <w:r>
        <w:rPr>
          <w:sz w:val="24"/>
          <w:szCs w:val="24"/>
        </w:rPr>
        <w:t>. Harlow: Pearson.</w:t>
      </w:r>
    </w:p>
    <w:p w14:paraId="4C7D2FF3" w14:textId="77777777" w:rsidR="002115E2" w:rsidRDefault="002115E2" w:rsidP="002115E2">
      <w:pPr>
        <w:spacing w:before="240" w:after="240" w:line="360" w:lineRule="auto"/>
        <w:jc w:val="both"/>
        <w:rPr>
          <w:sz w:val="24"/>
          <w:szCs w:val="24"/>
        </w:rPr>
      </w:pPr>
      <w:r>
        <w:rPr>
          <w:sz w:val="24"/>
          <w:szCs w:val="24"/>
        </w:rPr>
        <w:t xml:space="preserve">Mondelēz International (2023) </w:t>
      </w:r>
      <w:r>
        <w:rPr>
          <w:i/>
          <w:iCs/>
          <w:sz w:val="24"/>
          <w:szCs w:val="24"/>
        </w:rPr>
        <w:t>Snacking Made Right: ESG Report 2023</w:t>
      </w:r>
      <w:r>
        <w:rPr>
          <w:sz w:val="24"/>
          <w:szCs w:val="24"/>
        </w:rPr>
        <w:t>. Chicago: Mondelēz.</w:t>
      </w:r>
    </w:p>
    <w:p w14:paraId="79A561AE" w14:textId="77777777" w:rsidR="002115E2" w:rsidRDefault="002115E2" w:rsidP="002115E2">
      <w:pPr>
        <w:spacing w:before="240" w:after="240" w:line="360" w:lineRule="auto"/>
        <w:jc w:val="both"/>
        <w:rPr>
          <w:sz w:val="24"/>
          <w:szCs w:val="24"/>
        </w:rPr>
      </w:pPr>
      <w:r>
        <w:rPr>
          <w:sz w:val="24"/>
          <w:szCs w:val="24"/>
        </w:rPr>
        <w:t xml:space="preserve">Nestlé (2023) </w:t>
      </w:r>
      <w:r>
        <w:rPr>
          <w:i/>
          <w:iCs/>
          <w:sz w:val="24"/>
          <w:szCs w:val="24"/>
        </w:rPr>
        <w:t>Creating Shared Value and Sustainability Report 2023</w:t>
      </w:r>
      <w:r>
        <w:rPr>
          <w:sz w:val="24"/>
          <w:szCs w:val="24"/>
        </w:rPr>
        <w:t>. Vevey: Nestlé S.A.</w:t>
      </w:r>
    </w:p>
    <w:p w14:paraId="58A13956" w14:textId="77777777" w:rsidR="002115E2" w:rsidRDefault="002115E2" w:rsidP="002115E2">
      <w:pPr>
        <w:spacing w:before="240" w:after="240" w:line="360" w:lineRule="auto"/>
        <w:jc w:val="both"/>
        <w:rPr>
          <w:sz w:val="24"/>
          <w:szCs w:val="24"/>
        </w:rPr>
      </w:pPr>
      <w:r>
        <w:rPr>
          <w:sz w:val="24"/>
          <w:szCs w:val="24"/>
        </w:rPr>
        <w:t xml:space="preserve">Noble, C.H. and Sinha, R.K. (2019) ‘Innovation strategies and consumer adoption: The role of pioneer advantage’, </w:t>
      </w:r>
      <w:r>
        <w:rPr>
          <w:i/>
          <w:iCs/>
          <w:sz w:val="24"/>
          <w:szCs w:val="24"/>
        </w:rPr>
        <w:t>Journal of Marketing</w:t>
      </w:r>
      <w:r>
        <w:rPr>
          <w:sz w:val="24"/>
          <w:szCs w:val="24"/>
        </w:rPr>
        <w:t>, 83(3), pp. 34–52.</w:t>
      </w:r>
    </w:p>
    <w:p w14:paraId="3C216C16" w14:textId="77777777" w:rsidR="002115E2" w:rsidRDefault="002115E2" w:rsidP="002115E2">
      <w:pPr>
        <w:spacing w:before="240" w:after="240" w:line="360" w:lineRule="auto"/>
        <w:jc w:val="both"/>
        <w:rPr>
          <w:sz w:val="24"/>
          <w:szCs w:val="24"/>
        </w:rPr>
      </w:pPr>
      <w:r>
        <w:rPr>
          <w:sz w:val="24"/>
          <w:szCs w:val="24"/>
        </w:rPr>
        <w:t xml:space="preserve">Porter, M.E. (2008) ‘The five competitive forces that shape strategy’, </w:t>
      </w:r>
      <w:r>
        <w:rPr>
          <w:i/>
          <w:iCs/>
          <w:sz w:val="24"/>
          <w:szCs w:val="24"/>
        </w:rPr>
        <w:t>Harvard Business Review</w:t>
      </w:r>
      <w:r>
        <w:rPr>
          <w:sz w:val="24"/>
          <w:szCs w:val="24"/>
        </w:rPr>
        <w:t>, 86(1), pp. 78–93.</w:t>
      </w:r>
    </w:p>
    <w:p w14:paraId="693C6BA5" w14:textId="77777777" w:rsidR="002115E2" w:rsidRDefault="002115E2" w:rsidP="002115E2">
      <w:pPr>
        <w:spacing w:before="240" w:after="240" w:line="360" w:lineRule="auto"/>
        <w:jc w:val="both"/>
        <w:rPr>
          <w:sz w:val="24"/>
          <w:szCs w:val="24"/>
        </w:rPr>
      </w:pPr>
      <w:r>
        <w:rPr>
          <w:sz w:val="24"/>
          <w:szCs w:val="24"/>
        </w:rPr>
        <w:lastRenderedPageBreak/>
        <w:t xml:space="preserve">PwC (2023) </w:t>
      </w:r>
      <w:r>
        <w:rPr>
          <w:i/>
          <w:iCs/>
          <w:sz w:val="24"/>
          <w:szCs w:val="24"/>
        </w:rPr>
        <w:t>The Future of Consumer Markets: Technology, Transparency and Trust</w:t>
      </w:r>
      <w:r>
        <w:rPr>
          <w:sz w:val="24"/>
          <w:szCs w:val="24"/>
        </w:rPr>
        <w:t>. London: PricewaterhouseCoopers.</w:t>
      </w:r>
    </w:p>
    <w:p w14:paraId="4DFA891C" w14:textId="77777777" w:rsidR="002115E2" w:rsidRDefault="002115E2" w:rsidP="002115E2">
      <w:pPr>
        <w:spacing w:before="240" w:after="240" w:line="360" w:lineRule="auto"/>
        <w:jc w:val="both"/>
        <w:rPr>
          <w:sz w:val="24"/>
          <w:szCs w:val="24"/>
        </w:rPr>
      </w:pPr>
      <w:r>
        <w:rPr>
          <w:sz w:val="24"/>
          <w:szCs w:val="24"/>
        </w:rPr>
        <w:t xml:space="preserve">Teece, D.J. (2018) ‘Business models and dynamic capabilities’, </w:t>
      </w:r>
      <w:r>
        <w:rPr>
          <w:i/>
          <w:iCs/>
          <w:sz w:val="24"/>
          <w:szCs w:val="24"/>
        </w:rPr>
        <w:t>Long Range Planning</w:t>
      </w:r>
      <w:r>
        <w:rPr>
          <w:sz w:val="24"/>
          <w:szCs w:val="24"/>
        </w:rPr>
        <w:t>, 51(1), pp. 40–49.</w:t>
      </w:r>
    </w:p>
    <w:p w14:paraId="1F6ACDCB" w14:textId="77777777" w:rsidR="002115E2" w:rsidRDefault="002115E2" w:rsidP="002115E2">
      <w:pPr>
        <w:spacing w:before="240" w:after="240" w:line="360" w:lineRule="auto"/>
        <w:jc w:val="both"/>
        <w:rPr>
          <w:sz w:val="24"/>
          <w:szCs w:val="24"/>
        </w:rPr>
      </w:pPr>
      <w:r>
        <w:rPr>
          <w:sz w:val="24"/>
          <w:szCs w:val="24"/>
        </w:rPr>
        <w:t xml:space="preserve">Wang, Y., Singh, S. and Fang, E. (2021) ‘Digitalisation and performance in multinational firms’, </w:t>
      </w:r>
      <w:r>
        <w:rPr>
          <w:i/>
          <w:iCs/>
          <w:sz w:val="24"/>
          <w:szCs w:val="24"/>
        </w:rPr>
        <w:t>International Business Review</w:t>
      </w:r>
      <w:r>
        <w:rPr>
          <w:sz w:val="24"/>
          <w:szCs w:val="24"/>
        </w:rPr>
        <w:t>, 30(6), pp. 1–15.</w:t>
      </w:r>
    </w:p>
    <w:p w14:paraId="5F659752" w14:textId="77777777" w:rsidR="00D264FF" w:rsidRDefault="00D264FF"/>
    <w:sectPr w:rsidR="00D264FF" w:rsidSect="0070792E">
      <w:footerReference w:type="default" r:id="rId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6D941" w14:textId="77777777" w:rsidR="0095082E" w:rsidRDefault="008D4A97">
      <w:pPr>
        <w:spacing w:line="240" w:lineRule="auto"/>
      </w:pPr>
      <w:r>
        <w:separator/>
      </w:r>
    </w:p>
  </w:endnote>
  <w:endnote w:type="continuationSeparator" w:id="0">
    <w:p w14:paraId="7A477EA8" w14:textId="77777777" w:rsidR="0095082E" w:rsidRDefault="008D4A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5931811"/>
      <w:docPartObj>
        <w:docPartGallery w:val="Page Numbers (Bottom of Page)"/>
        <w:docPartUnique/>
      </w:docPartObj>
    </w:sdtPr>
    <w:sdtEndPr>
      <w:rPr>
        <w:noProof/>
      </w:rPr>
    </w:sdtEndPr>
    <w:sdtContent>
      <w:p w14:paraId="057A6BF4" w14:textId="77777777" w:rsidR="0070792E" w:rsidRDefault="002115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8C1A0D" w14:textId="77777777" w:rsidR="0070792E" w:rsidRDefault="00B27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5DE32" w14:textId="77777777" w:rsidR="0095082E" w:rsidRDefault="008D4A97">
      <w:pPr>
        <w:spacing w:line="240" w:lineRule="auto"/>
      </w:pPr>
      <w:r>
        <w:separator/>
      </w:r>
    </w:p>
  </w:footnote>
  <w:footnote w:type="continuationSeparator" w:id="0">
    <w:p w14:paraId="1856C00E" w14:textId="77777777" w:rsidR="0095082E" w:rsidRDefault="008D4A9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5E2"/>
    <w:rsid w:val="002115E2"/>
    <w:rsid w:val="004E2BF3"/>
    <w:rsid w:val="00843EFC"/>
    <w:rsid w:val="008D4A97"/>
    <w:rsid w:val="0095082E"/>
    <w:rsid w:val="00B27DD6"/>
    <w:rsid w:val="00D264FF"/>
    <w:rsid w:val="00D80E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8408B"/>
  <w15:chartTrackingRefBased/>
  <w15:docId w15:val="{587847C7-9D81-465A-A371-DA3BDAF7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115E2"/>
    <w:pPr>
      <w:spacing w:after="0" w:line="276" w:lineRule="auto"/>
    </w:pPr>
    <w:rPr>
      <w:rFonts w:ascii="Arial" w:eastAsia="Arial" w:hAnsi="Arial" w:cs="Arial"/>
      <w:lang w:val="en-GB" w:eastAsia="en-GB"/>
    </w:rPr>
  </w:style>
  <w:style w:type="paragraph" w:styleId="Heading1">
    <w:name w:val="heading 1"/>
    <w:basedOn w:val="Normal"/>
    <w:next w:val="Normal"/>
    <w:link w:val="Heading1Char"/>
    <w:rsid w:val="002115E2"/>
    <w:pPr>
      <w:keepNext/>
      <w:keepLines/>
      <w:spacing w:before="400" w:after="120" w:line="360" w:lineRule="auto"/>
      <w:jc w:val="both"/>
      <w:outlineLvl w:val="0"/>
    </w:pPr>
    <w:rPr>
      <w:b/>
      <w:sz w:val="28"/>
      <w:szCs w:val="40"/>
    </w:rPr>
  </w:style>
  <w:style w:type="paragraph" w:styleId="Heading2">
    <w:name w:val="heading 2"/>
    <w:basedOn w:val="Normal"/>
    <w:next w:val="Normal"/>
    <w:link w:val="Heading2Char"/>
    <w:rsid w:val="002115E2"/>
    <w:pPr>
      <w:keepNext/>
      <w:keepLines/>
      <w:spacing w:before="360" w:after="120" w:line="360" w:lineRule="auto"/>
      <w:jc w:val="both"/>
      <w:outlineLvl w:val="1"/>
    </w:pPr>
    <w:rPr>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15E2"/>
    <w:rPr>
      <w:rFonts w:ascii="Arial" w:eastAsia="Arial" w:hAnsi="Arial" w:cs="Arial"/>
      <w:b/>
      <w:sz w:val="28"/>
      <w:szCs w:val="40"/>
      <w:lang w:val="en-GB" w:eastAsia="en-GB"/>
    </w:rPr>
  </w:style>
  <w:style w:type="character" w:customStyle="1" w:styleId="Heading2Char">
    <w:name w:val="Heading 2 Char"/>
    <w:basedOn w:val="DefaultParagraphFont"/>
    <w:link w:val="Heading2"/>
    <w:rsid w:val="002115E2"/>
    <w:rPr>
      <w:rFonts w:ascii="Arial" w:eastAsia="Arial" w:hAnsi="Arial" w:cs="Arial"/>
      <w:b/>
      <w:sz w:val="24"/>
      <w:szCs w:val="32"/>
      <w:lang w:val="en-GB" w:eastAsia="en-GB"/>
    </w:rPr>
  </w:style>
  <w:style w:type="paragraph" w:styleId="Footer">
    <w:name w:val="footer"/>
    <w:basedOn w:val="Normal"/>
    <w:link w:val="FooterChar"/>
    <w:uiPriority w:val="99"/>
    <w:unhideWhenUsed/>
    <w:rsid w:val="002115E2"/>
    <w:pPr>
      <w:tabs>
        <w:tab w:val="center" w:pos="4513"/>
        <w:tab w:val="right" w:pos="9026"/>
      </w:tabs>
      <w:spacing w:line="240" w:lineRule="auto"/>
    </w:pPr>
  </w:style>
  <w:style w:type="character" w:customStyle="1" w:styleId="FooterChar">
    <w:name w:val="Footer Char"/>
    <w:basedOn w:val="DefaultParagraphFont"/>
    <w:link w:val="Footer"/>
    <w:uiPriority w:val="99"/>
    <w:rsid w:val="002115E2"/>
    <w:rPr>
      <w:rFonts w:ascii="Arial" w:eastAsia="Arial" w:hAnsi="Arial" w:cs="Arial"/>
      <w:lang w:val="en-GB" w:eastAsia="en-GB"/>
    </w:rPr>
  </w:style>
  <w:style w:type="paragraph" w:styleId="TOCHeading">
    <w:name w:val="TOC Heading"/>
    <w:basedOn w:val="Heading1"/>
    <w:next w:val="Normal"/>
    <w:uiPriority w:val="39"/>
    <w:semiHidden/>
    <w:unhideWhenUsed/>
    <w:qFormat/>
    <w:rsid w:val="002115E2"/>
    <w:pPr>
      <w:spacing w:before="480" w:after="0" w:line="276" w:lineRule="auto"/>
      <w:jc w:val="left"/>
      <w:outlineLvl w:val="9"/>
    </w:pPr>
    <w:rPr>
      <w:rFonts w:asciiTheme="majorHAnsi" w:eastAsiaTheme="majorEastAsia" w:hAnsiTheme="majorHAnsi" w:cstheme="majorBidi"/>
      <w:bCs/>
      <w:color w:val="2F5496" w:themeColor="accent1" w:themeShade="BF"/>
      <w:szCs w:val="28"/>
      <w:lang w:val="en-US" w:eastAsia="ja-JP"/>
    </w:rPr>
  </w:style>
  <w:style w:type="paragraph" w:styleId="TOC1">
    <w:name w:val="toc 1"/>
    <w:basedOn w:val="Normal"/>
    <w:next w:val="Normal"/>
    <w:autoRedefine/>
    <w:uiPriority w:val="39"/>
    <w:unhideWhenUsed/>
    <w:rsid w:val="002115E2"/>
    <w:pPr>
      <w:spacing w:after="100"/>
    </w:pPr>
  </w:style>
  <w:style w:type="paragraph" w:styleId="TOC2">
    <w:name w:val="toc 2"/>
    <w:basedOn w:val="Normal"/>
    <w:next w:val="Normal"/>
    <w:autoRedefine/>
    <w:uiPriority w:val="39"/>
    <w:unhideWhenUsed/>
    <w:rsid w:val="002115E2"/>
    <w:pPr>
      <w:spacing w:after="100"/>
      <w:ind w:left="220"/>
    </w:pPr>
  </w:style>
  <w:style w:type="character" w:styleId="Hyperlink">
    <w:name w:val="Hyperlink"/>
    <w:basedOn w:val="DefaultParagraphFont"/>
    <w:uiPriority w:val="99"/>
    <w:unhideWhenUsed/>
    <w:rsid w:val="002115E2"/>
    <w:rPr>
      <w:color w:val="0563C1" w:themeColor="hyperlink"/>
      <w:u w:val="single"/>
    </w:rPr>
  </w:style>
  <w:style w:type="character" w:styleId="Strong">
    <w:name w:val="Strong"/>
    <w:basedOn w:val="DefaultParagraphFont"/>
    <w:uiPriority w:val="22"/>
    <w:qFormat/>
    <w:rsid w:val="002115E2"/>
    <w:rPr>
      <w:b/>
      <w:bCs/>
    </w:rPr>
  </w:style>
  <w:style w:type="character" w:styleId="Emphasis">
    <w:name w:val="Emphasis"/>
    <w:basedOn w:val="DefaultParagraphFont"/>
    <w:uiPriority w:val="20"/>
    <w:qFormat/>
    <w:rsid w:val="00843E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3352</Words>
  <Characters>19110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2025-11-19T16:19:00Z</dcterms:created>
  <dcterms:modified xsi:type="dcterms:W3CDTF">2025-11-20T21:26:00Z</dcterms:modified>
</cp:coreProperties>
</file>