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E289B1" w14:textId="77777777" w:rsidR="00B20E49" w:rsidRPr="00B20E49" w:rsidRDefault="00B20E49" w:rsidP="00B20E49">
      <w:pPr>
        <w:ind w:right="531"/>
        <w:jc w:val="both"/>
        <w:rPr>
          <w:rFonts w:asciiTheme="minorHAnsi" w:eastAsia="Calibri" w:hAnsiTheme="minorHAnsi" w:cs="Arial"/>
          <w:b/>
          <w:bCs/>
          <w:sz w:val="24"/>
          <w:szCs w:val="24"/>
        </w:rPr>
      </w:pPr>
      <w:r w:rsidRPr="00B20E49">
        <w:rPr>
          <w:rFonts w:asciiTheme="minorHAnsi" w:eastAsia="Calibri" w:hAnsiTheme="minorHAnsi" w:cs="Arial"/>
          <w:b/>
          <w:bCs/>
          <w:sz w:val="24"/>
          <w:szCs w:val="24"/>
        </w:rPr>
        <w:t>Essay one:</w:t>
      </w:r>
    </w:p>
    <w:p w14:paraId="57C9207E" w14:textId="77777777" w:rsidR="00B20E49" w:rsidRPr="00B20E49" w:rsidRDefault="00B20E49" w:rsidP="00B20E49">
      <w:pPr>
        <w:spacing w:line="257" w:lineRule="auto"/>
        <w:ind w:right="531"/>
        <w:rPr>
          <w:rFonts w:asciiTheme="minorHAnsi" w:eastAsia="Calibri" w:hAnsiTheme="minorHAnsi" w:cs="Arial"/>
          <w:b/>
          <w:bCs/>
          <w:sz w:val="24"/>
          <w:szCs w:val="24"/>
        </w:rPr>
      </w:pPr>
      <w:r w:rsidRPr="00B20E49">
        <w:rPr>
          <w:rFonts w:asciiTheme="minorHAnsi" w:eastAsia="Calibri" w:hAnsiTheme="minorHAnsi" w:cs="Arial"/>
          <w:b/>
          <w:bCs/>
          <w:sz w:val="24"/>
          <w:szCs w:val="24"/>
        </w:rPr>
        <w:t>How effectively has the police service adapted to accommodate diversity within the UK? Consider the police force itself and/or the way police engage with diverse communities.</w:t>
      </w:r>
    </w:p>
    <w:p w14:paraId="59F06FC4" w14:textId="77777777" w:rsidR="00B20E49" w:rsidRPr="00B20E49" w:rsidRDefault="00B20E49" w:rsidP="00B20E49">
      <w:pPr>
        <w:spacing w:line="257" w:lineRule="auto"/>
        <w:ind w:right="531"/>
        <w:rPr>
          <w:rFonts w:asciiTheme="minorHAnsi" w:hAnsiTheme="minorHAnsi" w:cs="Arial"/>
          <w:sz w:val="24"/>
          <w:szCs w:val="24"/>
        </w:rPr>
      </w:pPr>
    </w:p>
    <w:p w14:paraId="77FCA4EA" w14:textId="77777777" w:rsidR="00B20E49" w:rsidRPr="00B20E49" w:rsidRDefault="00B20E49" w:rsidP="00B20E49">
      <w:pPr>
        <w:spacing w:line="257" w:lineRule="auto"/>
        <w:ind w:right="531"/>
        <w:rPr>
          <w:rFonts w:asciiTheme="minorHAnsi" w:hAnsiTheme="minorHAnsi" w:cs="Arial"/>
          <w:color w:val="FF0000"/>
          <w:sz w:val="24"/>
          <w:szCs w:val="24"/>
        </w:rPr>
      </w:pPr>
      <w:r w:rsidRPr="00B20E49">
        <w:rPr>
          <w:rFonts w:asciiTheme="minorHAnsi" w:hAnsiTheme="minorHAnsi" w:cs="Arial"/>
          <w:sz w:val="24"/>
          <w:szCs w:val="24"/>
        </w:rPr>
        <w:t xml:space="preserve">In this essay I will be discussing how the police have adapted to accommodate diversity within the UK police force and within local communities.  </w:t>
      </w:r>
      <w:r w:rsidRPr="00B20E49">
        <w:rPr>
          <w:rFonts w:asciiTheme="minorHAnsi" w:hAnsiTheme="minorHAnsi" w:cs="Arial"/>
          <w:color w:val="FF0000"/>
          <w:sz w:val="24"/>
          <w:szCs w:val="24"/>
        </w:rPr>
        <w:t xml:space="preserve"> </w:t>
      </w:r>
    </w:p>
    <w:p w14:paraId="324FA8BC" w14:textId="77777777" w:rsidR="00B20E49" w:rsidRPr="00B20E49" w:rsidRDefault="00B20E49" w:rsidP="00B20E49">
      <w:pPr>
        <w:spacing w:line="257" w:lineRule="auto"/>
        <w:ind w:right="531"/>
        <w:rPr>
          <w:rFonts w:asciiTheme="minorHAnsi" w:hAnsiTheme="minorHAnsi" w:cs="Arial"/>
          <w:sz w:val="24"/>
          <w:szCs w:val="24"/>
        </w:rPr>
      </w:pPr>
      <w:r w:rsidRPr="00B20E49">
        <w:rPr>
          <w:rFonts w:asciiTheme="minorHAnsi" w:hAnsiTheme="minorHAnsi" w:cs="Arial"/>
          <w:sz w:val="24"/>
          <w:szCs w:val="24"/>
        </w:rPr>
        <w:t>Any one or more strands of difference, such as cultural, social, backgrounds, and various elements of identity are typically referred to as diversity (Thomson and Gooberman-Hill, 2024). The term “diversity” is frequently used in reference to ideas of workplaces that are diverse and compromise a wide range of individuals representing a variety of diversity with regard ethnicity, sexual orientation, disability, gender and race (Thomson and Gooberman-Hill, 2024).</w:t>
      </w:r>
    </w:p>
    <w:p w14:paraId="3508F45D" w14:textId="77777777" w:rsidR="00B20E49" w:rsidRPr="00B20E49" w:rsidRDefault="00B20E49" w:rsidP="00B20E49">
      <w:pPr>
        <w:spacing w:line="257" w:lineRule="auto"/>
        <w:ind w:right="531"/>
        <w:rPr>
          <w:rFonts w:asciiTheme="minorHAnsi" w:hAnsiTheme="minorHAnsi" w:cs="Arial"/>
          <w:sz w:val="24"/>
          <w:szCs w:val="24"/>
        </w:rPr>
      </w:pPr>
    </w:p>
    <w:p w14:paraId="339352E0" w14:textId="77777777" w:rsidR="00B20E49" w:rsidRPr="00B20E49" w:rsidRDefault="00B20E49" w:rsidP="00B20E49">
      <w:pPr>
        <w:spacing w:line="257" w:lineRule="auto"/>
        <w:ind w:right="531"/>
        <w:rPr>
          <w:rFonts w:asciiTheme="minorHAnsi" w:hAnsiTheme="minorHAnsi"/>
          <w:sz w:val="24"/>
          <w:szCs w:val="24"/>
        </w:rPr>
      </w:pPr>
      <w:r w:rsidRPr="00B20E49">
        <w:rPr>
          <w:rFonts w:asciiTheme="minorHAnsi" w:hAnsiTheme="minorHAnsi" w:cs="Arial"/>
          <w:sz w:val="24"/>
          <w:szCs w:val="24"/>
        </w:rPr>
        <w:t xml:space="preserve">In 2022, the statistics showed that there were 91.9% of white ethnicity and only 8.1% of officers who were from an Asian, mixed or black background (GOV.UK, 2023). To combat this under representation in the police, South Wales Police is collaborating with nearby Welsh universities that provide professional Policing degrees (PPD) in order to address the under representation. As part of a positive action project, the police will provide funding for a bursary program for ethnic minority students enrolled in the course. Only those people who identify as members of an ethnic minority background are eligible for the bursary support. The South Wales Police bursary scheme aims to increase the number of applications from under represented groups and increase the police forces representation of the community it serves. It will also offer financial assistance to any ethnic minority students who enrol in and finish their professional policing degree (South Wales Police, 2025). </w:t>
      </w:r>
    </w:p>
    <w:p w14:paraId="35DF32F8" w14:textId="77777777" w:rsidR="00B20E49" w:rsidRPr="00B20E49" w:rsidRDefault="00B20E49" w:rsidP="00B20E49">
      <w:pPr>
        <w:spacing w:line="257" w:lineRule="auto"/>
        <w:ind w:right="531"/>
        <w:rPr>
          <w:rFonts w:asciiTheme="minorHAnsi" w:hAnsiTheme="minorHAnsi" w:cs="Arial"/>
          <w:color w:val="FF0000"/>
          <w:sz w:val="24"/>
          <w:szCs w:val="24"/>
        </w:rPr>
      </w:pPr>
    </w:p>
    <w:p w14:paraId="4EB31488" w14:textId="77777777" w:rsidR="00B20E49" w:rsidRPr="00B20E49" w:rsidRDefault="00B20E49" w:rsidP="00B20E49">
      <w:pPr>
        <w:spacing w:line="257" w:lineRule="auto"/>
        <w:ind w:right="531"/>
        <w:rPr>
          <w:rFonts w:asciiTheme="minorHAnsi" w:hAnsiTheme="minorHAnsi" w:cs="Arial"/>
          <w:sz w:val="24"/>
          <w:szCs w:val="24"/>
        </w:rPr>
      </w:pPr>
      <w:r w:rsidRPr="00B20E49">
        <w:rPr>
          <w:rFonts w:asciiTheme="minorHAnsi" w:hAnsiTheme="minorHAnsi" w:cs="Arial"/>
          <w:sz w:val="24"/>
          <w:szCs w:val="24"/>
        </w:rPr>
        <w:t>However, there has been some difficulties in progression for these officers as they feared being chosen solely on the basis of their race, ethnicity, or gender identity. Therefore, minority officers frequently questioned their own accomplishments and were reluctant to apply for any promotions within the force (Farrell &amp; Barao, 2022)</w:t>
      </w:r>
    </w:p>
    <w:p w14:paraId="47278756" w14:textId="77777777" w:rsidR="00B20E49" w:rsidRPr="00B20E49" w:rsidRDefault="00B20E49" w:rsidP="00B20E49">
      <w:pPr>
        <w:spacing w:line="257" w:lineRule="auto"/>
        <w:ind w:right="531"/>
        <w:rPr>
          <w:rFonts w:asciiTheme="minorHAnsi" w:hAnsiTheme="minorHAnsi" w:cs="Arial"/>
          <w:color w:val="FF0000"/>
          <w:sz w:val="24"/>
          <w:szCs w:val="24"/>
        </w:rPr>
      </w:pPr>
      <w:r w:rsidRPr="00B20E49">
        <w:rPr>
          <w:rFonts w:asciiTheme="minorHAnsi" w:hAnsiTheme="minorHAnsi" w:cs="Arial"/>
          <w:color w:val="FF0000"/>
          <w:sz w:val="24"/>
          <w:szCs w:val="24"/>
        </w:rPr>
        <w:t xml:space="preserve"> </w:t>
      </w:r>
    </w:p>
    <w:p w14:paraId="527FD797" w14:textId="77777777" w:rsidR="00B20E49" w:rsidRPr="00B20E49" w:rsidRDefault="00B20E49" w:rsidP="00B20E49">
      <w:pPr>
        <w:spacing w:line="257" w:lineRule="auto"/>
        <w:ind w:right="531"/>
        <w:rPr>
          <w:rFonts w:asciiTheme="minorHAnsi" w:hAnsiTheme="minorHAnsi" w:cs="Arial"/>
          <w:sz w:val="24"/>
          <w:szCs w:val="24"/>
        </w:rPr>
      </w:pPr>
      <w:r w:rsidRPr="00B20E49">
        <w:rPr>
          <w:rFonts w:asciiTheme="minorHAnsi" w:hAnsiTheme="minorHAnsi" w:cs="Arial"/>
          <w:sz w:val="24"/>
          <w:szCs w:val="24"/>
        </w:rPr>
        <w:t xml:space="preserve">This is also corroborated with evidence from Statista (2025) as statistics have shown that there are significantly less police officers who are female who are higher up in the ranking system. This could deter females from joining the police force as they feel there is no progression in the police for females, or they may deem it as a male orientated role and not apply for this reason. </w:t>
      </w:r>
    </w:p>
    <w:p w14:paraId="0D7EA489" w14:textId="77777777" w:rsidR="00B20E49" w:rsidRPr="00B20E49" w:rsidRDefault="00B20E49" w:rsidP="00B20E49">
      <w:pPr>
        <w:spacing w:line="257" w:lineRule="auto"/>
        <w:ind w:right="531"/>
        <w:rPr>
          <w:rFonts w:asciiTheme="minorHAnsi" w:hAnsiTheme="minorHAnsi" w:cs="Arial"/>
          <w:color w:val="FF0000"/>
          <w:sz w:val="24"/>
          <w:szCs w:val="24"/>
        </w:rPr>
      </w:pPr>
    </w:p>
    <w:p w14:paraId="4E7AC5BB" w14:textId="77777777" w:rsidR="00B20E49" w:rsidRPr="00B20E49" w:rsidRDefault="00B20E49" w:rsidP="00B20E49">
      <w:pPr>
        <w:spacing w:line="257" w:lineRule="auto"/>
        <w:ind w:right="531"/>
        <w:rPr>
          <w:rFonts w:asciiTheme="minorHAnsi" w:hAnsiTheme="minorHAnsi" w:cs="Arial"/>
          <w:color w:val="FF0000"/>
          <w:sz w:val="24"/>
          <w:szCs w:val="24"/>
        </w:rPr>
      </w:pPr>
    </w:p>
    <w:p w14:paraId="570065FB" w14:textId="77777777" w:rsidR="00B20E49" w:rsidRPr="00B20E49" w:rsidRDefault="00B20E49" w:rsidP="00B20E49">
      <w:pPr>
        <w:spacing w:line="257" w:lineRule="auto"/>
        <w:ind w:right="531"/>
        <w:rPr>
          <w:rFonts w:asciiTheme="minorHAnsi" w:hAnsiTheme="minorHAnsi" w:cs="Arial"/>
          <w:sz w:val="24"/>
          <w:szCs w:val="24"/>
        </w:rPr>
      </w:pPr>
    </w:p>
    <w:p w14:paraId="45554039" w14:textId="77777777" w:rsidR="00B20E49" w:rsidRPr="00B20E49" w:rsidRDefault="00B20E49" w:rsidP="00B20E49">
      <w:pPr>
        <w:spacing w:line="257" w:lineRule="auto"/>
        <w:ind w:right="531"/>
        <w:rPr>
          <w:rFonts w:asciiTheme="minorHAnsi" w:hAnsiTheme="minorHAnsi" w:cs="Arial"/>
          <w:sz w:val="24"/>
          <w:szCs w:val="24"/>
        </w:rPr>
      </w:pPr>
    </w:p>
    <w:p w14:paraId="728DB614" w14:textId="77777777" w:rsidR="00B20E49" w:rsidRPr="00B20E49" w:rsidRDefault="00B20E49" w:rsidP="00B20E49">
      <w:pPr>
        <w:spacing w:line="257" w:lineRule="auto"/>
        <w:ind w:right="531"/>
        <w:rPr>
          <w:rFonts w:asciiTheme="minorHAnsi" w:hAnsiTheme="minorHAnsi" w:cs="Arial"/>
          <w:sz w:val="24"/>
          <w:szCs w:val="24"/>
        </w:rPr>
      </w:pPr>
    </w:p>
    <w:p w14:paraId="418F0245" w14:textId="77777777" w:rsidR="00B20E49" w:rsidRPr="00B20E49" w:rsidRDefault="00B20E49" w:rsidP="00B20E49">
      <w:pPr>
        <w:spacing w:line="257" w:lineRule="auto"/>
        <w:ind w:right="531"/>
        <w:rPr>
          <w:rFonts w:asciiTheme="minorHAnsi" w:hAnsiTheme="minorHAnsi" w:cs="Arial"/>
          <w:color w:val="FF0000"/>
          <w:sz w:val="24"/>
          <w:szCs w:val="24"/>
        </w:rPr>
      </w:pPr>
    </w:p>
    <w:p w14:paraId="2656E536" w14:textId="77777777" w:rsidR="00B20E49" w:rsidRPr="00B20E49" w:rsidRDefault="00B20E49" w:rsidP="00B20E49">
      <w:pPr>
        <w:spacing w:line="257" w:lineRule="auto"/>
        <w:ind w:right="531"/>
        <w:rPr>
          <w:rFonts w:asciiTheme="minorHAnsi" w:hAnsiTheme="minorHAnsi" w:cs="Arial"/>
          <w:sz w:val="24"/>
          <w:szCs w:val="24"/>
        </w:rPr>
      </w:pPr>
      <w:r w:rsidRPr="00B20E49">
        <w:rPr>
          <w:rFonts w:asciiTheme="minorHAnsi" w:hAnsiTheme="minorHAnsi" w:cs="Arial"/>
          <w:sz w:val="24"/>
          <w:szCs w:val="24"/>
        </w:rPr>
        <w:t>However, evidence from Statista (2025) also state that there has been an increase in female police officers who have applied to join the police force. As of 2024, there are approximately 35% female police officers currently working in England and Wales.</w:t>
      </w:r>
      <w:r w:rsidRPr="00B20E49">
        <w:rPr>
          <w:rFonts w:asciiTheme="minorHAnsi" w:hAnsiTheme="minorHAnsi"/>
          <w:sz w:val="24"/>
          <w:szCs w:val="24"/>
        </w:rPr>
        <w:t xml:space="preserve"> </w:t>
      </w:r>
      <w:r w:rsidRPr="00B20E49">
        <w:rPr>
          <w:rFonts w:asciiTheme="minorHAnsi" w:hAnsiTheme="minorHAnsi" w:cs="Arial"/>
          <w:sz w:val="24"/>
          <w:szCs w:val="24"/>
        </w:rPr>
        <w:t xml:space="preserve">Police forces across the UK are now actively seeking members of public to join the police from a variety of different ethnic backgrounds in order to make progress in creating a more diverse workforce. Some police forces have launched recruitment programmes which tailor to support people from diverse backgrounds in applying for the police. </w:t>
      </w:r>
    </w:p>
    <w:p w14:paraId="6EA421C8" w14:textId="77777777" w:rsidR="00B20E49" w:rsidRPr="00B20E49" w:rsidRDefault="00B20E49" w:rsidP="00B20E49">
      <w:pPr>
        <w:spacing w:line="257" w:lineRule="auto"/>
        <w:ind w:right="531"/>
        <w:rPr>
          <w:rFonts w:asciiTheme="minorHAnsi" w:hAnsiTheme="minorHAnsi" w:cs="Arial"/>
          <w:sz w:val="24"/>
          <w:szCs w:val="24"/>
        </w:rPr>
      </w:pPr>
      <w:r w:rsidRPr="00B20E49">
        <w:rPr>
          <w:rFonts w:asciiTheme="minorHAnsi" w:hAnsiTheme="minorHAnsi" w:cs="Arial"/>
          <w:sz w:val="24"/>
          <w:szCs w:val="24"/>
        </w:rPr>
        <w:t xml:space="preserve">This is positive not only for diversity and inclusivity within the police force but also for members of the public as Schuck (2018) states that according to studies evaluating gender representation, more female police officers can lead to better results in situations of sexual assault and domestic violence (Schuck &amp; Rabe-Hemp, 2005). </w:t>
      </w:r>
    </w:p>
    <w:p w14:paraId="29B0D557" w14:textId="77777777" w:rsidR="00B20E49" w:rsidRPr="00B20E49" w:rsidRDefault="00B20E49" w:rsidP="00B20E49">
      <w:pPr>
        <w:spacing w:line="257" w:lineRule="auto"/>
        <w:ind w:right="531"/>
        <w:rPr>
          <w:rFonts w:asciiTheme="minorHAnsi" w:hAnsiTheme="minorHAnsi" w:cs="Arial"/>
          <w:sz w:val="24"/>
          <w:szCs w:val="24"/>
        </w:rPr>
      </w:pPr>
    </w:p>
    <w:p w14:paraId="7FF542CB" w14:textId="77777777" w:rsidR="00B20E49" w:rsidRPr="00B20E49" w:rsidRDefault="00B20E49" w:rsidP="00B20E49">
      <w:pPr>
        <w:spacing w:line="257" w:lineRule="auto"/>
        <w:ind w:right="531"/>
        <w:rPr>
          <w:rFonts w:asciiTheme="minorHAnsi" w:hAnsiTheme="minorHAnsi" w:cs="Arial"/>
          <w:sz w:val="24"/>
          <w:szCs w:val="24"/>
        </w:rPr>
      </w:pPr>
      <w:r w:rsidRPr="00B20E49">
        <w:rPr>
          <w:rFonts w:asciiTheme="minorHAnsi" w:hAnsiTheme="minorHAnsi" w:cs="Arial"/>
          <w:sz w:val="24"/>
          <w:szCs w:val="24"/>
        </w:rPr>
        <w:t>However, Cordner &amp; Cordner (2011) states that although women are no longer officially restricted to specific roles within policing that cater to stereotyped feminine traits, the “boys club” culture still deters women from entering this field. Institutional factors such as the historically white, male dominated and paramilitary structure of policing have shaped workplace culture and created on going challenges to increasing racial, gender and ethnic representation in the field.</w:t>
      </w:r>
    </w:p>
    <w:p w14:paraId="7F105DED" w14:textId="77777777" w:rsidR="00B20E49" w:rsidRPr="00B20E49" w:rsidRDefault="00B20E49" w:rsidP="00B20E49">
      <w:pPr>
        <w:spacing w:line="257" w:lineRule="auto"/>
        <w:ind w:right="531"/>
        <w:rPr>
          <w:rFonts w:asciiTheme="minorHAnsi" w:hAnsiTheme="minorHAnsi" w:cs="Arial"/>
          <w:sz w:val="24"/>
          <w:szCs w:val="24"/>
        </w:rPr>
      </w:pPr>
      <w:r w:rsidRPr="00B20E49">
        <w:rPr>
          <w:rFonts w:asciiTheme="minorHAnsi" w:hAnsiTheme="minorHAnsi" w:cs="Arial"/>
          <w:sz w:val="24"/>
          <w:szCs w:val="24"/>
        </w:rPr>
        <w:t xml:space="preserve">This is supported by evidence from Haarr &amp; Morash (1999) who states that female officers or officers from racial and ethnic minority backgrounds have reported feeling harassed and discriminated against at work. This is another deterrent for officers to leave the force and ultimately creating more of a barrier in regard to diversity in the workplace. </w:t>
      </w:r>
    </w:p>
    <w:p w14:paraId="31F05ACA" w14:textId="77777777" w:rsidR="00B20E49" w:rsidRPr="00B20E49" w:rsidRDefault="00B20E49" w:rsidP="00B20E49">
      <w:pPr>
        <w:spacing w:line="257" w:lineRule="auto"/>
        <w:ind w:right="531"/>
        <w:rPr>
          <w:rFonts w:asciiTheme="minorHAnsi" w:hAnsiTheme="minorHAnsi" w:cs="Arial"/>
          <w:sz w:val="24"/>
          <w:szCs w:val="24"/>
          <w:u w:val="single"/>
        </w:rPr>
      </w:pPr>
    </w:p>
    <w:p w14:paraId="6CD7BD70" w14:textId="77777777" w:rsidR="00B20E49" w:rsidRPr="00B20E49" w:rsidRDefault="00B20E49" w:rsidP="00B20E49">
      <w:pPr>
        <w:spacing w:line="257" w:lineRule="auto"/>
        <w:ind w:right="531"/>
        <w:rPr>
          <w:rFonts w:asciiTheme="minorHAnsi" w:hAnsiTheme="minorHAnsi" w:cs="Arial"/>
          <w:sz w:val="24"/>
          <w:szCs w:val="24"/>
        </w:rPr>
      </w:pPr>
      <w:r w:rsidRPr="00B20E49">
        <w:rPr>
          <w:rFonts w:asciiTheme="minorHAnsi" w:hAnsiTheme="minorHAnsi" w:cs="Arial"/>
          <w:sz w:val="24"/>
          <w:szCs w:val="24"/>
        </w:rPr>
        <w:t xml:space="preserve">Furthermore, the police service regularly engages with members of the community in regard to Stop and Searching individuals. Stop and search is a power that police officers have if they have reasonable grounds to suspect that a person is carrying an item unlawfully, such as drugs or knives (College of policing, 2017). </w:t>
      </w:r>
    </w:p>
    <w:p w14:paraId="2B8B6B86" w14:textId="77777777" w:rsidR="00B20E49" w:rsidRPr="00B20E49" w:rsidRDefault="00B20E49" w:rsidP="00B20E49">
      <w:pPr>
        <w:spacing w:line="257" w:lineRule="auto"/>
        <w:ind w:right="531"/>
        <w:rPr>
          <w:rFonts w:asciiTheme="minorHAnsi" w:hAnsiTheme="minorHAnsi" w:cs="Arial"/>
          <w:sz w:val="24"/>
          <w:szCs w:val="24"/>
        </w:rPr>
      </w:pPr>
    </w:p>
    <w:p w14:paraId="1EA8B4A5" w14:textId="49CDD07E" w:rsidR="00B20E49" w:rsidRPr="00B20E49" w:rsidRDefault="00B20E49" w:rsidP="00B20E49">
      <w:pPr>
        <w:spacing w:line="257" w:lineRule="auto"/>
        <w:ind w:right="531"/>
        <w:rPr>
          <w:rFonts w:asciiTheme="minorHAnsi" w:hAnsiTheme="minorHAnsi" w:cs="Arial"/>
          <w:sz w:val="24"/>
          <w:szCs w:val="24"/>
        </w:rPr>
      </w:pPr>
      <w:r w:rsidRPr="00B20E49">
        <w:rPr>
          <w:rFonts w:asciiTheme="minorHAnsi" w:hAnsiTheme="minorHAnsi" w:cs="Arial"/>
          <w:sz w:val="24"/>
          <w:szCs w:val="24"/>
        </w:rPr>
        <w:t>These powers are widely used to prevent and deter crimes in the communities. However, it has caused controversy due to its application surrounding minority ethnic communities (Rowe, 2002).  A recent study from European Union Agency for Fundamental Rights (2021) shows that during stop searches, over eight percent of people from ethnic minority backgrounds believed that they were stop searched primarily as a result of their ethnic profiling. Evidence from Fitzgerald</w:t>
      </w:r>
      <w:r w:rsidR="00437738">
        <w:rPr>
          <w:rFonts w:asciiTheme="minorHAnsi" w:hAnsiTheme="minorHAnsi" w:cs="Arial"/>
          <w:sz w:val="24"/>
          <w:szCs w:val="24"/>
        </w:rPr>
        <w:t xml:space="preserve"> &amp; Sibbit</w:t>
      </w:r>
      <w:r w:rsidRPr="00B20E49">
        <w:rPr>
          <w:rFonts w:asciiTheme="minorHAnsi" w:hAnsiTheme="minorHAnsi" w:cs="Arial"/>
          <w:sz w:val="24"/>
          <w:szCs w:val="24"/>
        </w:rPr>
        <w:t xml:space="preserve"> (199</w:t>
      </w:r>
      <w:r w:rsidR="00437738">
        <w:rPr>
          <w:rFonts w:asciiTheme="minorHAnsi" w:hAnsiTheme="minorHAnsi" w:cs="Arial"/>
          <w:sz w:val="24"/>
          <w:szCs w:val="24"/>
        </w:rPr>
        <w:t>7</w:t>
      </w:r>
      <w:r w:rsidRPr="00B20E49">
        <w:rPr>
          <w:rFonts w:asciiTheme="minorHAnsi" w:hAnsiTheme="minorHAnsi" w:cs="Arial"/>
          <w:sz w:val="24"/>
          <w:szCs w:val="24"/>
        </w:rPr>
        <w:t xml:space="preserve">) suggests the number of stop and search incidents against </w:t>
      </w:r>
      <w:r w:rsidR="002A482D">
        <w:rPr>
          <w:rFonts w:asciiTheme="minorHAnsi" w:hAnsiTheme="minorHAnsi" w:cs="Arial"/>
          <w:sz w:val="24"/>
          <w:szCs w:val="24"/>
        </w:rPr>
        <w:t>ethnic minority</w:t>
      </w:r>
      <w:r w:rsidR="008179C9" w:rsidRPr="00B20E49">
        <w:rPr>
          <w:rFonts w:asciiTheme="minorHAnsi" w:hAnsiTheme="minorHAnsi" w:cs="Arial"/>
          <w:sz w:val="24"/>
          <w:szCs w:val="24"/>
        </w:rPr>
        <w:t xml:space="preserve"> people</w:t>
      </w:r>
      <w:r w:rsidRPr="00B20E49">
        <w:rPr>
          <w:rFonts w:asciiTheme="minorHAnsi" w:hAnsiTheme="minorHAnsi" w:cs="Arial"/>
          <w:sz w:val="24"/>
          <w:szCs w:val="24"/>
        </w:rPr>
        <w:t xml:space="preserve"> is disproportionally high. Black people in Britain are six or seven times more likely than people of any other race to be stopped by police using stop search powers. This can create a negative rapport with diverse communities as they feel they are being mistreated by the police.  In order to combat the issues surrounding diversity and stop search powers, PACE Code of Practise A was </w:t>
      </w:r>
      <w:r w:rsidRPr="00B20E49">
        <w:rPr>
          <w:rFonts w:asciiTheme="minorHAnsi" w:hAnsiTheme="minorHAnsi" w:cs="Arial"/>
          <w:sz w:val="24"/>
          <w:szCs w:val="24"/>
        </w:rPr>
        <w:lastRenderedPageBreak/>
        <w:t>updated in 2015 following a consultation that took place with the home office regarding stop search powers. These modifications required officers to provide an explanation for their stop search in order to document the search. Additionally, the updated policy prevents officers from utilising a person’s characteristics as legitimate grounds for suspicion in order to support a search (GOV.UK, 2023). By utilizing these changes, this has improved engagement with diverse communities as they are aware the police searches are no longer biased based on their ethnic/cultural background.</w:t>
      </w:r>
    </w:p>
    <w:p w14:paraId="4926E3ED" w14:textId="77777777" w:rsidR="00B20E49" w:rsidRPr="00B20E49" w:rsidRDefault="00B20E49" w:rsidP="00B20E49">
      <w:pPr>
        <w:spacing w:line="257" w:lineRule="auto"/>
        <w:ind w:right="531"/>
        <w:rPr>
          <w:rFonts w:asciiTheme="minorHAnsi" w:hAnsiTheme="minorHAnsi" w:cs="Arial"/>
          <w:sz w:val="24"/>
          <w:szCs w:val="24"/>
        </w:rPr>
      </w:pPr>
    </w:p>
    <w:p w14:paraId="7402C799" w14:textId="77777777" w:rsidR="00B20E49" w:rsidRPr="00B20E49" w:rsidRDefault="00B20E49" w:rsidP="00B20E49">
      <w:pPr>
        <w:spacing w:line="257" w:lineRule="auto"/>
        <w:ind w:right="531"/>
        <w:rPr>
          <w:rFonts w:asciiTheme="minorHAnsi" w:hAnsiTheme="minorHAnsi" w:cs="Arial"/>
          <w:sz w:val="24"/>
          <w:szCs w:val="24"/>
        </w:rPr>
      </w:pPr>
      <w:r w:rsidRPr="00B20E49">
        <w:rPr>
          <w:rFonts w:asciiTheme="minorHAnsi" w:hAnsiTheme="minorHAnsi" w:cs="Arial"/>
          <w:sz w:val="24"/>
          <w:szCs w:val="24"/>
        </w:rPr>
        <w:t xml:space="preserve">In conclusion, diversity in the UK police force is essential for fostering community trust and improving the public’s perception of the police force. Although there has been an improvement, more work is required for the inclusion of officers in regard to hiring and promotions. Accepting diversity improves community safety and cohesiveness as well as the integrity of the police force. </w:t>
      </w:r>
    </w:p>
    <w:p w14:paraId="29B023E2" w14:textId="77777777" w:rsidR="00B20E49" w:rsidRPr="00B20E49" w:rsidRDefault="00B20E49" w:rsidP="00B20E49">
      <w:pPr>
        <w:spacing w:line="257" w:lineRule="auto"/>
        <w:ind w:right="531"/>
        <w:rPr>
          <w:rFonts w:asciiTheme="minorHAnsi" w:hAnsiTheme="minorHAnsi" w:cs="Arial"/>
          <w:sz w:val="24"/>
          <w:szCs w:val="24"/>
        </w:rPr>
      </w:pPr>
    </w:p>
    <w:p w14:paraId="655D4CC5" w14:textId="77777777" w:rsidR="00B20E49" w:rsidRPr="00B20E49" w:rsidRDefault="00B20E49" w:rsidP="00B20E49">
      <w:pPr>
        <w:spacing w:line="257" w:lineRule="auto"/>
        <w:ind w:right="531"/>
        <w:rPr>
          <w:rFonts w:asciiTheme="minorHAnsi" w:hAnsiTheme="minorHAnsi" w:cs="Arial"/>
          <w:sz w:val="24"/>
          <w:szCs w:val="24"/>
        </w:rPr>
      </w:pPr>
    </w:p>
    <w:p w14:paraId="47572032" w14:textId="5F5F40F3" w:rsidR="00B20E49" w:rsidRPr="00B20E49" w:rsidRDefault="00B20E49" w:rsidP="00B20E49">
      <w:pPr>
        <w:spacing w:line="257" w:lineRule="auto"/>
        <w:ind w:right="531"/>
        <w:rPr>
          <w:rFonts w:asciiTheme="minorHAnsi" w:hAnsiTheme="minorHAnsi" w:cs="Arial"/>
          <w:sz w:val="24"/>
          <w:szCs w:val="24"/>
        </w:rPr>
      </w:pPr>
      <w:r w:rsidRPr="00B20E49">
        <w:rPr>
          <w:rFonts w:asciiTheme="minorHAnsi" w:hAnsiTheme="minorHAnsi" w:cs="Arial"/>
          <w:sz w:val="24"/>
          <w:szCs w:val="24"/>
        </w:rPr>
        <w:t>Word Count – 9</w:t>
      </w:r>
      <w:r w:rsidR="002A482D">
        <w:rPr>
          <w:rFonts w:asciiTheme="minorHAnsi" w:hAnsiTheme="minorHAnsi" w:cs="Arial"/>
          <w:sz w:val="24"/>
          <w:szCs w:val="24"/>
        </w:rPr>
        <w:t>80</w:t>
      </w:r>
    </w:p>
    <w:p w14:paraId="747AF6F4" w14:textId="77777777" w:rsidR="00B20E49" w:rsidRPr="00B20E49" w:rsidRDefault="00B20E49" w:rsidP="00B20E49">
      <w:pPr>
        <w:spacing w:line="257" w:lineRule="auto"/>
        <w:ind w:right="531"/>
        <w:rPr>
          <w:rFonts w:asciiTheme="minorHAnsi" w:hAnsiTheme="minorHAnsi" w:cs="Arial"/>
          <w:sz w:val="24"/>
          <w:szCs w:val="24"/>
        </w:rPr>
      </w:pPr>
    </w:p>
    <w:p w14:paraId="2C60D1D9" w14:textId="77777777" w:rsidR="00B20E49" w:rsidRPr="00B20E49" w:rsidRDefault="00B20E49" w:rsidP="00B20E49">
      <w:pPr>
        <w:spacing w:line="257" w:lineRule="auto"/>
        <w:ind w:right="531"/>
        <w:rPr>
          <w:rFonts w:asciiTheme="minorHAnsi" w:hAnsiTheme="minorHAnsi" w:cs="Arial"/>
          <w:sz w:val="24"/>
          <w:szCs w:val="24"/>
        </w:rPr>
      </w:pPr>
    </w:p>
    <w:p w14:paraId="195F3831" w14:textId="77777777" w:rsidR="00B20E49" w:rsidRPr="00B20E49" w:rsidRDefault="00B20E49" w:rsidP="00B20E49">
      <w:pPr>
        <w:spacing w:line="257" w:lineRule="auto"/>
        <w:ind w:right="531"/>
        <w:rPr>
          <w:rFonts w:asciiTheme="minorHAnsi" w:hAnsiTheme="minorHAnsi" w:cs="Arial"/>
          <w:sz w:val="24"/>
          <w:szCs w:val="24"/>
        </w:rPr>
      </w:pPr>
    </w:p>
    <w:p w14:paraId="74FB78C7" w14:textId="77777777" w:rsidR="00B20E49" w:rsidRPr="00B20E49" w:rsidRDefault="00B20E49" w:rsidP="00B20E49">
      <w:pPr>
        <w:spacing w:line="257" w:lineRule="auto"/>
        <w:ind w:right="531"/>
        <w:rPr>
          <w:rFonts w:asciiTheme="minorHAnsi" w:hAnsiTheme="minorHAnsi" w:cs="Arial"/>
          <w:b/>
          <w:bCs/>
          <w:sz w:val="24"/>
          <w:szCs w:val="24"/>
          <w:u w:val="single"/>
        </w:rPr>
      </w:pPr>
      <w:r w:rsidRPr="00B20E49">
        <w:rPr>
          <w:rFonts w:asciiTheme="minorHAnsi" w:hAnsiTheme="minorHAnsi" w:cs="Arial"/>
          <w:b/>
          <w:bCs/>
          <w:sz w:val="24"/>
          <w:szCs w:val="24"/>
          <w:u w:val="single"/>
        </w:rPr>
        <w:t xml:space="preserve">References </w:t>
      </w:r>
    </w:p>
    <w:p w14:paraId="6E556759" w14:textId="77777777" w:rsidR="00B20E49" w:rsidRPr="00B20E49" w:rsidRDefault="00B20E49" w:rsidP="00B20E49">
      <w:pPr>
        <w:spacing w:line="257" w:lineRule="auto"/>
        <w:ind w:right="531"/>
        <w:rPr>
          <w:rFonts w:asciiTheme="minorHAnsi" w:hAnsiTheme="minorHAnsi" w:cs="Arial"/>
          <w:b/>
          <w:bCs/>
          <w:sz w:val="24"/>
          <w:szCs w:val="24"/>
          <w:u w:val="single"/>
        </w:rPr>
      </w:pPr>
    </w:p>
    <w:p w14:paraId="5D6AA150" w14:textId="77777777" w:rsidR="00B20E49" w:rsidRPr="00B20E49" w:rsidRDefault="00B20E49" w:rsidP="00B20E49">
      <w:pPr>
        <w:spacing w:line="257" w:lineRule="auto"/>
        <w:ind w:right="531"/>
        <w:rPr>
          <w:rFonts w:asciiTheme="minorHAnsi" w:hAnsiTheme="minorHAnsi" w:cs="Arial"/>
          <w:sz w:val="24"/>
          <w:szCs w:val="24"/>
        </w:rPr>
      </w:pPr>
      <w:r w:rsidRPr="00B20E49">
        <w:rPr>
          <w:rFonts w:asciiTheme="minorHAnsi" w:hAnsiTheme="minorHAnsi" w:cs="Arial"/>
          <w:sz w:val="24"/>
          <w:szCs w:val="24"/>
        </w:rPr>
        <w:t>Aleksandra Thomson and Rachael Gooberman-Hill (2024) </w:t>
      </w:r>
      <w:r w:rsidRPr="00B20E49">
        <w:rPr>
          <w:rFonts w:asciiTheme="minorHAnsi" w:hAnsiTheme="minorHAnsi" w:cs="Arial"/>
          <w:i/>
          <w:iCs/>
          <w:sz w:val="24"/>
          <w:szCs w:val="24"/>
        </w:rPr>
        <w:t>Nurturing Equality, Diversity and Inclusion</w:t>
      </w:r>
      <w:r w:rsidRPr="00B20E49">
        <w:rPr>
          <w:rFonts w:ascii="Arial" w:hAnsi="Arial" w:cs="Arial"/>
          <w:i/>
          <w:iCs/>
          <w:sz w:val="24"/>
          <w:szCs w:val="24"/>
        </w:rPr>
        <w:t> </w:t>
      </w:r>
      <w:r w:rsidRPr="00B20E49">
        <w:rPr>
          <w:rFonts w:asciiTheme="minorHAnsi" w:hAnsiTheme="minorHAnsi" w:cs="Arial"/>
          <w:i/>
          <w:iCs/>
          <w:sz w:val="24"/>
          <w:szCs w:val="24"/>
        </w:rPr>
        <w:t>: Support for Research Careers in Health and Biomedicine</w:t>
      </w:r>
      <w:r w:rsidRPr="00B20E49">
        <w:rPr>
          <w:rFonts w:asciiTheme="minorHAnsi" w:hAnsiTheme="minorHAnsi" w:cs="Arial"/>
          <w:sz w:val="24"/>
          <w:szCs w:val="24"/>
        </w:rPr>
        <w:t>. Bristol: Policy Press. Available at: https://research-ebsco-com.ezproxy.uwtsd.ac.uk/linkprocessor/plink?id=6c26f377-e5df-3bf0-83c1-ac012151ebc3 (Accessed: 27 June 2025).</w:t>
      </w:r>
    </w:p>
    <w:p w14:paraId="5EBB6E20" w14:textId="77777777" w:rsidR="00B20E49" w:rsidRPr="00B20E49" w:rsidRDefault="00B20E49" w:rsidP="00B20E49">
      <w:pPr>
        <w:spacing w:line="257" w:lineRule="auto"/>
        <w:ind w:right="531"/>
        <w:rPr>
          <w:rFonts w:asciiTheme="minorHAnsi" w:hAnsiTheme="minorHAnsi" w:cs="Arial"/>
          <w:sz w:val="24"/>
          <w:szCs w:val="24"/>
        </w:rPr>
      </w:pPr>
    </w:p>
    <w:p w14:paraId="577CA953" w14:textId="77777777" w:rsidR="00B20E49" w:rsidRPr="00B20E49" w:rsidRDefault="00B20E49" w:rsidP="00B20E49">
      <w:pPr>
        <w:spacing w:line="257" w:lineRule="auto"/>
        <w:ind w:right="531"/>
        <w:rPr>
          <w:rFonts w:asciiTheme="minorHAnsi" w:hAnsiTheme="minorHAnsi" w:cs="Arial"/>
          <w:sz w:val="24"/>
          <w:szCs w:val="24"/>
        </w:rPr>
      </w:pPr>
      <w:r w:rsidRPr="00B20E49">
        <w:rPr>
          <w:rFonts w:asciiTheme="minorHAnsi" w:hAnsiTheme="minorHAnsi" w:cs="Arial"/>
          <w:sz w:val="24"/>
          <w:szCs w:val="24"/>
        </w:rPr>
        <w:t xml:space="preserve">College of Policing (2017) </w:t>
      </w:r>
      <w:r w:rsidRPr="00B20E49">
        <w:rPr>
          <w:rFonts w:asciiTheme="minorHAnsi" w:hAnsiTheme="minorHAnsi" w:cs="Arial"/>
          <w:i/>
          <w:iCs/>
          <w:sz w:val="24"/>
          <w:szCs w:val="24"/>
        </w:rPr>
        <w:t>Stop and search | college of policing</w:t>
      </w:r>
      <w:r w:rsidRPr="00B20E49">
        <w:rPr>
          <w:rFonts w:asciiTheme="minorHAnsi" w:hAnsiTheme="minorHAnsi" w:cs="Arial"/>
          <w:sz w:val="24"/>
          <w:szCs w:val="24"/>
        </w:rPr>
        <w:t xml:space="preserve">, </w:t>
      </w:r>
      <w:r w:rsidRPr="00B20E49">
        <w:rPr>
          <w:rFonts w:asciiTheme="minorHAnsi" w:hAnsiTheme="minorHAnsi" w:cs="Arial"/>
          <w:i/>
          <w:iCs/>
          <w:sz w:val="24"/>
          <w:szCs w:val="24"/>
        </w:rPr>
        <w:t>Stop and Search</w:t>
      </w:r>
      <w:r w:rsidRPr="00B20E49">
        <w:rPr>
          <w:rFonts w:asciiTheme="minorHAnsi" w:hAnsiTheme="minorHAnsi" w:cs="Arial"/>
          <w:sz w:val="24"/>
          <w:szCs w:val="24"/>
        </w:rPr>
        <w:t xml:space="preserve">. Available at: https://www.college.police.uk/app/stop-and-search/stop-and-search (Accessed: 30 June 2025). </w:t>
      </w:r>
    </w:p>
    <w:p w14:paraId="6478BDFA" w14:textId="77777777" w:rsidR="00B20E49" w:rsidRPr="00B20E49" w:rsidRDefault="00B20E49" w:rsidP="00B20E49">
      <w:pPr>
        <w:spacing w:line="257" w:lineRule="auto"/>
        <w:ind w:right="531"/>
        <w:rPr>
          <w:rFonts w:asciiTheme="minorHAnsi" w:hAnsiTheme="minorHAnsi" w:cs="Arial"/>
          <w:sz w:val="24"/>
          <w:szCs w:val="24"/>
        </w:rPr>
      </w:pPr>
    </w:p>
    <w:p w14:paraId="071CFE15" w14:textId="77777777" w:rsidR="00B20E49" w:rsidRPr="00B20E49" w:rsidRDefault="00B20E49" w:rsidP="00B20E49">
      <w:pPr>
        <w:spacing w:line="257" w:lineRule="auto"/>
        <w:ind w:right="531"/>
        <w:rPr>
          <w:rFonts w:asciiTheme="minorHAnsi" w:hAnsiTheme="minorHAnsi" w:cs="Arial"/>
          <w:sz w:val="24"/>
          <w:szCs w:val="24"/>
        </w:rPr>
      </w:pPr>
      <w:r w:rsidRPr="00B20E49">
        <w:rPr>
          <w:rFonts w:asciiTheme="minorHAnsi" w:hAnsiTheme="minorHAnsi" w:cs="Arial"/>
          <w:sz w:val="24"/>
          <w:szCs w:val="24"/>
        </w:rPr>
        <w:t xml:space="preserve">Farrell, C. and Barao, L. (2022) ‘Police officer perceptions of diversity efforts: A disconnect between the goals and the methods’, </w:t>
      </w:r>
      <w:r w:rsidRPr="00B20E49">
        <w:rPr>
          <w:rFonts w:asciiTheme="minorHAnsi" w:hAnsiTheme="minorHAnsi" w:cs="Arial"/>
          <w:i/>
          <w:iCs/>
          <w:sz w:val="24"/>
          <w:szCs w:val="24"/>
        </w:rPr>
        <w:t>Police Practice and Research</w:t>
      </w:r>
      <w:r w:rsidRPr="00B20E49">
        <w:rPr>
          <w:rFonts w:asciiTheme="minorHAnsi" w:hAnsiTheme="minorHAnsi" w:cs="Arial"/>
          <w:sz w:val="24"/>
          <w:szCs w:val="24"/>
        </w:rPr>
        <w:t xml:space="preserve">, 24(2), pp. 216–231. doi:10.1080/15614263.2022.2098127. </w:t>
      </w:r>
    </w:p>
    <w:p w14:paraId="7E4C326F" w14:textId="77777777" w:rsidR="00B20E49" w:rsidRPr="00B20E49" w:rsidRDefault="00B20E49" w:rsidP="00B20E49">
      <w:pPr>
        <w:spacing w:line="257" w:lineRule="auto"/>
        <w:ind w:right="531"/>
        <w:rPr>
          <w:rFonts w:asciiTheme="minorHAnsi" w:hAnsiTheme="minorHAnsi" w:cs="Arial"/>
          <w:sz w:val="24"/>
          <w:szCs w:val="24"/>
        </w:rPr>
      </w:pPr>
    </w:p>
    <w:p w14:paraId="4C37BF1D" w14:textId="1D165095" w:rsidR="00B20E49" w:rsidRPr="00B20E49" w:rsidRDefault="00B20E49" w:rsidP="00B20E49">
      <w:pPr>
        <w:spacing w:line="257" w:lineRule="auto"/>
        <w:ind w:right="531"/>
        <w:rPr>
          <w:rFonts w:asciiTheme="minorHAnsi" w:hAnsiTheme="minorHAnsi" w:cs="Arial"/>
          <w:sz w:val="24"/>
          <w:szCs w:val="24"/>
        </w:rPr>
      </w:pPr>
      <w:r w:rsidRPr="00B20E49">
        <w:rPr>
          <w:rFonts w:asciiTheme="minorHAnsi" w:hAnsiTheme="minorHAnsi" w:cs="Arial"/>
          <w:sz w:val="24"/>
          <w:szCs w:val="24"/>
        </w:rPr>
        <w:t>FitzGerald, M., &amp; Sibbit, R. (1997). Ethnic</w:t>
      </w:r>
      <w:r w:rsidR="002A482D">
        <w:rPr>
          <w:rFonts w:asciiTheme="minorHAnsi" w:hAnsiTheme="minorHAnsi" w:cs="Arial"/>
          <w:sz w:val="24"/>
          <w:szCs w:val="24"/>
        </w:rPr>
        <w:t xml:space="preserve"> </w:t>
      </w:r>
      <w:r w:rsidRPr="00B20E49">
        <w:rPr>
          <w:rFonts w:asciiTheme="minorHAnsi" w:hAnsiTheme="minorHAnsi" w:cs="Arial"/>
          <w:sz w:val="24"/>
          <w:szCs w:val="24"/>
        </w:rPr>
        <w:t>monitoring in police forces: A research beginning,</w:t>
      </w:r>
      <w:r w:rsidR="002A482D">
        <w:rPr>
          <w:rFonts w:asciiTheme="minorHAnsi" w:hAnsiTheme="minorHAnsi" w:cs="Arial"/>
          <w:sz w:val="24"/>
          <w:szCs w:val="24"/>
        </w:rPr>
        <w:t xml:space="preserve"> </w:t>
      </w:r>
      <w:r w:rsidRPr="00B20E49">
        <w:rPr>
          <w:rFonts w:asciiTheme="minorHAnsi" w:hAnsiTheme="minorHAnsi" w:cs="Arial"/>
          <w:sz w:val="24"/>
          <w:szCs w:val="24"/>
        </w:rPr>
        <w:t>Research Study 173. London: HomeOfﬁce</w:t>
      </w:r>
      <w:r w:rsidR="002A482D">
        <w:rPr>
          <w:rFonts w:asciiTheme="minorHAnsi" w:hAnsiTheme="minorHAnsi" w:cs="Arial"/>
          <w:sz w:val="24"/>
          <w:szCs w:val="24"/>
        </w:rPr>
        <w:t>f</w:t>
      </w:r>
      <w:r w:rsidR="00437738">
        <w:rPr>
          <w:rFonts w:asciiTheme="minorHAnsi" w:hAnsiTheme="minorHAnsi" w:cs="Arial"/>
          <w:sz w:val="24"/>
          <w:szCs w:val="24"/>
        </w:rPr>
        <w:t>fi</w:t>
      </w:r>
    </w:p>
    <w:p w14:paraId="11AB9FDE" w14:textId="77777777" w:rsidR="00B20E49" w:rsidRPr="00B20E49" w:rsidRDefault="00B20E49" w:rsidP="00B20E49">
      <w:pPr>
        <w:spacing w:line="257" w:lineRule="auto"/>
        <w:ind w:right="531"/>
        <w:rPr>
          <w:rFonts w:asciiTheme="minorHAnsi" w:hAnsiTheme="minorHAnsi" w:cs="Arial"/>
          <w:sz w:val="24"/>
          <w:szCs w:val="24"/>
        </w:rPr>
      </w:pPr>
    </w:p>
    <w:p w14:paraId="0020C372" w14:textId="77777777" w:rsidR="00B20E49" w:rsidRPr="00B20E49" w:rsidRDefault="00B20E49" w:rsidP="00B20E49">
      <w:pPr>
        <w:spacing w:line="257" w:lineRule="auto"/>
        <w:ind w:right="531"/>
        <w:rPr>
          <w:rFonts w:asciiTheme="minorHAnsi" w:hAnsiTheme="minorHAnsi" w:cs="Arial"/>
          <w:sz w:val="24"/>
          <w:szCs w:val="24"/>
        </w:rPr>
      </w:pPr>
      <w:r w:rsidRPr="00B20E49">
        <w:rPr>
          <w:rFonts w:asciiTheme="minorHAnsi" w:hAnsiTheme="minorHAnsi" w:cs="Arial"/>
          <w:sz w:val="24"/>
          <w:szCs w:val="24"/>
        </w:rPr>
        <w:t>FRA (2021) </w:t>
      </w:r>
      <w:r w:rsidRPr="00B20E49">
        <w:rPr>
          <w:rFonts w:asciiTheme="minorHAnsi" w:hAnsiTheme="minorHAnsi" w:cs="Arial"/>
          <w:i/>
          <w:iCs/>
          <w:sz w:val="24"/>
          <w:szCs w:val="24"/>
        </w:rPr>
        <w:t>Your Rights Matter: Police Stops (Fundamental Rights Survey)</w:t>
      </w:r>
      <w:r w:rsidRPr="00B20E49">
        <w:rPr>
          <w:rFonts w:asciiTheme="minorHAnsi" w:hAnsiTheme="minorHAnsi" w:cs="Arial"/>
          <w:sz w:val="24"/>
          <w:szCs w:val="24"/>
        </w:rPr>
        <w:t>. Luxembourg: European Union Agency for Fundamental Rights (FRA). Available at: </w:t>
      </w:r>
      <w:hyperlink r:id="rId4" w:history="1">
        <w:r w:rsidRPr="00B20E49">
          <w:rPr>
            <w:rStyle w:val="Hyperlink"/>
            <w:rFonts w:asciiTheme="minorHAnsi" w:hAnsiTheme="minorHAnsi" w:cs="Arial"/>
            <w:sz w:val="24"/>
            <w:szCs w:val="24"/>
          </w:rPr>
          <w:t>https://fra.europa.eu/en/publication/2021/fundamental-rights-survey-police-stops</w:t>
        </w:r>
      </w:hyperlink>
      <w:r w:rsidRPr="00B20E49">
        <w:rPr>
          <w:rFonts w:asciiTheme="minorHAnsi" w:hAnsiTheme="minorHAnsi" w:cs="Arial"/>
          <w:sz w:val="24"/>
          <w:szCs w:val="24"/>
        </w:rPr>
        <w:t>.</w:t>
      </w:r>
    </w:p>
    <w:p w14:paraId="03F69DF2" w14:textId="77777777" w:rsidR="00B20E49" w:rsidRPr="00B20E49" w:rsidRDefault="00B20E49" w:rsidP="00B20E49">
      <w:pPr>
        <w:spacing w:line="257" w:lineRule="auto"/>
        <w:ind w:right="531"/>
        <w:rPr>
          <w:rFonts w:asciiTheme="minorHAnsi" w:hAnsiTheme="minorHAnsi" w:cs="Arial"/>
          <w:sz w:val="24"/>
          <w:szCs w:val="24"/>
        </w:rPr>
      </w:pPr>
    </w:p>
    <w:p w14:paraId="271602DE" w14:textId="77777777" w:rsidR="00B20E49" w:rsidRPr="00B20E49" w:rsidRDefault="00B20E49" w:rsidP="00B20E49">
      <w:pPr>
        <w:spacing w:line="257" w:lineRule="auto"/>
        <w:ind w:right="531"/>
        <w:rPr>
          <w:rFonts w:asciiTheme="minorHAnsi" w:hAnsiTheme="minorHAnsi" w:cs="Arial"/>
          <w:sz w:val="24"/>
          <w:szCs w:val="24"/>
        </w:rPr>
      </w:pPr>
      <w:r w:rsidRPr="00B20E49">
        <w:rPr>
          <w:rFonts w:asciiTheme="minorHAnsi" w:hAnsiTheme="minorHAnsi" w:cs="Arial"/>
          <w:sz w:val="24"/>
          <w:szCs w:val="24"/>
        </w:rPr>
        <w:lastRenderedPageBreak/>
        <w:t xml:space="preserve">GOV.UK (2023) </w:t>
      </w:r>
      <w:r w:rsidRPr="00B20E49">
        <w:rPr>
          <w:rFonts w:asciiTheme="minorHAnsi" w:hAnsiTheme="minorHAnsi" w:cs="Arial"/>
          <w:i/>
          <w:iCs/>
          <w:sz w:val="24"/>
          <w:szCs w:val="24"/>
        </w:rPr>
        <w:t>Pace code A 2015</w:t>
      </w:r>
      <w:r w:rsidRPr="00B20E49">
        <w:rPr>
          <w:rFonts w:asciiTheme="minorHAnsi" w:hAnsiTheme="minorHAnsi" w:cs="Arial"/>
          <w:sz w:val="24"/>
          <w:szCs w:val="24"/>
        </w:rPr>
        <w:t xml:space="preserve">, </w:t>
      </w:r>
      <w:r w:rsidRPr="00B20E49">
        <w:rPr>
          <w:rFonts w:asciiTheme="minorHAnsi" w:hAnsiTheme="minorHAnsi" w:cs="Arial"/>
          <w:i/>
          <w:iCs/>
          <w:sz w:val="24"/>
          <w:szCs w:val="24"/>
        </w:rPr>
        <w:t>GOV.UK</w:t>
      </w:r>
      <w:r w:rsidRPr="00B20E49">
        <w:rPr>
          <w:rFonts w:asciiTheme="minorHAnsi" w:hAnsiTheme="minorHAnsi" w:cs="Arial"/>
          <w:sz w:val="24"/>
          <w:szCs w:val="24"/>
        </w:rPr>
        <w:t xml:space="preserve">. Available at: https://www.gov.uk/government/publications/pace-code-a-2015 (Accessed: 30 June 2025). </w:t>
      </w:r>
    </w:p>
    <w:p w14:paraId="1278B81C" w14:textId="77777777" w:rsidR="00B20E49" w:rsidRPr="00B20E49" w:rsidRDefault="00B20E49" w:rsidP="00B20E49">
      <w:pPr>
        <w:spacing w:line="257" w:lineRule="auto"/>
        <w:ind w:right="531"/>
        <w:rPr>
          <w:rFonts w:asciiTheme="minorHAnsi" w:hAnsiTheme="minorHAnsi" w:cs="Arial"/>
          <w:sz w:val="24"/>
          <w:szCs w:val="24"/>
        </w:rPr>
      </w:pPr>
    </w:p>
    <w:p w14:paraId="3C3BB2F9" w14:textId="77777777" w:rsidR="00B20E49" w:rsidRPr="00B20E49" w:rsidRDefault="00B20E49" w:rsidP="00B20E49">
      <w:pPr>
        <w:spacing w:line="257" w:lineRule="auto"/>
        <w:ind w:right="531"/>
        <w:rPr>
          <w:rFonts w:asciiTheme="minorHAnsi" w:hAnsiTheme="minorHAnsi" w:cs="Arial"/>
          <w:sz w:val="24"/>
          <w:szCs w:val="24"/>
        </w:rPr>
      </w:pPr>
      <w:r w:rsidRPr="00B20E49">
        <w:rPr>
          <w:rFonts w:asciiTheme="minorHAnsi" w:hAnsiTheme="minorHAnsi" w:cs="Arial"/>
          <w:sz w:val="24"/>
          <w:szCs w:val="24"/>
        </w:rPr>
        <w:t>Haarr, R. N., &amp; Morash, M. (1999). Gender, race, and strategies of coping with occupational stress in policing. </w:t>
      </w:r>
      <w:r w:rsidRPr="00B20E49">
        <w:rPr>
          <w:rFonts w:asciiTheme="minorHAnsi" w:hAnsiTheme="minorHAnsi" w:cs="Arial"/>
          <w:i/>
          <w:iCs/>
          <w:sz w:val="24"/>
          <w:szCs w:val="24"/>
        </w:rPr>
        <w:t>Justice Quarterly</w:t>
      </w:r>
      <w:r w:rsidRPr="00B20E49">
        <w:rPr>
          <w:rFonts w:asciiTheme="minorHAnsi" w:hAnsiTheme="minorHAnsi" w:cs="Arial"/>
          <w:sz w:val="24"/>
          <w:szCs w:val="24"/>
        </w:rPr>
        <w:t xml:space="preserve">, 16(2), 303–336. </w:t>
      </w:r>
      <w:hyperlink r:id="rId5" w:history="1">
        <w:r w:rsidRPr="00B20E49">
          <w:rPr>
            <w:rStyle w:val="Hyperlink"/>
            <w:rFonts w:asciiTheme="minorHAnsi" w:hAnsiTheme="minorHAnsi" w:cs="Arial"/>
            <w:sz w:val="24"/>
            <w:szCs w:val="24"/>
          </w:rPr>
          <w:t>https://doi-org.ezproxy.uwtsd.ac.uk/10.1080/07418829900094151</w:t>
        </w:r>
      </w:hyperlink>
    </w:p>
    <w:p w14:paraId="594DBD67" w14:textId="77777777" w:rsidR="00B20E49" w:rsidRPr="00B20E49" w:rsidRDefault="00B20E49" w:rsidP="00B20E49">
      <w:pPr>
        <w:spacing w:line="257" w:lineRule="auto"/>
        <w:ind w:right="531"/>
        <w:rPr>
          <w:rFonts w:asciiTheme="minorHAnsi" w:hAnsiTheme="minorHAnsi" w:cs="Arial"/>
          <w:sz w:val="24"/>
          <w:szCs w:val="24"/>
        </w:rPr>
      </w:pPr>
    </w:p>
    <w:p w14:paraId="166810C1" w14:textId="77777777" w:rsidR="00B20E49" w:rsidRPr="00B20E49" w:rsidRDefault="00B20E49" w:rsidP="00B20E49">
      <w:pPr>
        <w:spacing w:line="257" w:lineRule="auto"/>
        <w:ind w:right="531"/>
        <w:rPr>
          <w:rFonts w:asciiTheme="minorHAnsi" w:hAnsiTheme="minorHAnsi" w:cs="Arial"/>
          <w:sz w:val="24"/>
          <w:szCs w:val="24"/>
        </w:rPr>
      </w:pPr>
      <w:r w:rsidRPr="00B20E49">
        <w:rPr>
          <w:rFonts w:asciiTheme="minorHAnsi" w:hAnsiTheme="minorHAnsi" w:cs="Arial"/>
          <w:i/>
          <w:iCs/>
          <w:sz w:val="24"/>
          <w:szCs w:val="24"/>
        </w:rPr>
        <w:t>Police workforce</w:t>
      </w:r>
      <w:r w:rsidRPr="00B20E49">
        <w:rPr>
          <w:rFonts w:asciiTheme="minorHAnsi" w:hAnsiTheme="minorHAnsi" w:cs="Arial"/>
          <w:sz w:val="24"/>
          <w:szCs w:val="24"/>
        </w:rPr>
        <w:t xml:space="preserve"> (2023) </w:t>
      </w:r>
      <w:r w:rsidRPr="00B20E49">
        <w:rPr>
          <w:rFonts w:asciiTheme="minorHAnsi" w:hAnsiTheme="minorHAnsi" w:cs="Arial"/>
          <w:i/>
          <w:iCs/>
          <w:sz w:val="24"/>
          <w:szCs w:val="24"/>
        </w:rPr>
        <w:t>GOV.UK Ethnicity facts and figures</w:t>
      </w:r>
      <w:r w:rsidRPr="00B20E49">
        <w:rPr>
          <w:rFonts w:asciiTheme="minorHAnsi" w:hAnsiTheme="minorHAnsi" w:cs="Arial"/>
          <w:sz w:val="24"/>
          <w:szCs w:val="24"/>
        </w:rPr>
        <w:t>. Available at: https://www.ethnicity-facts-figures.service.gov.uk/workforce-and-business/workforce-diversity/police-workforce/latest/ (Accessed: 30</w:t>
      </w:r>
      <w:r w:rsidRPr="00B20E49">
        <w:rPr>
          <w:rFonts w:asciiTheme="minorHAnsi" w:hAnsiTheme="minorHAnsi" w:cs="Arial"/>
          <w:sz w:val="24"/>
          <w:szCs w:val="24"/>
          <w:vertAlign w:val="superscript"/>
        </w:rPr>
        <w:t>th</w:t>
      </w:r>
      <w:r w:rsidRPr="00B20E49">
        <w:rPr>
          <w:rFonts w:asciiTheme="minorHAnsi" w:hAnsiTheme="minorHAnsi" w:cs="Arial"/>
          <w:sz w:val="24"/>
          <w:szCs w:val="24"/>
        </w:rPr>
        <w:t xml:space="preserve"> June 2025). </w:t>
      </w:r>
    </w:p>
    <w:p w14:paraId="31578B04" w14:textId="77777777" w:rsidR="00B20E49" w:rsidRPr="00B20E49" w:rsidRDefault="00B20E49" w:rsidP="00B20E49">
      <w:pPr>
        <w:spacing w:line="257" w:lineRule="auto"/>
        <w:ind w:right="531"/>
        <w:rPr>
          <w:rFonts w:asciiTheme="minorHAnsi" w:hAnsiTheme="minorHAnsi" w:cs="Arial"/>
          <w:sz w:val="24"/>
          <w:szCs w:val="24"/>
        </w:rPr>
      </w:pPr>
    </w:p>
    <w:p w14:paraId="067CD633" w14:textId="77777777" w:rsidR="00B20E49" w:rsidRPr="00B20E49" w:rsidRDefault="00B20E49" w:rsidP="00B20E49">
      <w:pPr>
        <w:spacing w:line="257" w:lineRule="auto"/>
        <w:ind w:right="531"/>
        <w:rPr>
          <w:rFonts w:asciiTheme="minorHAnsi" w:hAnsiTheme="minorHAnsi" w:cs="Arial"/>
          <w:sz w:val="24"/>
          <w:szCs w:val="24"/>
        </w:rPr>
      </w:pPr>
      <w:r w:rsidRPr="00B20E49">
        <w:rPr>
          <w:rFonts w:asciiTheme="minorHAnsi" w:hAnsiTheme="minorHAnsi" w:cs="Arial"/>
          <w:sz w:val="24"/>
          <w:szCs w:val="24"/>
        </w:rPr>
        <w:t xml:space="preserve">Rowe, M. (2002) ‘Policing diversity: Themes and concerns from the recent British experience’, </w:t>
      </w:r>
      <w:r w:rsidRPr="00B20E49">
        <w:rPr>
          <w:rFonts w:asciiTheme="minorHAnsi" w:hAnsiTheme="minorHAnsi" w:cs="Arial"/>
          <w:i/>
          <w:iCs/>
          <w:sz w:val="24"/>
          <w:szCs w:val="24"/>
        </w:rPr>
        <w:t>Police Quarterly</w:t>
      </w:r>
      <w:r w:rsidRPr="00B20E49">
        <w:rPr>
          <w:rFonts w:asciiTheme="minorHAnsi" w:hAnsiTheme="minorHAnsi" w:cs="Arial"/>
          <w:sz w:val="24"/>
          <w:szCs w:val="24"/>
        </w:rPr>
        <w:t xml:space="preserve">, 5(4), pp. 424–446. doi:10.1177/109861102237689. </w:t>
      </w:r>
    </w:p>
    <w:p w14:paraId="7E320969" w14:textId="77777777" w:rsidR="00B20E49" w:rsidRPr="00B20E49" w:rsidRDefault="00B20E49" w:rsidP="00B20E49">
      <w:pPr>
        <w:spacing w:line="257" w:lineRule="auto"/>
        <w:ind w:right="531"/>
        <w:rPr>
          <w:rFonts w:asciiTheme="minorHAnsi" w:hAnsiTheme="minorHAnsi" w:cs="Arial"/>
          <w:sz w:val="24"/>
          <w:szCs w:val="24"/>
        </w:rPr>
      </w:pPr>
      <w:r w:rsidRPr="00B20E49">
        <w:rPr>
          <w:rFonts w:asciiTheme="minorHAnsi" w:hAnsiTheme="minorHAnsi" w:cs="Arial"/>
          <w:sz w:val="24"/>
          <w:szCs w:val="24"/>
        </w:rPr>
        <w:t>Schuck, A. M., &amp; Rabe-Hemp, C. (2005). Women police: The use of force by and against female officers. </w:t>
      </w:r>
      <w:r w:rsidRPr="00B20E49">
        <w:rPr>
          <w:rFonts w:asciiTheme="minorHAnsi" w:hAnsiTheme="minorHAnsi" w:cs="Arial"/>
          <w:i/>
          <w:iCs/>
          <w:sz w:val="24"/>
          <w:szCs w:val="24"/>
        </w:rPr>
        <w:t>Women &amp; Criminal Justice</w:t>
      </w:r>
      <w:r w:rsidRPr="00B20E49">
        <w:rPr>
          <w:rFonts w:asciiTheme="minorHAnsi" w:hAnsiTheme="minorHAnsi" w:cs="Arial"/>
          <w:sz w:val="24"/>
          <w:szCs w:val="24"/>
        </w:rPr>
        <w:t xml:space="preserve">, 16(4), 91–117. </w:t>
      </w:r>
      <w:hyperlink r:id="rId6" w:history="1">
        <w:r w:rsidRPr="00B20E49">
          <w:rPr>
            <w:rStyle w:val="Hyperlink"/>
            <w:rFonts w:asciiTheme="minorHAnsi" w:hAnsiTheme="minorHAnsi" w:cs="Arial"/>
            <w:sz w:val="24"/>
            <w:szCs w:val="24"/>
          </w:rPr>
          <w:t>https://doi-org.ezproxy.uwtsd.ac.uk/10.1300/J012v16n04_05</w:t>
        </w:r>
      </w:hyperlink>
    </w:p>
    <w:p w14:paraId="60A00BC3" w14:textId="77777777" w:rsidR="00B20E49" w:rsidRPr="00B20E49" w:rsidRDefault="00B20E49" w:rsidP="00B20E49">
      <w:pPr>
        <w:spacing w:line="257" w:lineRule="auto"/>
        <w:ind w:right="531"/>
        <w:rPr>
          <w:rFonts w:asciiTheme="minorHAnsi" w:hAnsiTheme="minorHAnsi" w:cs="Arial"/>
          <w:sz w:val="24"/>
          <w:szCs w:val="24"/>
        </w:rPr>
      </w:pPr>
    </w:p>
    <w:p w14:paraId="76F0132D" w14:textId="77777777" w:rsidR="00B20E49" w:rsidRPr="00B20E49" w:rsidRDefault="00B20E49" w:rsidP="00B20E49">
      <w:pPr>
        <w:spacing w:line="257" w:lineRule="auto"/>
        <w:ind w:right="531"/>
        <w:rPr>
          <w:rFonts w:asciiTheme="minorHAnsi" w:hAnsiTheme="minorHAnsi" w:cs="Arial"/>
          <w:sz w:val="24"/>
          <w:szCs w:val="24"/>
        </w:rPr>
      </w:pPr>
      <w:r w:rsidRPr="00B20E49">
        <w:rPr>
          <w:rFonts w:asciiTheme="minorHAnsi" w:hAnsiTheme="minorHAnsi" w:cs="Arial"/>
          <w:sz w:val="24"/>
          <w:szCs w:val="24"/>
        </w:rPr>
        <w:t xml:space="preserve">South Wales Police (2025) </w:t>
      </w:r>
      <w:r w:rsidRPr="00B20E49">
        <w:rPr>
          <w:rFonts w:asciiTheme="minorHAnsi" w:hAnsiTheme="minorHAnsi" w:cs="Arial"/>
          <w:i/>
          <w:iCs/>
          <w:sz w:val="24"/>
          <w:szCs w:val="24"/>
        </w:rPr>
        <w:t>South Wales Police, bursary scheme for ethnic minorities</w:t>
      </w:r>
      <w:r w:rsidRPr="00B20E49">
        <w:rPr>
          <w:rFonts w:asciiTheme="minorHAnsi" w:hAnsiTheme="minorHAnsi" w:cs="Arial"/>
          <w:sz w:val="24"/>
          <w:szCs w:val="24"/>
        </w:rPr>
        <w:t xml:space="preserve"> </w:t>
      </w:r>
      <w:r w:rsidRPr="00B20E49">
        <w:rPr>
          <w:rFonts w:asciiTheme="minorHAnsi" w:hAnsiTheme="minorHAnsi" w:cs="Arial"/>
          <w:i/>
          <w:iCs/>
          <w:sz w:val="24"/>
          <w:szCs w:val="24"/>
        </w:rPr>
        <w:t>South Wales Police, Bursary Scheme for ethnic minorities for the Degree in  Professional Policing</w:t>
      </w:r>
      <w:r w:rsidRPr="00B20E49">
        <w:rPr>
          <w:rFonts w:asciiTheme="minorHAnsi" w:hAnsiTheme="minorHAnsi" w:cs="Arial"/>
          <w:sz w:val="24"/>
          <w:szCs w:val="24"/>
        </w:rPr>
        <w:t xml:space="preserve">. Available at: https://www.south-wales.police.uk/SysSiteAssets/media/downloads/south-wales/about-us/careers/hr-documents/bursary-terms-of-reference-_-privacy-final.pdf (Accessed: 30 June 2025). </w:t>
      </w:r>
    </w:p>
    <w:p w14:paraId="731C8F4B" w14:textId="77777777" w:rsidR="00B20E49" w:rsidRPr="00B20E49" w:rsidRDefault="00B20E49" w:rsidP="00B20E49">
      <w:pPr>
        <w:spacing w:line="257" w:lineRule="auto"/>
        <w:ind w:right="531"/>
        <w:rPr>
          <w:rFonts w:asciiTheme="minorHAnsi" w:hAnsiTheme="minorHAnsi" w:cs="Arial"/>
          <w:sz w:val="24"/>
          <w:szCs w:val="24"/>
        </w:rPr>
      </w:pPr>
    </w:p>
    <w:p w14:paraId="29B22A75" w14:textId="77777777" w:rsidR="00B20E49" w:rsidRPr="00B20E49" w:rsidRDefault="00B20E49" w:rsidP="00B20E49">
      <w:pPr>
        <w:spacing w:line="257" w:lineRule="auto"/>
        <w:ind w:right="531"/>
        <w:rPr>
          <w:rFonts w:asciiTheme="minorHAnsi" w:hAnsiTheme="minorHAnsi" w:cs="Arial"/>
          <w:sz w:val="24"/>
          <w:szCs w:val="24"/>
        </w:rPr>
      </w:pPr>
      <w:r w:rsidRPr="00B20E49">
        <w:rPr>
          <w:rFonts w:asciiTheme="minorHAnsi" w:hAnsiTheme="minorHAnsi" w:cs="Arial"/>
          <w:sz w:val="24"/>
          <w:szCs w:val="24"/>
        </w:rPr>
        <w:t xml:space="preserve">Statista (2025) </w:t>
      </w:r>
      <w:r w:rsidRPr="00B20E49">
        <w:rPr>
          <w:rFonts w:asciiTheme="minorHAnsi" w:hAnsiTheme="minorHAnsi" w:cs="Arial"/>
          <w:i/>
          <w:iCs/>
          <w:sz w:val="24"/>
          <w:szCs w:val="24"/>
        </w:rPr>
        <w:t>Police rank distribution England and Wales by gender 2024</w:t>
      </w:r>
      <w:r w:rsidRPr="00B20E49">
        <w:rPr>
          <w:rFonts w:asciiTheme="minorHAnsi" w:hAnsiTheme="minorHAnsi" w:cs="Arial"/>
          <w:sz w:val="24"/>
          <w:szCs w:val="24"/>
        </w:rPr>
        <w:t xml:space="preserve">, </w:t>
      </w:r>
      <w:r w:rsidRPr="00B20E49">
        <w:rPr>
          <w:rFonts w:asciiTheme="minorHAnsi" w:hAnsiTheme="minorHAnsi" w:cs="Arial"/>
          <w:i/>
          <w:iCs/>
          <w:sz w:val="24"/>
          <w:szCs w:val="24"/>
        </w:rPr>
        <w:t>Distribution of police ranks in England and Wales in 2024, by gender</w:t>
      </w:r>
      <w:r w:rsidRPr="00B20E49">
        <w:rPr>
          <w:rFonts w:asciiTheme="minorHAnsi" w:hAnsiTheme="minorHAnsi" w:cs="Arial"/>
          <w:sz w:val="24"/>
          <w:szCs w:val="24"/>
        </w:rPr>
        <w:t>. Available at: https://www.statista.com/statistics/382525/share-of-police-officers-in-england-and-wales-gender-rank/ (Accessed: 30</w:t>
      </w:r>
      <w:r w:rsidRPr="00B20E49">
        <w:rPr>
          <w:rFonts w:asciiTheme="minorHAnsi" w:hAnsiTheme="minorHAnsi" w:cs="Arial"/>
          <w:sz w:val="24"/>
          <w:szCs w:val="24"/>
          <w:vertAlign w:val="superscript"/>
        </w:rPr>
        <w:t>th</w:t>
      </w:r>
      <w:r w:rsidRPr="00B20E49">
        <w:rPr>
          <w:rFonts w:asciiTheme="minorHAnsi" w:hAnsiTheme="minorHAnsi" w:cs="Arial"/>
          <w:sz w:val="24"/>
          <w:szCs w:val="24"/>
        </w:rPr>
        <w:t xml:space="preserve"> June 2025). </w:t>
      </w:r>
    </w:p>
    <w:p w14:paraId="331387DF" w14:textId="77777777" w:rsidR="00B20E49" w:rsidRPr="00B20E49" w:rsidRDefault="00B20E49" w:rsidP="00B20E49">
      <w:pPr>
        <w:spacing w:line="257" w:lineRule="auto"/>
        <w:ind w:right="531"/>
        <w:rPr>
          <w:rFonts w:asciiTheme="minorHAnsi" w:hAnsiTheme="minorHAnsi" w:cs="Arial"/>
          <w:sz w:val="24"/>
          <w:szCs w:val="24"/>
        </w:rPr>
      </w:pPr>
    </w:p>
    <w:p w14:paraId="0F5046CA" w14:textId="77777777" w:rsidR="00B20E49" w:rsidRPr="00B20E49" w:rsidRDefault="00B20E49" w:rsidP="00B20E49">
      <w:pPr>
        <w:rPr>
          <w:rFonts w:asciiTheme="minorHAnsi" w:hAnsiTheme="minorHAnsi"/>
          <w:sz w:val="24"/>
          <w:szCs w:val="24"/>
        </w:rPr>
      </w:pPr>
    </w:p>
    <w:p w14:paraId="48E2B7A3" w14:textId="77777777" w:rsidR="000F4DEF" w:rsidRPr="00B20E49" w:rsidRDefault="000F4DEF">
      <w:pPr>
        <w:rPr>
          <w:rFonts w:asciiTheme="minorHAnsi" w:hAnsiTheme="minorHAnsi"/>
          <w:sz w:val="24"/>
          <w:szCs w:val="24"/>
        </w:rPr>
      </w:pPr>
    </w:p>
    <w:p w14:paraId="27406A07" w14:textId="77777777" w:rsidR="00B20E49" w:rsidRPr="00B20E49" w:rsidRDefault="00B20E49">
      <w:pPr>
        <w:rPr>
          <w:rFonts w:asciiTheme="minorHAnsi" w:hAnsiTheme="minorHAnsi"/>
          <w:sz w:val="24"/>
          <w:szCs w:val="24"/>
        </w:rPr>
      </w:pPr>
    </w:p>
    <w:p w14:paraId="72FF21D8" w14:textId="77777777" w:rsidR="00B20E49" w:rsidRPr="00B20E49" w:rsidRDefault="00B20E49">
      <w:pPr>
        <w:rPr>
          <w:rFonts w:asciiTheme="minorHAnsi" w:hAnsiTheme="minorHAnsi"/>
          <w:sz w:val="24"/>
          <w:szCs w:val="24"/>
        </w:rPr>
      </w:pPr>
    </w:p>
    <w:p w14:paraId="77CE4F0F" w14:textId="77777777" w:rsidR="00B20E49" w:rsidRDefault="00B20E49">
      <w:pPr>
        <w:rPr>
          <w:rFonts w:asciiTheme="minorHAnsi" w:hAnsiTheme="minorHAnsi"/>
          <w:sz w:val="24"/>
          <w:szCs w:val="24"/>
        </w:rPr>
      </w:pPr>
    </w:p>
    <w:p w14:paraId="40115DA8" w14:textId="77777777" w:rsidR="00437738" w:rsidRDefault="00437738">
      <w:pPr>
        <w:rPr>
          <w:rFonts w:asciiTheme="minorHAnsi" w:hAnsiTheme="minorHAnsi"/>
          <w:sz w:val="24"/>
          <w:szCs w:val="24"/>
        </w:rPr>
      </w:pPr>
    </w:p>
    <w:p w14:paraId="1EC5F457" w14:textId="77777777" w:rsidR="00437738" w:rsidRDefault="00437738">
      <w:pPr>
        <w:rPr>
          <w:rFonts w:asciiTheme="minorHAnsi" w:hAnsiTheme="minorHAnsi"/>
          <w:sz w:val="24"/>
          <w:szCs w:val="24"/>
        </w:rPr>
      </w:pPr>
    </w:p>
    <w:p w14:paraId="24F8FB66" w14:textId="77777777" w:rsidR="00437738" w:rsidRDefault="00437738">
      <w:pPr>
        <w:rPr>
          <w:rFonts w:asciiTheme="minorHAnsi" w:hAnsiTheme="minorHAnsi"/>
          <w:sz w:val="24"/>
          <w:szCs w:val="24"/>
        </w:rPr>
      </w:pPr>
    </w:p>
    <w:p w14:paraId="3DA7623A" w14:textId="77777777" w:rsidR="00437738" w:rsidRDefault="00437738">
      <w:pPr>
        <w:rPr>
          <w:rFonts w:asciiTheme="minorHAnsi" w:hAnsiTheme="minorHAnsi"/>
          <w:sz w:val="24"/>
          <w:szCs w:val="24"/>
        </w:rPr>
      </w:pPr>
    </w:p>
    <w:p w14:paraId="3FA94048" w14:textId="77777777" w:rsidR="00437738" w:rsidRDefault="00437738">
      <w:pPr>
        <w:rPr>
          <w:rFonts w:asciiTheme="minorHAnsi" w:hAnsiTheme="minorHAnsi"/>
          <w:sz w:val="24"/>
          <w:szCs w:val="24"/>
        </w:rPr>
      </w:pPr>
    </w:p>
    <w:p w14:paraId="2335D54C" w14:textId="77777777" w:rsidR="00437738" w:rsidRDefault="00437738">
      <w:pPr>
        <w:rPr>
          <w:rFonts w:asciiTheme="minorHAnsi" w:hAnsiTheme="minorHAnsi"/>
          <w:sz w:val="24"/>
          <w:szCs w:val="24"/>
        </w:rPr>
      </w:pPr>
    </w:p>
    <w:p w14:paraId="562FA51C" w14:textId="77777777" w:rsidR="00437738" w:rsidRDefault="00437738">
      <w:pPr>
        <w:rPr>
          <w:rFonts w:asciiTheme="minorHAnsi" w:hAnsiTheme="minorHAnsi"/>
          <w:sz w:val="24"/>
          <w:szCs w:val="24"/>
        </w:rPr>
      </w:pPr>
    </w:p>
    <w:p w14:paraId="6C9EDDFB" w14:textId="77777777" w:rsidR="00437738" w:rsidRDefault="00437738">
      <w:pPr>
        <w:rPr>
          <w:rFonts w:asciiTheme="minorHAnsi" w:hAnsiTheme="minorHAnsi"/>
          <w:sz w:val="24"/>
          <w:szCs w:val="24"/>
        </w:rPr>
      </w:pPr>
    </w:p>
    <w:p w14:paraId="7404BD78" w14:textId="77777777" w:rsidR="00437738" w:rsidRDefault="00437738">
      <w:pPr>
        <w:rPr>
          <w:rFonts w:asciiTheme="minorHAnsi" w:hAnsiTheme="minorHAnsi"/>
          <w:sz w:val="24"/>
          <w:szCs w:val="24"/>
        </w:rPr>
      </w:pPr>
    </w:p>
    <w:p w14:paraId="26B9B169" w14:textId="77777777" w:rsidR="00437738" w:rsidRPr="00B20E49" w:rsidRDefault="00437738">
      <w:pPr>
        <w:rPr>
          <w:rFonts w:asciiTheme="minorHAnsi" w:hAnsiTheme="minorHAnsi"/>
          <w:sz w:val="24"/>
          <w:szCs w:val="24"/>
        </w:rPr>
      </w:pPr>
    </w:p>
    <w:p w14:paraId="01F48EB9" w14:textId="77777777" w:rsidR="00B20E49" w:rsidRPr="00B20E49" w:rsidRDefault="00B20E49" w:rsidP="00B20E49">
      <w:pPr>
        <w:spacing w:line="257" w:lineRule="auto"/>
        <w:ind w:right="531"/>
        <w:rPr>
          <w:rFonts w:asciiTheme="minorHAnsi" w:hAnsiTheme="minorHAnsi" w:cs="Arial"/>
          <w:b/>
          <w:bCs/>
          <w:sz w:val="24"/>
          <w:szCs w:val="24"/>
        </w:rPr>
      </w:pPr>
      <w:r w:rsidRPr="00B20E49">
        <w:rPr>
          <w:rFonts w:asciiTheme="minorHAnsi" w:hAnsiTheme="minorHAnsi" w:cs="Arial"/>
          <w:b/>
          <w:bCs/>
          <w:sz w:val="24"/>
          <w:szCs w:val="24"/>
        </w:rPr>
        <w:lastRenderedPageBreak/>
        <w:t>Essay two:</w:t>
      </w:r>
    </w:p>
    <w:p w14:paraId="1E140FB9" w14:textId="77777777" w:rsidR="00B20E49" w:rsidRPr="00B20E49" w:rsidRDefault="00B20E49" w:rsidP="00B20E49">
      <w:pPr>
        <w:spacing w:line="257" w:lineRule="auto"/>
        <w:ind w:right="531"/>
        <w:rPr>
          <w:rFonts w:asciiTheme="minorHAnsi" w:eastAsia="Calibri" w:hAnsiTheme="minorHAnsi" w:cs="Arial"/>
          <w:sz w:val="24"/>
          <w:szCs w:val="24"/>
        </w:rPr>
      </w:pPr>
      <w:r w:rsidRPr="00B20E49">
        <w:rPr>
          <w:rFonts w:asciiTheme="minorHAnsi" w:eastAsia="Calibri" w:hAnsiTheme="minorHAnsi" w:cs="Arial"/>
          <w:b/>
          <w:bCs/>
          <w:sz w:val="24"/>
          <w:szCs w:val="24"/>
        </w:rPr>
        <w:t>Response policing – Why is it important to manage mental wellbeing in policing? What can be the consequences if mental wellbeing is not managed appropriately?</w:t>
      </w:r>
    </w:p>
    <w:p w14:paraId="02ABEEC0" w14:textId="77777777" w:rsidR="00B20E49" w:rsidRPr="00B20E49" w:rsidRDefault="00B20E49" w:rsidP="00B20E49">
      <w:pPr>
        <w:rPr>
          <w:rFonts w:asciiTheme="minorHAnsi" w:hAnsiTheme="minorHAnsi" w:cs="Arial"/>
          <w:sz w:val="24"/>
          <w:szCs w:val="24"/>
        </w:rPr>
      </w:pPr>
    </w:p>
    <w:p w14:paraId="18F2EB42" w14:textId="77777777" w:rsidR="00B20E49" w:rsidRPr="00B20E49" w:rsidRDefault="00B20E49" w:rsidP="00B20E49">
      <w:pPr>
        <w:rPr>
          <w:rFonts w:asciiTheme="minorHAnsi" w:hAnsiTheme="minorHAnsi" w:cs="Arial"/>
          <w:sz w:val="24"/>
          <w:szCs w:val="24"/>
        </w:rPr>
      </w:pPr>
    </w:p>
    <w:p w14:paraId="3A37FC99" w14:textId="77777777" w:rsidR="00B20E49" w:rsidRPr="00B20E49" w:rsidRDefault="00B20E49" w:rsidP="00B20E49">
      <w:pPr>
        <w:rPr>
          <w:rFonts w:asciiTheme="minorHAnsi" w:hAnsiTheme="minorHAnsi" w:cs="Arial"/>
          <w:sz w:val="24"/>
          <w:szCs w:val="24"/>
        </w:rPr>
      </w:pPr>
      <w:r w:rsidRPr="00B20E49">
        <w:rPr>
          <w:rFonts w:asciiTheme="minorHAnsi" w:hAnsiTheme="minorHAnsi" w:cs="Arial"/>
          <w:sz w:val="24"/>
          <w:szCs w:val="24"/>
        </w:rPr>
        <w:t xml:space="preserve">In this essay I will be discussing why it is important for police officers to manage mental wellbeing during their duties and the consequences if it is not managed appropriately. </w:t>
      </w:r>
    </w:p>
    <w:p w14:paraId="10E25E37" w14:textId="77777777" w:rsidR="00B20E49" w:rsidRPr="00B20E49" w:rsidRDefault="00B20E49" w:rsidP="00B20E49">
      <w:pPr>
        <w:rPr>
          <w:rFonts w:asciiTheme="minorHAnsi" w:hAnsiTheme="minorHAnsi" w:cs="Arial"/>
          <w:sz w:val="24"/>
          <w:szCs w:val="24"/>
        </w:rPr>
      </w:pPr>
      <w:r w:rsidRPr="00B20E49">
        <w:rPr>
          <w:rFonts w:asciiTheme="minorHAnsi" w:hAnsiTheme="minorHAnsi" w:cs="Arial"/>
          <w:sz w:val="24"/>
          <w:szCs w:val="24"/>
        </w:rPr>
        <w:t>Mental health can be described as the ability to manage life’s stressors, realise one’s potential, learn and work effectively, and give back to one’s community and is determined by a “complex interplay of individual, social and structural stresses and vulnerabilities” (WHO, 2022).</w:t>
      </w:r>
      <w:r w:rsidRPr="00B20E49">
        <w:rPr>
          <w:rFonts w:asciiTheme="minorHAnsi" w:hAnsiTheme="minorHAnsi" w:cs="Open Sans"/>
          <w:sz w:val="24"/>
          <w:szCs w:val="24"/>
          <w:shd w:val="clear" w:color="auto" w:fill="FFFFFF"/>
        </w:rPr>
        <w:t xml:space="preserve"> </w:t>
      </w:r>
      <w:r w:rsidRPr="00B20E49">
        <w:rPr>
          <w:rFonts w:asciiTheme="minorHAnsi" w:hAnsiTheme="minorHAnsi" w:cs="Arial"/>
          <w:sz w:val="24"/>
          <w:szCs w:val="24"/>
        </w:rPr>
        <w:t>The workplace can have a significant impact on an individual’s psychological health (</w:t>
      </w:r>
      <w:hyperlink r:id="rId7" w:anchor="bibr35-1461355720907620" w:history="1">
        <w:r w:rsidRPr="00B20E49">
          <w:rPr>
            <w:rStyle w:val="Hyperlink"/>
            <w:rFonts w:asciiTheme="minorHAnsi" w:hAnsiTheme="minorHAnsi" w:cs="Arial"/>
            <w:color w:val="auto"/>
            <w:sz w:val="24"/>
            <w:szCs w:val="24"/>
            <w:u w:val="none"/>
          </w:rPr>
          <w:t>Johnson et al., 2018</w:t>
        </w:r>
      </w:hyperlink>
      <w:r w:rsidRPr="00B20E49">
        <w:rPr>
          <w:rFonts w:asciiTheme="minorHAnsi" w:hAnsiTheme="minorHAnsi" w:cs="Arial"/>
          <w:sz w:val="24"/>
          <w:szCs w:val="24"/>
        </w:rPr>
        <w:t xml:space="preserve">) and therefore it is important for individuals to manage their mental wellbeing accordingly. </w:t>
      </w:r>
    </w:p>
    <w:p w14:paraId="57451548" w14:textId="77777777" w:rsidR="00B20E49" w:rsidRPr="00B20E49" w:rsidRDefault="00B20E49" w:rsidP="00B20E49">
      <w:pPr>
        <w:rPr>
          <w:rFonts w:asciiTheme="minorHAnsi" w:hAnsiTheme="minorHAnsi" w:cs="Arial"/>
          <w:sz w:val="24"/>
          <w:szCs w:val="24"/>
        </w:rPr>
      </w:pPr>
    </w:p>
    <w:p w14:paraId="104E58EE" w14:textId="06E400A6" w:rsidR="00B20E49" w:rsidRPr="00B20E49" w:rsidRDefault="00B20E49" w:rsidP="00B20E49">
      <w:pPr>
        <w:rPr>
          <w:rFonts w:asciiTheme="minorHAnsi" w:hAnsiTheme="minorHAnsi" w:cs="Arial"/>
          <w:sz w:val="24"/>
          <w:szCs w:val="24"/>
        </w:rPr>
      </w:pPr>
      <w:r w:rsidRPr="00B20E49">
        <w:rPr>
          <w:rFonts w:asciiTheme="minorHAnsi" w:hAnsiTheme="minorHAnsi" w:cs="Arial"/>
          <w:sz w:val="24"/>
          <w:szCs w:val="24"/>
        </w:rPr>
        <w:t xml:space="preserve">According to academic researchers, psychologists and medical experts, policing is one of the most stressful professions (Purba &amp; Demou, 2019). Therefore, managing mental wellbeing is vital in policing to be able to manage and cope in the workplace to maintain a healthy lifestyle. Police officers are exposed to numerous traumatic incidents day to day and therefore at risk of developing health issues such as Post traumatic stress disorder (PTSD), anxiety and depression. Jackman et al., (2020) reiterates this by stating that being in a difficult job such as policing can put officers and workers at risk for mental health issues such as depression and anxiety. Purba &amp; Demou (2019) </w:t>
      </w:r>
      <w:r w:rsidR="002C254A">
        <w:rPr>
          <w:rFonts w:asciiTheme="minorHAnsi" w:hAnsiTheme="minorHAnsi" w:cs="Arial"/>
          <w:sz w:val="24"/>
          <w:szCs w:val="24"/>
        </w:rPr>
        <w:t xml:space="preserve">further </w:t>
      </w:r>
      <w:r w:rsidRPr="00B20E49">
        <w:rPr>
          <w:rFonts w:asciiTheme="minorHAnsi" w:hAnsiTheme="minorHAnsi" w:cs="Arial"/>
          <w:sz w:val="24"/>
          <w:szCs w:val="24"/>
        </w:rPr>
        <w:t>states that one of the main causes of chronic work incapacity and sick leave is mental health. There were numerous exposures and occupational stresses in the police work environment which can raise the risk of mental health issues.</w:t>
      </w:r>
    </w:p>
    <w:p w14:paraId="28B659E9" w14:textId="77777777" w:rsidR="00B20E49" w:rsidRPr="00B20E49" w:rsidRDefault="00B20E49" w:rsidP="00B20E49">
      <w:pPr>
        <w:rPr>
          <w:rFonts w:asciiTheme="minorHAnsi" w:hAnsiTheme="minorHAnsi" w:cs="Arial"/>
          <w:sz w:val="24"/>
          <w:szCs w:val="24"/>
        </w:rPr>
      </w:pPr>
    </w:p>
    <w:p w14:paraId="76A40301" w14:textId="77777777" w:rsidR="00B20E49" w:rsidRPr="00B20E49" w:rsidRDefault="00B20E49" w:rsidP="00B20E49">
      <w:pPr>
        <w:rPr>
          <w:rFonts w:asciiTheme="minorHAnsi" w:hAnsiTheme="minorHAnsi" w:cs="Arial"/>
          <w:sz w:val="24"/>
          <w:szCs w:val="24"/>
        </w:rPr>
      </w:pPr>
      <w:r w:rsidRPr="00B20E49">
        <w:rPr>
          <w:rFonts w:asciiTheme="minorHAnsi" w:hAnsiTheme="minorHAnsi" w:cs="Arial"/>
          <w:sz w:val="24"/>
          <w:szCs w:val="24"/>
        </w:rPr>
        <w:t xml:space="preserve">Territo &amp; Vetter (1981) suggest that there are four categories that could be used to classify the pressure that police officers face, these are: organisational practises and characteristics, criminal justice system practises and characteristics, public practises and general police work. These four categories can then be further divided into operational and organisation stressors. Operational and organisational  pressures have led to an increase in research on the factors influencing police officers’ mental health (McCreary &amp; Thompson, 2006). </w:t>
      </w:r>
    </w:p>
    <w:p w14:paraId="0D142285" w14:textId="77777777" w:rsidR="00B20E49" w:rsidRPr="00B20E49" w:rsidRDefault="00B20E49" w:rsidP="00B20E49">
      <w:pPr>
        <w:rPr>
          <w:rFonts w:asciiTheme="minorHAnsi" w:hAnsiTheme="minorHAnsi" w:cs="Arial"/>
          <w:sz w:val="24"/>
          <w:szCs w:val="24"/>
        </w:rPr>
      </w:pPr>
    </w:p>
    <w:p w14:paraId="587D042F" w14:textId="77777777" w:rsidR="00B20E49" w:rsidRPr="00B20E49" w:rsidRDefault="00B20E49" w:rsidP="00B20E49">
      <w:pPr>
        <w:rPr>
          <w:rFonts w:asciiTheme="minorHAnsi" w:hAnsiTheme="minorHAnsi" w:cs="Arial"/>
          <w:sz w:val="24"/>
          <w:szCs w:val="24"/>
        </w:rPr>
      </w:pPr>
      <w:r w:rsidRPr="00B20E49">
        <w:rPr>
          <w:rFonts w:asciiTheme="minorHAnsi" w:hAnsiTheme="minorHAnsi" w:cs="Arial"/>
          <w:sz w:val="24"/>
          <w:szCs w:val="24"/>
        </w:rPr>
        <w:t xml:space="preserve">In addition to this, another consequence of poor mental wellbeing in the workplace is that mental health issues have a number of socioeconomic repercussions because of things like absenteeism, presenteeism, lost productivity and early retirement due to illness (Demou et al, 2020). Along with financial costs, personal consequences to the person and their families include somatization, diminished self-esteem and a detrimental effect on social and familial relationships (Demou et al, 2020). This shows that poor mental health can have a long term and permanent impact on police officers’ lives by loss of finances and breakdown of relationships. </w:t>
      </w:r>
    </w:p>
    <w:p w14:paraId="4F165DEF" w14:textId="77777777" w:rsidR="00B20E49" w:rsidRPr="00B20E49" w:rsidRDefault="00B20E49" w:rsidP="00B20E49">
      <w:pPr>
        <w:rPr>
          <w:rFonts w:asciiTheme="minorHAnsi" w:hAnsiTheme="minorHAnsi" w:cs="Arial"/>
          <w:sz w:val="24"/>
          <w:szCs w:val="24"/>
        </w:rPr>
      </w:pPr>
    </w:p>
    <w:p w14:paraId="281E7204" w14:textId="77777777" w:rsidR="00B20E49" w:rsidRPr="00B20E49" w:rsidRDefault="00B20E49" w:rsidP="00B20E49">
      <w:pPr>
        <w:rPr>
          <w:rFonts w:asciiTheme="minorHAnsi" w:hAnsiTheme="minorHAnsi" w:cs="Arial"/>
          <w:sz w:val="24"/>
          <w:szCs w:val="24"/>
        </w:rPr>
      </w:pPr>
      <w:r w:rsidRPr="00B20E49">
        <w:rPr>
          <w:rFonts w:asciiTheme="minorHAnsi" w:hAnsiTheme="minorHAnsi" w:cs="Arial"/>
          <w:sz w:val="24"/>
          <w:szCs w:val="24"/>
        </w:rPr>
        <w:t xml:space="preserve">There have been numerous campaigns that have been aimed at supporting police officers and their mental wellbeing within the job. A recent campaign from the Police Federation of England and Wales (2020) stated that “more than twenty police officers </w:t>
      </w:r>
      <w:r w:rsidRPr="00B20E49">
        <w:rPr>
          <w:rFonts w:asciiTheme="minorHAnsi" w:hAnsiTheme="minorHAnsi" w:cs="Arial"/>
          <w:sz w:val="24"/>
          <w:szCs w:val="24"/>
        </w:rPr>
        <w:lastRenderedPageBreak/>
        <w:t xml:space="preserve">took their own life each year”. Because of this, they had launched  the Hear “Man Up” Think “Man Down” campaign, the Police Federation of England and Wales (2020) recently underlined the significance of mental health in policing and urged officers and staff to keep an eye out for coworkers who could need support. The Police Federation of England and Wales contends that efforts must continue to provide earlier, better and more regular support notwithstanding the notable attention and advancements in officer welfare (Phythian </w:t>
      </w:r>
      <w:r w:rsidRPr="00B20E49">
        <w:rPr>
          <w:rFonts w:asciiTheme="minorHAnsi" w:hAnsiTheme="minorHAnsi" w:cs="Arial"/>
          <w:i/>
          <w:iCs/>
          <w:sz w:val="24"/>
          <w:szCs w:val="24"/>
        </w:rPr>
        <w:t>et al</w:t>
      </w:r>
      <w:r w:rsidRPr="00B20E49">
        <w:rPr>
          <w:rFonts w:asciiTheme="minorHAnsi" w:hAnsiTheme="minorHAnsi" w:cs="Arial"/>
          <w:sz w:val="24"/>
          <w:szCs w:val="24"/>
        </w:rPr>
        <w:t>., 2022).</w:t>
      </w:r>
    </w:p>
    <w:p w14:paraId="3308D547" w14:textId="77777777" w:rsidR="00B20E49" w:rsidRPr="00B20E49" w:rsidRDefault="00B20E49" w:rsidP="00B20E49">
      <w:pPr>
        <w:rPr>
          <w:rFonts w:asciiTheme="minorHAnsi" w:hAnsiTheme="minorHAnsi" w:cs="Arial"/>
          <w:sz w:val="24"/>
          <w:szCs w:val="24"/>
        </w:rPr>
      </w:pPr>
      <w:r w:rsidRPr="00B20E49">
        <w:rPr>
          <w:rFonts w:asciiTheme="minorHAnsi" w:hAnsiTheme="minorHAnsi" w:cs="Arial"/>
          <w:sz w:val="24"/>
          <w:szCs w:val="24"/>
        </w:rPr>
        <w:t xml:space="preserve">However, research from Bell &amp; Eski (2016) argues that the macho culture, cynicism and lack of empathy that have been linked to policing cultures discourage conversations about mental health issues and access to support, supporting the notion that disclosing mental health issues destroys one’s career. Therefore, implying that police officers do not seek early help or intervention in regard to their mental health, which in turn causes further issues later down the line. This suggests that campaigns aiming to support mental health are not being regarded as being beneficial in supporting mental wellbeing in the police. </w:t>
      </w:r>
    </w:p>
    <w:p w14:paraId="74EAC5C1" w14:textId="77777777" w:rsidR="00B20E49" w:rsidRPr="00B20E49" w:rsidRDefault="00B20E49" w:rsidP="00B20E49">
      <w:pPr>
        <w:rPr>
          <w:rFonts w:asciiTheme="minorHAnsi" w:hAnsiTheme="minorHAnsi" w:cs="Arial"/>
          <w:sz w:val="24"/>
          <w:szCs w:val="24"/>
        </w:rPr>
      </w:pPr>
    </w:p>
    <w:p w14:paraId="6DB16975" w14:textId="77777777" w:rsidR="00B20E49" w:rsidRPr="00B20E49" w:rsidRDefault="00B20E49" w:rsidP="00B20E49">
      <w:pPr>
        <w:rPr>
          <w:rFonts w:asciiTheme="minorHAnsi" w:hAnsiTheme="minorHAnsi" w:cs="Arial"/>
          <w:sz w:val="24"/>
          <w:szCs w:val="24"/>
        </w:rPr>
      </w:pPr>
      <w:r w:rsidRPr="00B20E49">
        <w:rPr>
          <w:rFonts w:asciiTheme="minorHAnsi" w:hAnsiTheme="minorHAnsi" w:cs="Arial"/>
          <w:sz w:val="24"/>
          <w:szCs w:val="24"/>
        </w:rPr>
        <w:t xml:space="preserve">Furthermore, people actively influence their stress reaction, which is influenced by their assessments and coping mechanisms. This helps to explain why two police officers may encounter the same pressures yet react in different ways (Mark &amp; Smith, 2008). This means that one officer may experience mental health issues earlier on in their career whereas, it may take another officer longer to process their stress reaction and therefore experience mental health issues later on in their career. Cox &amp; Griffiths (2010) suggested that people who are unable to adequately control their stress are more likely to experience adverse health consequences. Police officers who may take longer to process their stress reaction may be at an increased risk of experiencing PTSD due to their delayed response to stress. </w:t>
      </w:r>
    </w:p>
    <w:p w14:paraId="4A27A085" w14:textId="77777777" w:rsidR="00B20E49" w:rsidRPr="00B20E49" w:rsidRDefault="00B20E49" w:rsidP="00B20E49">
      <w:pPr>
        <w:rPr>
          <w:rFonts w:asciiTheme="minorHAnsi" w:hAnsiTheme="minorHAnsi" w:cs="Arial"/>
          <w:sz w:val="24"/>
          <w:szCs w:val="24"/>
        </w:rPr>
      </w:pPr>
    </w:p>
    <w:p w14:paraId="6D45E142" w14:textId="77777777" w:rsidR="00B20E49" w:rsidRPr="00B20E49" w:rsidRDefault="00B20E49" w:rsidP="00B20E49">
      <w:pPr>
        <w:rPr>
          <w:rFonts w:asciiTheme="minorHAnsi" w:hAnsiTheme="minorHAnsi" w:cs="Arial"/>
          <w:sz w:val="24"/>
          <w:szCs w:val="24"/>
        </w:rPr>
      </w:pPr>
      <w:r w:rsidRPr="00B20E49">
        <w:rPr>
          <w:rFonts w:asciiTheme="minorHAnsi" w:hAnsiTheme="minorHAnsi" w:cs="Arial"/>
          <w:sz w:val="24"/>
          <w:szCs w:val="24"/>
        </w:rPr>
        <w:t>In order to manage mental wellbeing in a policing environment it is important to maintain social support. Karasek &amp; Theorell (1990) state that</w:t>
      </w:r>
      <w:r w:rsidRPr="00B20E49">
        <w:rPr>
          <w:rFonts w:asciiTheme="minorHAnsi" w:hAnsiTheme="minorHAnsi" w:cs="Arial"/>
          <w:color w:val="FF0000"/>
          <w:sz w:val="24"/>
          <w:szCs w:val="24"/>
        </w:rPr>
        <w:t xml:space="preserve"> </w:t>
      </w:r>
      <w:r w:rsidRPr="00B20E49">
        <w:rPr>
          <w:rFonts w:asciiTheme="minorHAnsi" w:hAnsiTheme="minorHAnsi" w:cs="Arial"/>
          <w:sz w:val="24"/>
          <w:szCs w:val="24"/>
        </w:rPr>
        <w:t xml:space="preserve">“Social support in the workplace refers to the overall level help and support provided through social interactions with coworkers and supervisors”. Social support has been linked to lower PTSD symptoms, better overall mental health, higher job satisfaction and lower perceptions of organisational stress. Work colleagues can operate as crucial support providers and can frequently supply valuable knowledge that allows an individual to nurture a sense of control which can then boost psychological wellness (Jackman </w:t>
      </w:r>
      <w:r w:rsidRPr="00B20E49">
        <w:rPr>
          <w:rFonts w:asciiTheme="minorHAnsi" w:hAnsiTheme="minorHAnsi" w:cs="Arial"/>
          <w:i/>
          <w:iCs/>
          <w:sz w:val="24"/>
          <w:szCs w:val="24"/>
        </w:rPr>
        <w:t>et al</w:t>
      </w:r>
      <w:r w:rsidRPr="00B20E49">
        <w:rPr>
          <w:rFonts w:asciiTheme="minorHAnsi" w:hAnsiTheme="minorHAnsi" w:cs="Arial"/>
          <w:sz w:val="24"/>
          <w:szCs w:val="24"/>
        </w:rPr>
        <w:t>., 2020).</w:t>
      </w:r>
    </w:p>
    <w:p w14:paraId="2CDFA41A" w14:textId="77777777" w:rsidR="00B20E49" w:rsidRPr="00B20E49" w:rsidRDefault="00B20E49" w:rsidP="00B20E49">
      <w:pPr>
        <w:rPr>
          <w:rFonts w:asciiTheme="minorHAnsi" w:hAnsiTheme="minorHAnsi" w:cs="Arial"/>
          <w:color w:val="FF0000"/>
          <w:sz w:val="24"/>
          <w:szCs w:val="24"/>
        </w:rPr>
      </w:pPr>
    </w:p>
    <w:p w14:paraId="1AA74E7E" w14:textId="7D804AFE" w:rsidR="00B20E49" w:rsidRPr="00B20E49" w:rsidRDefault="00B20E49" w:rsidP="00B20E49">
      <w:pPr>
        <w:rPr>
          <w:rFonts w:asciiTheme="minorHAnsi" w:hAnsiTheme="minorHAnsi" w:cs="Arial"/>
          <w:sz w:val="24"/>
          <w:szCs w:val="24"/>
        </w:rPr>
      </w:pPr>
      <w:r w:rsidRPr="00B20E49">
        <w:rPr>
          <w:rFonts w:asciiTheme="minorHAnsi" w:hAnsiTheme="minorHAnsi" w:cs="Arial"/>
          <w:sz w:val="24"/>
          <w:szCs w:val="24"/>
        </w:rPr>
        <w:t xml:space="preserve">To conclude, managing mental wellbeing in the police is vital due to the traumatic events that officers see daily </w:t>
      </w:r>
      <w:r w:rsidR="002C254A">
        <w:rPr>
          <w:rFonts w:asciiTheme="minorHAnsi" w:hAnsiTheme="minorHAnsi" w:cs="Arial"/>
          <w:sz w:val="24"/>
          <w:szCs w:val="24"/>
        </w:rPr>
        <w:t xml:space="preserve">alongside the </w:t>
      </w:r>
      <w:r w:rsidRPr="00B20E49">
        <w:rPr>
          <w:rFonts w:asciiTheme="minorHAnsi" w:hAnsiTheme="minorHAnsi" w:cs="Arial"/>
          <w:sz w:val="24"/>
          <w:szCs w:val="24"/>
        </w:rPr>
        <w:t>day to day pressures of the job. Not managing officers’ mental wellbeing early on can have a long term impact on their mental health such as PTSD</w:t>
      </w:r>
      <w:r w:rsidR="002E4FDA">
        <w:rPr>
          <w:rFonts w:asciiTheme="minorHAnsi" w:hAnsiTheme="minorHAnsi" w:cs="Arial"/>
          <w:sz w:val="24"/>
          <w:szCs w:val="24"/>
        </w:rPr>
        <w:t>, depression and relationship breakdowns</w:t>
      </w:r>
      <w:r w:rsidRPr="00B20E49">
        <w:rPr>
          <w:rFonts w:asciiTheme="minorHAnsi" w:hAnsiTheme="minorHAnsi" w:cs="Arial"/>
          <w:sz w:val="24"/>
          <w:szCs w:val="24"/>
        </w:rPr>
        <w:t>. Early intervention through social support is important as regular exposure to these incidents within the policing role as a whole can affect decision making and officer performance in the job. There are many support systems in place such as campaigns within the police force which aims to target officers struggling with mental health</w:t>
      </w:r>
      <w:r w:rsidR="002E4FDA">
        <w:rPr>
          <w:rFonts w:asciiTheme="minorHAnsi" w:hAnsiTheme="minorHAnsi" w:cs="Arial"/>
          <w:sz w:val="24"/>
          <w:szCs w:val="24"/>
        </w:rPr>
        <w:t>. H</w:t>
      </w:r>
      <w:r w:rsidRPr="00B20E49">
        <w:rPr>
          <w:rFonts w:asciiTheme="minorHAnsi" w:hAnsiTheme="minorHAnsi" w:cs="Arial"/>
          <w:sz w:val="24"/>
          <w:szCs w:val="24"/>
        </w:rPr>
        <w:t>owever</w:t>
      </w:r>
      <w:r w:rsidR="002E4FDA">
        <w:rPr>
          <w:rFonts w:asciiTheme="minorHAnsi" w:hAnsiTheme="minorHAnsi" w:cs="Arial"/>
          <w:sz w:val="24"/>
          <w:szCs w:val="24"/>
        </w:rPr>
        <w:t>,</w:t>
      </w:r>
      <w:r w:rsidRPr="00B20E49">
        <w:rPr>
          <w:rFonts w:asciiTheme="minorHAnsi" w:hAnsiTheme="minorHAnsi" w:cs="Arial"/>
          <w:sz w:val="24"/>
          <w:szCs w:val="24"/>
        </w:rPr>
        <w:t xml:space="preserve"> research shows they are not being utilised appropriately due to the ideology that asking for help regarding mental health may ruin </w:t>
      </w:r>
      <w:r w:rsidR="002C254A" w:rsidRPr="00B20E49">
        <w:rPr>
          <w:rFonts w:asciiTheme="minorHAnsi" w:hAnsiTheme="minorHAnsi" w:cs="Arial"/>
          <w:sz w:val="24"/>
          <w:szCs w:val="24"/>
        </w:rPr>
        <w:t>one’s</w:t>
      </w:r>
      <w:r w:rsidRPr="00B20E49">
        <w:rPr>
          <w:rFonts w:asciiTheme="minorHAnsi" w:hAnsiTheme="minorHAnsi" w:cs="Arial"/>
          <w:sz w:val="24"/>
          <w:szCs w:val="24"/>
        </w:rPr>
        <w:t xml:space="preserve"> career</w:t>
      </w:r>
      <w:r w:rsidR="00270D15">
        <w:rPr>
          <w:rFonts w:asciiTheme="minorHAnsi" w:hAnsiTheme="minorHAnsi" w:cs="Arial"/>
          <w:sz w:val="24"/>
          <w:szCs w:val="24"/>
        </w:rPr>
        <w:t>.</w:t>
      </w:r>
    </w:p>
    <w:p w14:paraId="1F7AF178" w14:textId="77777777" w:rsidR="00B20E49" w:rsidRPr="00B20E49" w:rsidRDefault="00B20E49" w:rsidP="00B20E49">
      <w:pPr>
        <w:rPr>
          <w:rFonts w:asciiTheme="minorHAnsi" w:hAnsiTheme="minorHAnsi" w:cs="Arial"/>
          <w:color w:val="FF0000"/>
          <w:sz w:val="24"/>
          <w:szCs w:val="24"/>
        </w:rPr>
      </w:pPr>
    </w:p>
    <w:p w14:paraId="4A8E5D30" w14:textId="77777777" w:rsidR="00B20E49" w:rsidRPr="00B20E49" w:rsidRDefault="00B20E49" w:rsidP="00B20E49">
      <w:pPr>
        <w:rPr>
          <w:rFonts w:asciiTheme="minorHAnsi" w:hAnsiTheme="minorHAnsi" w:cs="Arial"/>
          <w:color w:val="FF0000"/>
          <w:sz w:val="24"/>
          <w:szCs w:val="24"/>
        </w:rPr>
      </w:pPr>
    </w:p>
    <w:p w14:paraId="5299D70C" w14:textId="73F4B50A" w:rsidR="00B20E49" w:rsidRPr="00B20E49" w:rsidRDefault="00B20E49" w:rsidP="00B20E49">
      <w:pPr>
        <w:rPr>
          <w:rFonts w:asciiTheme="minorHAnsi" w:hAnsiTheme="minorHAnsi" w:cs="Arial"/>
          <w:sz w:val="24"/>
          <w:szCs w:val="24"/>
        </w:rPr>
      </w:pPr>
      <w:r w:rsidRPr="00B20E49">
        <w:rPr>
          <w:rFonts w:asciiTheme="minorHAnsi" w:hAnsiTheme="minorHAnsi" w:cs="Arial"/>
          <w:sz w:val="24"/>
          <w:szCs w:val="24"/>
        </w:rPr>
        <w:t>Word count – 99</w:t>
      </w:r>
      <w:r w:rsidR="00270D15">
        <w:rPr>
          <w:rFonts w:asciiTheme="minorHAnsi" w:hAnsiTheme="minorHAnsi" w:cs="Arial"/>
          <w:sz w:val="24"/>
          <w:szCs w:val="24"/>
        </w:rPr>
        <w:t xml:space="preserve">8 </w:t>
      </w:r>
    </w:p>
    <w:p w14:paraId="72DBD4AD" w14:textId="77777777" w:rsidR="00B20E49" w:rsidRPr="00B20E49" w:rsidRDefault="00B20E49" w:rsidP="00B20E49">
      <w:pPr>
        <w:rPr>
          <w:rFonts w:asciiTheme="minorHAnsi" w:hAnsiTheme="minorHAnsi" w:cs="Arial"/>
          <w:sz w:val="24"/>
          <w:szCs w:val="24"/>
        </w:rPr>
      </w:pPr>
    </w:p>
    <w:p w14:paraId="767AF192" w14:textId="77777777" w:rsidR="00B20E49" w:rsidRPr="00B20E49" w:rsidRDefault="00B20E49" w:rsidP="00B20E49">
      <w:pPr>
        <w:rPr>
          <w:rFonts w:asciiTheme="minorHAnsi" w:hAnsiTheme="minorHAnsi" w:cs="Arial"/>
          <w:color w:val="FF0000"/>
          <w:sz w:val="24"/>
          <w:szCs w:val="24"/>
        </w:rPr>
      </w:pPr>
    </w:p>
    <w:p w14:paraId="659270A3" w14:textId="77777777" w:rsidR="00B20E49" w:rsidRPr="00B20E49" w:rsidRDefault="00B20E49" w:rsidP="00B20E49">
      <w:pPr>
        <w:rPr>
          <w:rFonts w:asciiTheme="minorHAnsi" w:hAnsiTheme="minorHAnsi" w:cs="Arial"/>
          <w:b/>
          <w:bCs/>
          <w:sz w:val="24"/>
          <w:szCs w:val="24"/>
          <w:u w:val="single"/>
        </w:rPr>
      </w:pPr>
    </w:p>
    <w:p w14:paraId="3DF80E22" w14:textId="77777777" w:rsidR="00B20E49" w:rsidRPr="00B20E49" w:rsidRDefault="00B20E49" w:rsidP="00B20E49">
      <w:pPr>
        <w:rPr>
          <w:rFonts w:asciiTheme="minorHAnsi" w:hAnsiTheme="minorHAnsi" w:cs="Arial"/>
          <w:b/>
          <w:bCs/>
          <w:sz w:val="24"/>
          <w:szCs w:val="24"/>
          <w:u w:val="single"/>
        </w:rPr>
      </w:pPr>
    </w:p>
    <w:p w14:paraId="7042FDEC" w14:textId="77777777" w:rsidR="00B20E49" w:rsidRPr="00B20E49" w:rsidRDefault="00B20E49" w:rsidP="00B20E49">
      <w:pPr>
        <w:rPr>
          <w:rFonts w:asciiTheme="minorHAnsi" w:hAnsiTheme="minorHAnsi" w:cs="Arial"/>
          <w:b/>
          <w:bCs/>
          <w:sz w:val="24"/>
          <w:szCs w:val="24"/>
          <w:u w:val="single"/>
        </w:rPr>
      </w:pPr>
      <w:r w:rsidRPr="00B20E49">
        <w:rPr>
          <w:rFonts w:asciiTheme="minorHAnsi" w:hAnsiTheme="minorHAnsi" w:cs="Arial"/>
          <w:b/>
          <w:bCs/>
          <w:sz w:val="24"/>
          <w:szCs w:val="24"/>
          <w:u w:val="single"/>
        </w:rPr>
        <w:t xml:space="preserve">References </w:t>
      </w:r>
    </w:p>
    <w:p w14:paraId="55144330" w14:textId="77777777" w:rsidR="00B20E49" w:rsidRPr="00B20E49" w:rsidRDefault="00B20E49" w:rsidP="00B20E49">
      <w:pPr>
        <w:rPr>
          <w:rFonts w:asciiTheme="minorHAnsi" w:hAnsiTheme="minorHAnsi" w:cs="Arial"/>
          <w:sz w:val="24"/>
          <w:szCs w:val="24"/>
        </w:rPr>
      </w:pPr>
    </w:p>
    <w:p w14:paraId="05627D68" w14:textId="77777777" w:rsidR="00B20E49" w:rsidRPr="00B20E49" w:rsidRDefault="00B20E49" w:rsidP="00B20E49">
      <w:pPr>
        <w:rPr>
          <w:rFonts w:asciiTheme="minorHAnsi" w:hAnsiTheme="minorHAnsi" w:cs="Arial"/>
          <w:sz w:val="24"/>
          <w:szCs w:val="24"/>
        </w:rPr>
      </w:pPr>
      <w:r w:rsidRPr="00B20E49">
        <w:rPr>
          <w:rFonts w:asciiTheme="minorHAnsi" w:hAnsiTheme="minorHAnsi" w:cs="Arial"/>
          <w:sz w:val="24"/>
          <w:szCs w:val="24"/>
        </w:rPr>
        <w:t>Bell, S., &amp; Eski, Y. (2016). ‘Break a Leg-It’s all in the mind’: Police Officers’ attitudes towards colleagues with mental health issues. Policing-a Journal of Policy and Practice, 10(2), 95–101. doi:10.1093/police/pav041</w:t>
      </w:r>
    </w:p>
    <w:p w14:paraId="2E71A0A6" w14:textId="77777777" w:rsidR="00B20E49" w:rsidRPr="00B20E49" w:rsidRDefault="00B20E49" w:rsidP="00B20E49">
      <w:pPr>
        <w:rPr>
          <w:rFonts w:asciiTheme="minorHAnsi" w:hAnsiTheme="minorHAnsi" w:cs="Arial"/>
          <w:sz w:val="24"/>
          <w:szCs w:val="24"/>
        </w:rPr>
      </w:pPr>
    </w:p>
    <w:p w14:paraId="582CDE0A" w14:textId="77777777" w:rsidR="00B20E49" w:rsidRPr="00B20E49" w:rsidRDefault="00B20E49" w:rsidP="00B20E49">
      <w:pPr>
        <w:rPr>
          <w:rFonts w:asciiTheme="minorHAnsi" w:hAnsiTheme="minorHAnsi" w:cs="Arial"/>
          <w:sz w:val="24"/>
          <w:szCs w:val="24"/>
        </w:rPr>
      </w:pPr>
      <w:r w:rsidRPr="00B20E49">
        <w:rPr>
          <w:rFonts w:asciiTheme="minorHAnsi" w:hAnsiTheme="minorHAnsi" w:cs="Arial"/>
          <w:sz w:val="24"/>
          <w:szCs w:val="24"/>
        </w:rPr>
        <w:t>Cox, T., &amp; Griffiths, A. (2010). Work-related stress: A theoretical perspective. In S. Leka, &amp; J. Houdmont (Eds.), Occupational Health Psychology . Wiley-Blackwell.</w:t>
      </w:r>
    </w:p>
    <w:p w14:paraId="4C4F0863" w14:textId="77777777" w:rsidR="00B20E49" w:rsidRPr="00B20E49" w:rsidRDefault="00B20E49" w:rsidP="00B20E49">
      <w:pPr>
        <w:rPr>
          <w:rFonts w:asciiTheme="minorHAnsi" w:hAnsiTheme="minorHAnsi" w:cs="Arial"/>
          <w:sz w:val="24"/>
          <w:szCs w:val="24"/>
        </w:rPr>
      </w:pPr>
      <w:r w:rsidRPr="00B20E49">
        <w:rPr>
          <w:rFonts w:asciiTheme="minorHAnsi" w:hAnsiTheme="minorHAnsi" w:cs="Arial"/>
          <w:sz w:val="24"/>
          <w:szCs w:val="24"/>
        </w:rPr>
        <w:br/>
        <w:t xml:space="preserve">Demou, E., Hale, H., &amp; Hunt, K. (2020). Understanding the mental health and wellbeing needs of police officers and staff in Scotland. Police Practice and Research: An International Journal , 21 (6), 1–15. </w:t>
      </w:r>
      <w:hyperlink r:id="rId8" w:history="1">
        <w:r w:rsidRPr="00B20E49">
          <w:rPr>
            <w:rStyle w:val="Hyperlink"/>
            <w:rFonts w:asciiTheme="minorHAnsi" w:hAnsiTheme="minorHAnsi" w:cs="Arial"/>
            <w:sz w:val="24"/>
            <w:szCs w:val="24"/>
          </w:rPr>
          <w:t>https://doi.org/10.1080/15614263.2020.1772782</w:t>
        </w:r>
      </w:hyperlink>
    </w:p>
    <w:p w14:paraId="0F01A73E" w14:textId="77777777" w:rsidR="00B20E49" w:rsidRPr="00B20E49" w:rsidRDefault="00B20E49" w:rsidP="00B20E49">
      <w:pPr>
        <w:rPr>
          <w:rFonts w:asciiTheme="minorHAnsi" w:hAnsiTheme="minorHAnsi" w:cs="Arial"/>
          <w:sz w:val="24"/>
          <w:szCs w:val="24"/>
        </w:rPr>
      </w:pPr>
    </w:p>
    <w:p w14:paraId="4D79B0DE" w14:textId="77777777" w:rsidR="00B20E49" w:rsidRPr="00B20E49" w:rsidRDefault="00B20E49" w:rsidP="00B20E49">
      <w:pPr>
        <w:rPr>
          <w:rFonts w:asciiTheme="minorHAnsi" w:hAnsiTheme="minorHAnsi" w:cs="Arial"/>
          <w:sz w:val="24"/>
          <w:szCs w:val="24"/>
        </w:rPr>
      </w:pPr>
      <w:r w:rsidRPr="00B20E49">
        <w:rPr>
          <w:rFonts w:asciiTheme="minorHAnsi" w:hAnsiTheme="minorHAnsi" w:cs="Arial"/>
          <w:sz w:val="24"/>
          <w:szCs w:val="24"/>
        </w:rPr>
        <w:t>Jackman, P. C., Henderson, H., Clay, C., &amp; Coussens, A. H. (2020). The relationship between psychological wellbeing, social support, and personality in an English police force. International Journal of Police Science &amp; Management, 22 , 183–193</w:t>
      </w:r>
    </w:p>
    <w:p w14:paraId="50830918" w14:textId="77777777" w:rsidR="00B20E49" w:rsidRPr="00B20E49" w:rsidRDefault="00B20E49" w:rsidP="00B20E49">
      <w:pPr>
        <w:rPr>
          <w:rFonts w:asciiTheme="minorHAnsi" w:hAnsiTheme="minorHAnsi" w:cs="Arial"/>
          <w:sz w:val="24"/>
          <w:szCs w:val="24"/>
        </w:rPr>
      </w:pPr>
    </w:p>
    <w:p w14:paraId="4E00AC65" w14:textId="77777777" w:rsidR="00B20E49" w:rsidRPr="00B20E49" w:rsidRDefault="00B20E49" w:rsidP="00B20E49">
      <w:pPr>
        <w:rPr>
          <w:rFonts w:asciiTheme="minorHAnsi" w:hAnsiTheme="minorHAnsi" w:cs="Arial"/>
          <w:sz w:val="24"/>
          <w:szCs w:val="24"/>
        </w:rPr>
      </w:pPr>
      <w:r w:rsidRPr="00BC58C0">
        <w:rPr>
          <w:rFonts w:asciiTheme="minorHAnsi" w:hAnsiTheme="minorHAnsi" w:cs="Arial"/>
          <w:sz w:val="24"/>
          <w:szCs w:val="24"/>
        </w:rPr>
        <w:t>Johnson S, Robertson I, Cooper CL (2018) </w:t>
      </w:r>
      <w:r w:rsidRPr="00BC58C0">
        <w:rPr>
          <w:rFonts w:asciiTheme="minorHAnsi" w:hAnsiTheme="minorHAnsi" w:cs="Arial"/>
          <w:i/>
          <w:iCs/>
          <w:sz w:val="24"/>
          <w:szCs w:val="24"/>
        </w:rPr>
        <w:t>Well-Being: Productivity and Happiness at Work</w:t>
      </w:r>
      <w:r w:rsidRPr="00BC58C0">
        <w:rPr>
          <w:rFonts w:asciiTheme="minorHAnsi" w:hAnsiTheme="minorHAnsi" w:cs="Arial"/>
          <w:sz w:val="24"/>
          <w:szCs w:val="24"/>
        </w:rPr>
        <w:t>. Cham, Switzerland: Palgrave Macmillan.</w:t>
      </w:r>
    </w:p>
    <w:p w14:paraId="0AE26DE5" w14:textId="77777777" w:rsidR="00B20E49" w:rsidRPr="00BC58C0" w:rsidRDefault="00B20E49" w:rsidP="00B20E49">
      <w:pPr>
        <w:rPr>
          <w:rFonts w:asciiTheme="minorHAnsi" w:hAnsiTheme="minorHAnsi" w:cs="Arial"/>
          <w:sz w:val="24"/>
          <w:szCs w:val="24"/>
        </w:rPr>
      </w:pPr>
    </w:p>
    <w:p w14:paraId="2B9E9D72" w14:textId="77777777" w:rsidR="00B20E49" w:rsidRPr="00B20E49" w:rsidRDefault="00B20E49" w:rsidP="00B20E49">
      <w:pPr>
        <w:rPr>
          <w:rFonts w:asciiTheme="minorHAnsi" w:hAnsiTheme="minorHAnsi" w:cs="Arial"/>
          <w:b/>
          <w:bCs/>
          <w:sz w:val="24"/>
          <w:szCs w:val="24"/>
          <w:u w:val="single"/>
        </w:rPr>
      </w:pPr>
      <w:r w:rsidRPr="000F1A6E">
        <w:rPr>
          <w:rFonts w:asciiTheme="minorHAnsi" w:hAnsiTheme="minorHAnsi" w:cs="Arial"/>
          <w:sz w:val="24"/>
          <w:szCs w:val="24"/>
        </w:rPr>
        <w:t>Karasek R, Theorell T (1990) </w:t>
      </w:r>
      <w:r w:rsidRPr="000F1A6E">
        <w:rPr>
          <w:rFonts w:asciiTheme="minorHAnsi" w:hAnsiTheme="minorHAnsi" w:cs="Arial"/>
          <w:i/>
          <w:iCs/>
          <w:sz w:val="24"/>
          <w:szCs w:val="24"/>
        </w:rPr>
        <w:t>Healthy Work: Stress, Productivity, and the Reconstruction of Working Life</w:t>
      </w:r>
      <w:r w:rsidRPr="000F1A6E">
        <w:rPr>
          <w:rFonts w:asciiTheme="minorHAnsi" w:hAnsiTheme="minorHAnsi" w:cs="Arial"/>
          <w:sz w:val="24"/>
          <w:szCs w:val="24"/>
        </w:rPr>
        <w:t>. New York: Basic Books</w:t>
      </w:r>
      <w:r w:rsidRPr="000F1A6E">
        <w:rPr>
          <w:rFonts w:asciiTheme="minorHAnsi" w:hAnsiTheme="minorHAnsi" w:cs="Arial"/>
          <w:b/>
          <w:bCs/>
          <w:sz w:val="24"/>
          <w:szCs w:val="24"/>
          <w:u w:val="single"/>
        </w:rPr>
        <w:t>.</w:t>
      </w:r>
    </w:p>
    <w:p w14:paraId="7F0ADB2D" w14:textId="77777777" w:rsidR="00B20E49" w:rsidRPr="000F1A6E" w:rsidRDefault="00B20E49" w:rsidP="00B20E49">
      <w:pPr>
        <w:rPr>
          <w:rFonts w:asciiTheme="minorHAnsi" w:hAnsiTheme="minorHAnsi" w:cs="Arial"/>
          <w:b/>
          <w:bCs/>
          <w:sz w:val="24"/>
          <w:szCs w:val="24"/>
          <w:u w:val="single"/>
        </w:rPr>
      </w:pPr>
    </w:p>
    <w:p w14:paraId="5E875976" w14:textId="77777777" w:rsidR="00B20E49" w:rsidRPr="00B20E49" w:rsidRDefault="00B20E49" w:rsidP="00B20E49">
      <w:pPr>
        <w:rPr>
          <w:rFonts w:asciiTheme="minorHAnsi" w:hAnsiTheme="minorHAnsi" w:cs="Arial"/>
          <w:sz w:val="24"/>
          <w:szCs w:val="24"/>
        </w:rPr>
      </w:pPr>
      <w:r w:rsidRPr="00B20E49">
        <w:rPr>
          <w:rFonts w:asciiTheme="minorHAnsi" w:hAnsiTheme="minorHAnsi" w:cs="Arial"/>
          <w:sz w:val="24"/>
          <w:szCs w:val="24"/>
        </w:rPr>
        <w:t>Mark, G. M., &amp; Smith, A. P. (2008). Stress models: A review and suggested new direction. In J. Houdmont, &amp; S. Leka (Eds.), Occupational Health Psychology: European Perspectives on Research, Education and Practice (3 vol.). Nottingham University Press.</w:t>
      </w:r>
    </w:p>
    <w:p w14:paraId="097FF77C" w14:textId="77777777" w:rsidR="00B20E49" w:rsidRPr="00B20E49" w:rsidRDefault="00B20E49" w:rsidP="00B20E49">
      <w:pPr>
        <w:rPr>
          <w:rFonts w:asciiTheme="minorHAnsi" w:hAnsiTheme="minorHAnsi" w:cs="Arial"/>
          <w:sz w:val="24"/>
          <w:szCs w:val="24"/>
        </w:rPr>
      </w:pPr>
    </w:p>
    <w:p w14:paraId="0D460DF1" w14:textId="77777777" w:rsidR="00B20E49" w:rsidRPr="00B20E49" w:rsidRDefault="00B20E49" w:rsidP="00B20E49">
      <w:pPr>
        <w:rPr>
          <w:rFonts w:asciiTheme="minorHAnsi" w:hAnsiTheme="minorHAnsi" w:cs="Arial"/>
          <w:sz w:val="24"/>
          <w:szCs w:val="24"/>
        </w:rPr>
      </w:pPr>
      <w:r w:rsidRPr="00B20E49">
        <w:rPr>
          <w:rFonts w:asciiTheme="minorHAnsi" w:hAnsiTheme="minorHAnsi" w:cs="Arial"/>
          <w:sz w:val="24"/>
          <w:szCs w:val="24"/>
        </w:rPr>
        <w:t>McCreary, D. R., &amp; Thompson, M. M. (2006). Development of two reliable and valid measures of stressors in policing: The operational and organizational police stress questionnaires. International Journal of Stress Management , 13 , 494–518.</w:t>
      </w:r>
    </w:p>
    <w:p w14:paraId="53918B60" w14:textId="77777777" w:rsidR="00B20E49" w:rsidRPr="00B20E49" w:rsidRDefault="00B20E49" w:rsidP="00B20E49">
      <w:pPr>
        <w:rPr>
          <w:rFonts w:asciiTheme="minorHAnsi" w:hAnsiTheme="minorHAnsi" w:cs="Arial"/>
          <w:sz w:val="24"/>
          <w:szCs w:val="24"/>
        </w:rPr>
      </w:pPr>
    </w:p>
    <w:p w14:paraId="119CBDE4" w14:textId="77777777" w:rsidR="00B20E49" w:rsidRPr="00B20E49" w:rsidRDefault="00B20E49" w:rsidP="00B20E49">
      <w:pPr>
        <w:rPr>
          <w:rFonts w:asciiTheme="minorHAnsi" w:hAnsiTheme="minorHAnsi" w:cs="Arial"/>
          <w:sz w:val="24"/>
          <w:szCs w:val="24"/>
        </w:rPr>
      </w:pPr>
      <w:r w:rsidRPr="00B2653E">
        <w:rPr>
          <w:rFonts w:asciiTheme="minorHAnsi" w:hAnsiTheme="minorHAnsi" w:cs="Arial"/>
          <w:i/>
          <w:iCs/>
          <w:sz w:val="24"/>
          <w:szCs w:val="24"/>
        </w:rPr>
        <w:t>Mental health</w:t>
      </w:r>
      <w:r w:rsidRPr="00B2653E">
        <w:rPr>
          <w:rFonts w:asciiTheme="minorHAnsi" w:hAnsiTheme="minorHAnsi" w:cs="Arial"/>
          <w:sz w:val="24"/>
          <w:szCs w:val="24"/>
        </w:rPr>
        <w:t xml:space="preserve"> (2022) </w:t>
      </w:r>
      <w:r w:rsidRPr="00B2653E">
        <w:rPr>
          <w:rFonts w:asciiTheme="minorHAnsi" w:hAnsiTheme="minorHAnsi" w:cs="Arial"/>
          <w:i/>
          <w:iCs/>
          <w:sz w:val="24"/>
          <w:szCs w:val="24"/>
        </w:rPr>
        <w:t>World Health Organization</w:t>
      </w:r>
      <w:r w:rsidRPr="00B2653E">
        <w:rPr>
          <w:rFonts w:asciiTheme="minorHAnsi" w:hAnsiTheme="minorHAnsi" w:cs="Arial"/>
          <w:sz w:val="24"/>
          <w:szCs w:val="24"/>
        </w:rPr>
        <w:t xml:space="preserve">. Available at: https://www.who.int/news-room/fact-sheets/detail/mental-health-strengthening-our-response (Accessed: 30 June 2025). </w:t>
      </w:r>
    </w:p>
    <w:p w14:paraId="452D8967" w14:textId="77777777" w:rsidR="00B20E49" w:rsidRPr="00B20E49" w:rsidRDefault="00B20E49" w:rsidP="00B20E49">
      <w:pPr>
        <w:rPr>
          <w:rFonts w:asciiTheme="minorHAnsi" w:hAnsiTheme="minorHAnsi" w:cs="Arial"/>
          <w:sz w:val="24"/>
          <w:szCs w:val="24"/>
        </w:rPr>
      </w:pPr>
    </w:p>
    <w:p w14:paraId="7EFD0962" w14:textId="77777777" w:rsidR="00B20E49" w:rsidRPr="00045BAB" w:rsidRDefault="00B20E49" w:rsidP="00B20E49">
      <w:pPr>
        <w:rPr>
          <w:rFonts w:asciiTheme="minorHAnsi" w:hAnsiTheme="minorHAnsi" w:cs="Arial"/>
          <w:sz w:val="24"/>
          <w:szCs w:val="24"/>
        </w:rPr>
      </w:pPr>
      <w:r w:rsidRPr="00045BAB">
        <w:rPr>
          <w:rFonts w:asciiTheme="minorHAnsi" w:hAnsiTheme="minorHAnsi" w:cs="Arial"/>
          <w:sz w:val="24"/>
          <w:szCs w:val="24"/>
        </w:rPr>
        <w:t>Police Federation (</w:t>
      </w:r>
      <w:r w:rsidRPr="00B20E49">
        <w:rPr>
          <w:rFonts w:asciiTheme="minorHAnsi" w:hAnsiTheme="minorHAnsi" w:cs="Arial"/>
          <w:sz w:val="24"/>
          <w:szCs w:val="24"/>
        </w:rPr>
        <w:t>2020</w:t>
      </w:r>
      <w:r w:rsidRPr="00045BAB">
        <w:rPr>
          <w:rFonts w:asciiTheme="minorHAnsi" w:hAnsiTheme="minorHAnsi" w:cs="Arial"/>
          <w:sz w:val="24"/>
          <w:szCs w:val="24"/>
        </w:rPr>
        <w:t xml:space="preserve">) </w:t>
      </w:r>
      <w:r w:rsidRPr="00045BAB">
        <w:rPr>
          <w:rFonts w:asciiTheme="minorHAnsi" w:hAnsiTheme="minorHAnsi" w:cs="Arial"/>
          <w:i/>
          <w:iCs/>
          <w:sz w:val="24"/>
          <w:szCs w:val="24"/>
        </w:rPr>
        <w:t>Hear ‘man up’, think ‘man down’</w:t>
      </w:r>
      <w:r w:rsidRPr="00045BAB">
        <w:rPr>
          <w:rFonts w:asciiTheme="minorHAnsi" w:hAnsiTheme="minorHAnsi" w:cs="Arial"/>
          <w:sz w:val="24"/>
          <w:szCs w:val="24"/>
        </w:rPr>
        <w:t xml:space="preserve">, </w:t>
      </w:r>
      <w:r w:rsidRPr="00045BAB">
        <w:rPr>
          <w:rFonts w:asciiTheme="minorHAnsi" w:hAnsiTheme="minorHAnsi" w:cs="Arial"/>
          <w:i/>
          <w:iCs/>
          <w:sz w:val="24"/>
          <w:szCs w:val="24"/>
        </w:rPr>
        <w:t>Police Federation of England &amp; Wales</w:t>
      </w:r>
      <w:r w:rsidRPr="00045BAB">
        <w:rPr>
          <w:rFonts w:asciiTheme="minorHAnsi" w:hAnsiTheme="minorHAnsi" w:cs="Arial"/>
          <w:sz w:val="24"/>
          <w:szCs w:val="24"/>
        </w:rPr>
        <w:t xml:space="preserve">. Available at: https://www.polfed.org/wasc/about-us/campaigns/hear-man-up-think-man-down/ (Accessed: 30 June 2025). </w:t>
      </w:r>
    </w:p>
    <w:p w14:paraId="4C5DF40E" w14:textId="77777777" w:rsidR="00B20E49" w:rsidRPr="00B20E49" w:rsidRDefault="00B20E49" w:rsidP="00B20E49">
      <w:pPr>
        <w:rPr>
          <w:rFonts w:asciiTheme="minorHAnsi" w:hAnsiTheme="minorHAnsi" w:cs="Arial"/>
          <w:sz w:val="24"/>
          <w:szCs w:val="24"/>
        </w:rPr>
      </w:pPr>
    </w:p>
    <w:p w14:paraId="4B6895E0" w14:textId="77777777" w:rsidR="00B20E49" w:rsidRPr="00B20E49" w:rsidRDefault="00B20E49" w:rsidP="00B20E49">
      <w:pPr>
        <w:rPr>
          <w:rFonts w:asciiTheme="minorHAnsi" w:hAnsiTheme="minorHAnsi" w:cs="Arial"/>
          <w:sz w:val="24"/>
          <w:szCs w:val="24"/>
        </w:rPr>
      </w:pPr>
      <w:r w:rsidRPr="00B20E49">
        <w:rPr>
          <w:rFonts w:asciiTheme="minorHAnsi" w:hAnsiTheme="minorHAnsi" w:cs="Arial"/>
          <w:sz w:val="24"/>
          <w:szCs w:val="24"/>
        </w:rPr>
        <w:lastRenderedPageBreak/>
        <w:t>Phythian, R., Birdsall, N., Kirby, S., Cooper, E., Posner, Z., &amp; Boulton, L. (2022). Developments in UK police wellbeing: A review of blue light wellbeing frameworks. </w:t>
      </w:r>
      <w:r w:rsidRPr="00B20E49">
        <w:rPr>
          <w:rFonts w:asciiTheme="minorHAnsi" w:hAnsiTheme="minorHAnsi" w:cs="Arial"/>
          <w:i/>
          <w:iCs/>
          <w:sz w:val="24"/>
          <w:szCs w:val="24"/>
        </w:rPr>
        <w:t>The Police Journal</w:t>
      </w:r>
      <w:r w:rsidRPr="00B20E49">
        <w:rPr>
          <w:rFonts w:asciiTheme="minorHAnsi" w:hAnsiTheme="minorHAnsi" w:cs="Arial"/>
          <w:sz w:val="24"/>
          <w:szCs w:val="24"/>
        </w:rPr>
        <w:t>, </w:t>
      </w:r>
      <w:r w:rsidRPr="00B20E49">
        <w:rPr>
          <w:rFonts w:asciiTheme="minorHAnsi" w:hAnsiTheme="minorHAnsi" w:cs="Arial"/>
          <w:i/>
          <w:iCs/>
          <w:sz w:val="24"/>
          <w:szCs w:val="24"/>
        </w:rPr>
        <w:t>95</w:t>
      </w:r>
      <w:r w:rsidRPr="00B20E49">
        <w:rPr>
          <w:rFonts w:asciiTheme="minorHAnsi" w:hAnsiTheme="minorHAnsi" w:cs="Arial"/>
          <w:sz w:val="24"/>
          <w:szCs w:val="24"/>
        </w:rPr>
        <w:t>(1), 24-49. </w:t>
      </w:r>
      <w:hyperlink r:id="rId9" w:history="1">
        <w:r w:rsidRPr="00B20E49">
          <w:rPr>
            <w:rStyle w:val="Hyperlink"/>
            <w:rFonts w:asciiTheme="minorHAnsi" w:hAnsiTheme="minorHAnsi" w:cs="Arial"/>
            <w:color w:val="auto"/>
            <w:sz w:val="24"/>
            <w:szCs w:val="24"/>
            <w:u w:val="none"/>
          </w:rPr>
          <w:t>https://doiorg.ezproxy.uwtsd.ac.uk/10.1177/0032258X211073003</w:t>
        </w:r>
      </w:hyperlink>
      <w:r w:rsidRPr="00B20E49">
        <w:rPr>
          <w:rFonts w:asciiTheme="minorHAnsi" w:hAnsiTheme="minorHAnsi" w:cs="Arial"/>
          <w:sz w:val="24"/>
          <w:szCs w:val="24"/>
        </w:rPr>
        <w:t> </w:t>
      </w:r>
    </w:p>
    <w:p w14:paraId="064A9595" w14:textId="77777777" w:rsidR="00B20E49" w:rsidRPr="00B2653E" w:rsidRDefault="00B20E49" w:rsidP="00B20E49">
      <w:pPr>
        <w:rPr>
          <w:rFonts w:asciiTheme="minorHAnsi" w:hAnsiTheme="minorHAnsi" w:cs="Arial"/>
          <w:sz w:val="24"/>
          <w:szCs w:val="24"/>
        </w:rPr>
      </w:pPr>
    </w:p>
    <w:p w14:paraId="76593B7C" w14:textId="77777777" w:rsidR="00B20E49" w:rsidRPr="00B20E49" w:rsidRDefault="00B20E49" w:rsidP="00B20E49">
      <w:pPr>
        <w:rPr>
          <w:rFonts w:asciiTheme="minorHAnsi" w:hAnsiTheme="minorHAnsi" w:cs="Arial"/>
          <w:sz w:val="24"/>
          <w:szCs w:val="24"/>
        </w:rPr>
      </w:pPr>
      <w:r w:rsidRPr="00B20E49">
        <w:rPr>
          <w:rFonts w:asciiTheme="minorHAnsi" w:hAnsiTheme="minorHAnsi" w:cs="Arial"/>
          <w:sz w:val="24"/>
          <w:szCs w:val="24"/>
        </w:rPr>
        <w:t>Territo L, Vetter HJ. Stress and police personnel. J Police Sci Adm. 1981;9(2):195–208.</w:t>
      </w:r>
    </w:p>
    <w:p w14:paraId="06D1518D" w14:textId="77777777" w:rsidR="00B20E49" w:rsidRDefault="00B20E49">
      <w:pPr>
        <w:rPr>
          <w:rFonts w:asciiTheme="minorHAnsi" w:hAnsiTheme="minorHAnsi"/>
        </w:rPr>
      </w:pPr>
    </w:p>
    <w:p w14:paraId="62EE7A0C" w14:textId="77777777" w:rsidR="00E26F2C" w:rsidRDefault="00E26F2C">
      <w:pPr>
        <w:rPr>
          <w:rFonts w:asciiTheme="minorHAnsi" w:hAnsiTheme="minorHAnsi"/>
        </w:rPr>
      </w:pPr>
    </w:p>
    <w:p w14:paraId="644B554B" w14:textId="77777777" w:rsidR="00E26F2C" w:rsidRDefault="00E26F2C">
      <w:pPr>
        <w:rPr>
          <w:rFonts w:asciiTheme="minorHAnsi" w:hAnsiTheme="minorHAnsi"/>
        </w:rPr>
      </w:pPr>
    </w:p>
    <w:p w14:paraId="524E858E" w14:textId="77777777" w:rsidR="00E26F2C" w:rsidRDefault="00E26F2C">
      <w:pPr>
        <w:rPr>
          <w:rFonts w:asciiTheme="minorHAnsi" w:hAnsiTheme="minorHAnsi"/>
        </w:rPr>
      </w:pPr>
    </w:p>
    <w:p w14:paraId="5A68CF75" w14:textId="77777777" w:rsidR="00E26F2C" w:rsidRDefault="00E26F2C">
      <w:pPr>
        <w:rPr>
          <w:rFonts w:asciiTheme="minorHAnsi" w:hAnsiTheme="minorHAnsi"/>
        </w:rPr>
      </w:pPr>
    </w:p>
    <w:p w14:paraId="46C89E19" w14:textId="77777777" w:rsidR="00577887" w:rsidRDefault="00577887">
      <w:pPr>
        <w:rPr>
          <w:rFonts w:asciiTheme="minorHAnsi" w:hAnsiTheme="minorHAnsi"/>
        </w:rPr>
      </w:pPr>
    </w:p>
    <w:p w14:paraId="0B97ADA1" w14:textId="77777777" w:rsidR="00E26F2C" w:rsidRPr="00A10E5B" w:rsidRDefault="00E26F2C" w:rsidP="00E26F2C">
      <w:pPr>
        <w:spacing w:line="257" w:lineRule="auto"/>
        <w:ind w:right="531"/>
        <w:rPr>
          <w:rFonts w:ascii="Arial" w:hAnsi="Arial" w:cs="Arial"/>
          <w:b/>
          <w:bCs/>
          <w:sz w:val="22"/>
          <w:szCs w:val="22"/>
        </w:rPr>
      </w:pPr>
      <w:r w:rsidRPr="00A10E5B">
        <w:rPr>
          <w:rFonts w:ascii="Arial" w:hAnsi="Arial" w:cs="Arial"/>
          <w:b/>
          <w:bCs/>
          <w:sz w:val="22"/>
          <w:szCs w:val="22"/>
        </w:rPr>
        <w:t xml:space="preserve">Essay 3: </w:t>
      </w:r>
    </w:p>
    <w:p w14:paraId="54ECC10B" w14:textId="77777777" w:rsidR="00E26F2C" w:rsidRPr="00A10E5B" w:rsidRDefault="00E26F2C" w:rsidP="00E26F2C">
      <w:pPr>
        <w:spacing w:line="257" w:lineRule="auto"/>
        <w:ind w:right="531"/>
        <w:rPr>
          <w:rFonts w:ascii="Arial" w:eastAsia="Calibri" w:hAnsi="Arial" w:cs="Arial"/>
          <w:b/>
          <w:bCs/>
          <w:sz w:val="22"/>
          <w:szCs w:val="22"/>
        </w:rPr>
      </w:pPr>
      <w:r w:rsidRPr="00A10E5B">
        <w:rPr>
          <w:rFonts w:ascii="Arial" w:eastAsia="Calibri" w:hAnsi="Arial" w:cs="Arial"/>
          <w:b/>
          <w:bCs/>
          <w:sz w:val="22"/>
          <w:szCs w:val="22"/>
        </w:rPr>
        <w:t>Outline potential links between serious and organised crime and public protection issues. What characteristics make some people more vulnerable to exploitation by serious and organised crime gangs?</w:t>
      </w:r>
    </w:p>
    <w:p w14:paraId="19B6AEBF" w14:textId="77777777" w:rsidR="00E26F2C" w:rsidRPr="00A10E5B" w:rsidRDefault="00E26F2C" w:rsidP="00E26F2C">
      <w:pPr>
        <w:rPr>
          <w:rFonts w:ascii="Arial" w:hAnsi="Arial" w:cs="Arial"/>
          <w:b/>
          <w:bCs/>
          <w:sz w:val="22"/>
          <w:szCs w:val="22"/>
        </w:rPr>
      </w:pPr>
    </w:p>
    <w:p w14:paraId="105A9082" w14:textId="77777777" w:rsidR="00E26F2C" w:rsidRPr="00557F46" w:rsidRDefault="00E26F2C" w:rsidP="00E26F2C">
      <w:pPr>
        <w:rPr>
          <w:rFonts w:ascii="Arial" w:hAnsi="Arial" w:cs="Arial"/>
          <w:b/>
          <w:bCs/>
          <w:sz w:val="22"/>
          <w:szCs w:val="22"/>
        </w:rPr>
      </w:pPr>
    </w:p>
    <w:p w14:paraId="7D668AC3" w14:textId="77777777" w:rsidR="00E26F2C" w:rsidRPr="00CF270D" w:rsidRDefault="00E26F2C" w:rsidP="00E26F2C">
      <w:pPr>
        <w:rPr>
          <w:rFonts w:asciiTheme="minorHAnsi" w:hAnsiTheme="minorHAnsi" w:cs="Arial"/>
          <w:sz w:val="24"/>
          <w:szCs w:val="24"/>
        </w:rPr>
      </w:pPr>
      <w:r w:rsidRPr="00CF270D">
        <w:rPr>
          <w:rFonts w:asciiTheme="minorHAnsi" w:hAnsiTheme="minorHAnsi" w:cs="Arial"/>
          <w:sz w:val="24"/>
          <w:szCs w:val="24"/>
        </w:rPr>
        <w:t xml:space="preserve">In this essay I will be discussing possible connections between organised crime and any public safety concerns. I will also be discussing the traits that increase a person’s susceptibility to exploitation throughout. According to the Home office’s Serious and Organised Crime strategy (2013), organised crime can be defined as a significant crime that is continuously planned, coordinated, and carried out by individuals working together. Financial gain is often, but not always the driving force behind them. However, the same article defines severe crime as any crime that necessitates a national response even if it is not always arranged. This includes numerous forms of child sexual exploitation and fraud (Home Office, 2013). The Serious Crime Act states that it is an offence for “a person who participates in the criminal activities of an organised crime group” (GOV.UK, 2025). Statistics from NAO (2025) show that there were 4,500 organised crime groups identified in the United Kingdom. </w:t>
      </w:r>
    </w:p>
    <w:p w14:paraId="61E65C3D" w14:textId="77777777" w:rsidR="00E26F2C" w:rsidRPr="00CF270D" w:rsidRDefault="00E26F2C" w:rsidP="00E26F2C">
      <w:pPr>
        <w:rPr>
          <w:rFonts w:asciiTheme="minorHAnsi" w:hAnsiTheme="minorHAnsi" w:cs="Arial"/>
          <w:sz w:val="24"/>
          <w:szCs w:val="24"/>
        </w:rPr>
      </w:pPr>
    </w:p>
    <w:p w14:paraId="5D6D84AC" w14:textId="77777777" w:rsidR="00E26F2C" w:rsidRPr="00CF270D" w:rsidRDefault="00E26F2C" w:rsidP="00E26F2C">
      <w:pPr>
        <w:rPr>
          <w:rFonts w:asciiTheme="minorHAnsi" w:hAnsiTheme="minorHAnsi" w:cs="Arial"/>
          <w:sz w:val="24"/>
          <w:szCs w:val="24"/>
        </w:rPr>
      </w:pPr>
      <w:r w:rsidRPr="00CF270D">
        <w:rPr>
          <w:rFonts w:asciiTheme="minorHAnsi" w:hAnsiTheme="minorHAnsi" w:cs="Arial"/>
          <w:sz w:val="24"/>
          <w:szCs w:val="24"/>
        </w:rPr>
        <w:t xml:space="preserve">There are numerous characteristics that can make individuals more vulnerable and susceptible to participating and being exploited to criminal activity in organised crime groups. The United Kingdom’s National Crime Agency (NCA) acknowledges the part that compulsion, exploitation and grooming play a part in enticing people into organised crime (National Crime Agency, 2015). The following priorities and interventions have mostly concentrated on action, with the main priorities being “the disruption of organised crime activities, the reduction of organised crime offenders” with an emphasis on prosecution and making sure the legal powers are in place for such crimes, even though vulnerability is acknowledged and prevention is a crucial component of the serious and organised crime strategy (National Crime Agency, 2015). </w:t>
      </w:r>
    </w:p>
    <w:p w14:paraId="4D87A5A2" w14:textId="77777777" w:rsidR="00E26F2C" w:rsidRPr="00CF270D" w:rsidRDefault="00E26F2C" w:rsidP="00E26F2C">
      <w:pPr>
        <w:rPr>
          <w:rFonts w:asciiTheme="minorHAnsi" w:hAnsiTheme="minorHAnsi" w:cs="Arial"/>
          <w:color w:val="FF0000"/>
          <w:sz w:val="24"/>
          <w:szCs w:val="24"/>
          <w:u w:val="single"/>
        </w:rPr>
      </w:pPr>
    </w:p>
    <w:p w14:paraId="67EA07F3" w14:textId="77777777" w:rsidR="00E26F2C" w:rsidRPr="00CF270D" w:rsidRDefault="00E26F2C" w:rsidP="00E26F2C">
      <w:pPr>
        <w:rPr>
          <w:rFonts w:asciiTheme="minorHAnsi" w:hAnsiTheme="minorHAnsi" w:cs="Arial"/>
          <w:sz w:val="24"/>
          <w:szCs w:val="24"/>
        </w:rPr>
      </w:pPr>
      <w:r w:rsidRPr="00CF270D">
        <w:rPr>
          <w:rFonts w:asciiTheme="minorHAnsi" w:hAnsiTheme="minorHAnsi" w:cs="Arial"/>
          <w:sz w:val="24"/>
          <w:szCs w:val="24"/>
        </w:rPr>
        <w:t>One of the characteristics that makes individuals vulnerable are young people and their childhood. Families, schools, peers and neighbourhoods are all social risk factors linked to gang participation and exploitation (Aldridge </w:t>
      </w:r>
      <w:r w:rsidRPr="00CF270D">
        <w:rPr>
          <w:rFonts w:asciiTheme="minorHAnsi" w:hAnsiTheme="minorHAnsi" w:cs="Arial"/>
          <w:i/>
          <w:iCs/>
          <w:sz w:val="24"/>
          <w:szCs w:val="24"/>
        </w:rPr>
        <w:t>et al.</w:t>
      </w:r>
      <w:r w:rsidRPr="00CF270D">
        <w:rPr>
          <w:rFonts w:asciiTheme="minorHAnsi" w:hAnsiTheme="minorHAnsi" w:cs="Arial"/>
          <w:sz w:val="24"/>
          <w:szCs w:val="24"/>
        </w:rPr>
        <w:t>, 2012). Aldridge </w:t>
      </w:r>
      <w:r w:rsidRPr="00CF270D">
        <w:rPr>
          <w:rFonts w:asciiTheme="minorHAnsi" w:hAnsiTheme="minorHAnsi" w:cs="Arial"/>
          <w:i/>
          <w:iCs/>
          <w:sz w:val="24"/>
          <w:szCs w:val="24"/>
        </w:rPr>
        <w:t>et al</w:t>
      </w:r>
      <w:r w:rsidRPr="000E415D">
        <w:rPr>
          <w:rFonts w:asciiTheme="minorHAnsi" w:hAnsiTheme="minorHAnsi" w:cs="Arial"/>
          <w:sz w:val="24"/>
          <w:szCs w:val="24"/>
        </w:rPr>
        <w:t xml:space="preserve"> (2012) states that </w:t>
      </w:r>
      <w:r w:rsidRPr="00CF270D">
        <w:rPr>
          <w:rFonts w:asciiTheme="minorHAnsi" w:hAnsiTheme="minorHAnsi" w:cs="Arial"/>
          <w:i/>
          <w:iCs/>
          <w:sz w:val="24"/>
          <w:szCs w:val="24"/>
        </w:rPr>
        <w:t>s</w:t>
      </w:r>
      <w:r w:rsidRPr="00CF270D">
        <w:rPr>
          <w:rFonts w:asciiTheme="minorHAnsi" w:hAnsiTheme="minorHAnsi" w:cs="Arial"/>
          <w:sz w:val="24"/>
          <w:szCs w:val="24"/>
        </w:rPr>
        <w:t xml:space="preserve">chool exclusion and repeated hospitalisations for violent victimisation are known as markers of risks for exploitation, as are the effects of early traumatic childhood experiences such as parental violence and drug use, behavioural disorders and social adversity. Family members can either directly or indirectly contribute to gang </w:t>
      </w:r>
      <w:r w:rsidRPr="00CF270D">
        <w:rPr>
          <w:rFonts w:asciiTheme="minorHAnsi" w:hAnsiTheme="minorHAnsi" w:cs="Arial"/>
          <w:sz w:val="24"/>
          <w:szCs w:val="24"/>
        </w:rPr>
        <w:lastRenderedPageBreak/>
        <w:t>involvement through membership, as well as through monitoring and parenting behaviours (Aldridge </w:t>
      </w:r>
      <w:r w:rsidRPr="00CF270D">
        <w:rPr>
          <w:rFonts w:asciiTheme="minorHAnsi" w:hAnsiTheme="minorHAnsi" w:cs="Arial"/>
          <w:i/>
          <w:iCs/>
          <w:sz w:val="24"/>
          <w:szCs w:val="24"/>
        </w:rPr>
        <w:t>et al.</w:t>
      </w:r>
      <w:r w:rsidRPr="00CF270D">
        <w:rPr>
          <w:rFonts w:asciiTheme="minorHAnsi" w:hAnsiTheme="minorHAnsi" w:cs="Arial"/>
          <w:sz w:val="24"/>
          <w:szCs w:val="24"/>
        </w:rPr>
        <w:t>, 2012).</w:t>
      </w:r>
    </w:p>
    <w:p w14:paraId="183FD5CA" w14:textId="77777777" w:rsidR="00E26F2C" w:rsidRDefault="00E26F2C" w:rsidP="00E26F2C">
      <w:pPr>
        <w:rPr>
          <w:rFonts w:asciiTheme="minorHAnsi" w:hAnsiTheme="minorHAnsi" w:cs="Arial"/>
          <w:color w:val="FF0000"/>
          <w:sz w:val="24"/>
          <w:szCs w:val="24"/>
        </w:rPr>
      </w:pPr>
    </w:p>
    <w:p w14:paraId="63F9580F" w14:textId="77777777" w:rsidR="00E26F2C" w:rsidRPr="00CF270D" w:rsidRDefault="00E26F2C" w:rsidP="00E26F2C">
      <w:pPr>
        <w:rPr>
          <w:rFonts w:asciiTheme="minorHAnsi" w:hAnsiTheme="minorHAnsi" w:cs="Arial"/>
          <w:color w:val="FF0000"/>
          <w:sz w:val="24"/>
          <w:szCs w:val="24"/>
        </w:rPr>
      </w:pPr>
      <w:r w:rsidRPr="00CF270D">
        <w:rPr>
          <w:rFonts w:asciiTheme="minorHAnsi" w:hAnsiTheme="minorHAnsi" w:cs="Arial"/>
          <w:sz w:val="24"/>
          <w:szCs w:val="24"/>
        </w:rPr>
        <w:t xml:space="preserve">In addition to this, Glover Williams &amp; Finlay (2018) suggests that social media is used to attract “clean skins” but gangs also target vulnerable youths, such as those who are homeless, neglected, live in unstable situations or who are cared for children. After that, they are deceived, threatened, coerced and sexually, emotionally and physically exploited. The young people may be pressured into finding additional children who could be recruited, however for fear of self-incrimination or retaliation by the perpetrator, they can be reluctant to involve the police. </w:t>
      </w:r>
    </w:p>
    <w:p w14:paraId="6C7D993B" w14:textId="77777777" w:rsidR="00E26F2C" w:rsidRPr="00CF270D" w:rsidRDefault="00E26F2C" w:rsidP="00E26F2C">
      <w:pPr>
        <w:rPr>
          <w:rFonts w:asciiTheme="minorHAnsi" w:hAnsiTheme="minorHAnsi" w:cs="Arial"/>
          <w:sz w:val="24"/>
          <w:szCs w:val="24"/>
          <w:u w:val="single"/>
        </w:rPr>
      </w:pPr>
    </w:p>
    <w:p w14:paraId="3C7CDE66" w14:textId="5E8D7633" w:rsidR="00E26F2C" w:rsidRDefault="00E26F2C" w:rsidP="00E26F2C">
      <w:pPr>
        <w:rPr>
          <w:rFonts w:asciiTheme="minorHAnsi" w:hAnsiTheme="minorHAnsi" w:cs="Arial"/>
          <w:sz w:val="24"/>
          <w:szCs w:val="24"/>
        </w:rPr>
      </w:pPr>
      <w:r w:rsidRPr="00CF270D">
        <w:rPr>
          <w:rFonts w:asciiTheme="minorHAnsi" w:hAnsiTheme="minorHAnsi" w:cs="Arial"/>
          <w:sz w:val="24"/>
          <w:szCs w:val="24"/>
        </w:rPr>
        <w:t>In order to avoid detection, perpetrators may take advantage of victims, such as “County Lines”.</w:t>
      </w:r>
      <w:r w:rsidRPr="00164C8F">
        <w:rPr>
          <w:rFonts w:asciiTheme="minorHAnsi" w:hAnsiTheme="minorHAnsi" w:cs="Arial"/>
          <w:sz w:val="24"/>
          <w:szCs w:val="24"/>
        </w:rPr>
        <w:t xml:space="preserve"> </w:t>
      </w:r>
      <w:r w:rsidR="00E90102">
        <w:rPr>
          <w:rFonts w:asciiTheme="minorHAnsi" w:hAnsiTheme="minorHAnsi" w:cs="Arial"/>
          <w:sz w:val="24"/>
          <w:szCs w:val="24"/>
        </w:rPr>
        <w:t xml:space="preserve">In the </w:t>
      </w:r>
      <w:r w:rsidR="005F6292">
        <w:rPr>
          <w:rFonts w:asciiTheme="minorHAnsi" w:hAnsiTheme="minorHAnsi" w:cs="Arial"/>
          <w:sz w:val="24"/>
          <w:szCs w:val="24"/>
        </w:rPr>
        <w:t>United Kingdom</w:t>
      </w:r>
      <w:r w:rsidR="00A96919">
        <w:rPr>
          <w:rFonts w:asciiTheme="minorHAnsi" w:hAnsiTheme="minorHAnsi" w:cs="Arial"/>
          <w:sz w:val="24"/>
          <w:szCs w:val="24"/>
        </w:rPr>
        <w:t>, a recently developed drug distribution network that involves transporting and distributing drugs from large metropolitan centres to provincial</w:t>
      </w:r>
      <w:r w:rsidR="00A05297">
        <w:rPr>
          <w:rFonts w:asciiTheme="minorHAnsi" w:hAnsiTheme="minorHAnsi" w:cs="Arial"/>
          <w:sz w:val="24"/>
          <w:szCs w:val="24"/>
        </w:rPr>
        <w:t xml:space="preserve"> local or rural towns is now commonly referred to as “County Lines”</w:t>
      </w:r>
      <w:r w:rsidR="003E59E3">
        <w:rPr>
          <w:rFonts w:asciiTheme="minorHAnsi" w:hAnsiTheme="minorHAnsi" w:cs="Arial"/>
          <w:sz w:val="24"/>
          <w:szCs w:val="24"/>
        </w:rPr>
        <w:t xml:space="preserve"> (</w:t>
      </w:r>
      <w:r w:rsidR="003E59E3" w:rsidRPr="003E59E3">
        <w:rPr>
          <w:rFonts w:asciiTheme="minorHAnsi" w:hAnsiTheme="minorHAnsi"/>
          <w:sz w:val="24"/>
          <w:szCs w:val="24"/>
        </w:rPr>
        <w:t>Atkinson-Sheppard</w:t>
      </w:r>
      <w:r w:rsidR="003E59E3">
        <w:rPr>
          <w:rFonts w:asciiTheme="minorHAnsi" w:hAnsiTheme="minorHAnsi"/>
          <w:sz w:val="24"/>
          <w:szCs w:val="24"/>
        </w:rPr>
        <w:t xml:space="preserve"> </w:t>
      </w:r>
      <w:r w:rsidR="003E59E3" w:rsidRPr="003E59E3">
        <w:rPr>
          <w:rFonts w:asciiTheme="minorHAnsi" w:hAnsiTheme="minorHAnsi"/>
          <w:i/>
          <w:iCs/>
          <w:sz w:val="24"/>
          <w:szCs w:val="24"/>
        </w:rPr>
        <w:t>et al.</w:t>
      </w:r>
      <w:r w:rsidR="003E59E3" w:rsidRPr="003E59E3">
        <w:rPr>
          <w:rFonts w:asciiTheme="minorHAnsi" w:hAnsiTheme="minorHAnsi"/>
          <w:sz w:val="24"/>
          <w:szCs w:val="24"/>
        </w:rPr>
        <w:t xml:space="preserve"> 2023)</w:t>
      </w:r>
      <w:r w:rsidR="003E59E3">
        <w:rPr>
          <w:rFonts w:asciiTheme="minorHAnsi" w:hAnsiTheme="minorHAnsi"/>
          <w:sz w:val="24"/>
          <w:szCs w:val="24"/>
        </w:rPr>
        <w:t>.</w:t>
      </w:r>
      <w:r w:rsidR="00ED63E0">
        <w:rPr>
          <w:rFonts w:asciiTheme="minorHAnsi" w:hAnsiTheme="minorHAnsi" w:cs="Arial"/>
          <w:sz w:val="24"/>
          <w:szCs w:val="24"/>
        </w:rPr>
        <w:t xml:space="preserve">The </w:t>
      </w:r>
      <w:r w:rsidR="002D6581">
        <w:rPr>
          <w:rFonts w:asciiTheme="minorHAnsi" w:hAnsiTheme="minorHAnsi" w:cs="Arial"/>
          <w:sz w:val="24"/>
          <w:szCs w:val="24"/>
        </w:rPr>
        <w:t xml:space="preserve">exploitation and manipulation of adults and young people to transport and deliver drugs is essential to the functioning of county lines, as this allows the drug gangs </w:t>
      </w:r>
      <w:r w:rsidR="005F6292">
        <w:rPr>
          <w:rFonts w:asciiTheme="minorHAnsi" w:hAnsiTheme="minorHAnsi" w:cs="Arial"/>
          <w:sz w:val="24"/>
          <w:szCs w:val="24"/>
        </w:rPr>
        <w:t>to lower the danger of criminal activity by separating them from the supply transaction</w:t>
      </w:r>
      <w:r w:rsidR="003E59E3">
        <w:rPr>
          <w:rFonts w:asciiTheme="minorHAnsi" w:hAnsiTheme="minorHAnsi" w:cs="Arial"/>
          <w:sz w:val="24"/>
          <w:szCs w:val="24"/>
        </w:rPr>
        <w:t xml:space="preserve"> </w:t>
      </w:r>
      <w:r w:rsidR="003E59E3">
        <w:rPr>
          <w:rFonts w:asciiTheme="minorHAnsi" w:hAnsiTheme="minorHAnsi" w:cs="Arial"/>
          <w:sz w:val="24"/>
          <w:szCs w:val="24"/>
        </w:rPr>
        <w:t>(</w:t>
      </w:r>
      <w:r w:rsidR="003E59E3" w:rsidRPr="003E59E3">
        <w:rPr>
          <w:rFonts w:asciiTheme="minorHAnsi" w:hAnsiTheme="minorHAnsi"/>
          <w:sz w:val="24"/>
          <w:szCs w:val="24"/>
        </w:rPr>
        <w:t>Atkinson-Sheppard</w:t>
      </w:r>
      <w:r w:rsidR="003E59E3">
        <w:rPr>
          <w:rFonts w:asciiTheme="minorHAnsi" w:hAnsiTheme="minorHAnsi"/>
          <w:sz w:val="24"/>
          <w:szCs w:val="24"/>
        </w:rPr>
        <w:t xml:space="preserve"> </w:t>
      </w:r>
      <w:r w:rsidR="003E59E3" w:rsidRPr="003E59E3">
        <w:rPr>
          <w:rFonts w:asciiTheme="minorHAnsi" w:hAnsiTheme="minorHAnsi"/>
          <w:i/>
          <w:iCs/>
          <w:sz w:val="24"/>
          <w:szCs w:val="24"/>
        </w:rPr>
        <w:t>et al.</w:t>
      </w:r>
      <w:r w:rsidR="003E59E3" w:rsidRPr="003E59E3">
        <w:rPr>
          <w:rFonts w:asciiTheme="minorHAnsi" w:hAnsiTheme="minorHAnsi"/>
          <w:sz w:val="24"/>
          <w:szCs w:val="24"/>
        </w:rPr>
        <w:t xml:space="preserve"> 2023)</w:t>
      </w:r>
      <w:r w:rsidR="003E59E3">
        <w:rPr>
          <w:rFonts w:asciiTheme="minorHAnsi" w:hAnsiTheme="minorHAnsi"/>
          <w:sz w:val="24"/>
          <w:szCs w:val="24"/>
        </w:rPr>
        <w:t>.</w:t>
      </w:r>
    </w:p>
    <w:p w14:paraId="1D6CB9B0" w14:textId="77777777" w:rsidR="00E26F2C" w:rsidRDefault="00E26F2C" w:rsidP="00E26F2C">
      <w:pPr>
        <w:rPr>
          <w:rFonts w:asciiTheme="minorHAnsi" w:hAnsiTheme="minorHAnsi" w:cs="Arial"/>
          <w:sz w:val="24"/>
          <w:szCs w:val="24"/>
        </w:rPr>
      </w:pPr>
    </w:p>
    <w:p w14:paraId="6F1C451D" w14:textId="77777777" w:rsidR="00E26F2C" w:rsidRPr="00CF270D" w:rsidRDefault="00E26F2C" w:rsidP="00E26F2C">
      <w:pPr>
        <w:rPr>
          <w:rFonts w:asciiTheme="minorHAnsi" w:hAnsiTheme="minorHAnsi" w:cs="Arial"/>
          <w:sz w:val="24"/>
          <w:szCs w:val="24"/>
        </w:rPr>
      </w:pPr>
      <w:r>
        <w:rPr>
          <w:rFonts w:asciiTheme="minorHAnsi" w:hAnsiTheme="minorHAnsi" w:cs="Arial"/>
          <w:sz w:val="24"/>
          <w:szCs w:val="24"/>
        </w:rPr>
        <w:t>This is a huge public protection issue the United Kingdom are currently facing due to organised crime groups having links all over the country. Police forces are constantly liaising with one another to track and limit the county lines activities happening between force borders.</w:t>
      </w:r>
    </w:p>
    <w:p w14:paraId="2A9461DF" w14:textId="77777777" w:rsidR="00E26F2C" w:rsidRPr="00CF270D" w:rsidRDefault="00E26F2C" w:rsidP="00E26F2C">
      <w:pPr>
        <w:rPr>
          <w:rFonts w:asciiTheme="minorHAnsi" w:hAnsiTheme="minorHAnsi" w:cs="Arial"/>
          <w:sz w:val="24"/>
          <w:szCs w:val="24"/>
        </w:rPr>
      </w:pPr>
      <w:r w:rsidRPr="00CF270D">
        <w:rPr>
          <w:rFonts w:asciiTheme="minorHAnsi" w:hAnsiTheme="minorHAnsi" w:cs="Arial"/>
          <w:sz w:val="24"/>
          <w:szCs w:val="24"/>
        </w:rPr>
        <w:t>They manipulate and exert coercive control over vulnerable individuals and children. Since they are doing the “dirty work” and keeping the gang leaders apart from the criminals, these runners are frequently the first people to be apprehended by the police (GOV.UK, 2023).</w:t>
      </w:r>
    </w:p>
    <w:p w14:paraId="197B7710" w14:textId="77777777" w:rsidR="00E26F2C" w:rsidRPr="00CF270D" w:rsidRDefault="00E26F2C" w:rsidP="00E26F2C">
      <w:pPr>
        <w:rPr>
          <w:rFonts w:asciiTheme="minorHAnsi" w:hAnsiTheme="minorHAnsi" w:cs="Arial"/>
          <w:sz w:val="24"/>
          <w:szCs w:val="24"/>
        </w:rPr>
      </w:pPr>
    </w:p>
    <w:p w14:paraId="30936C7E" w14:textId="77777777" w:rsidR="00E26F2C" w:rsidRDefault="00E26F2C" w:rsidP="00E26F2C">
      <w:pPr>
        <w:rPr>
          <w:rFonts w:asciiTheme="minorHAnsi" w:hAnsiTheme="minorHAnsi" w:cs="Arial"/>
          <w:sz w:val="24"/>
          <w:szCs w:val="24"/>
        </w:rPr>
      </w:pPr>
      <w:r w:rsidRPr="00CF270D">
        <w:rPr>
          <w:rFonts w:asciiTheme="minorHAnsi" w:hAnsiTheme="minorHAnsi" w:cs="Arial"/>
          <w:sz w:val="24"/>
          <w:szCs w:val="24"/>
        </w:rPr>
        <w:t xml:space="preserve">Although the majority of victims are young girls in organised crime, there is mounting evidence that shows that young boys are more prevalent than previously believed and may be more vulnerable in some situations (Capaldi </w:t>
      </w:r>
      <w:r w:rsidRPr="00CF270D">
        <w:rPr>
          <w:rFonts w:asciiTheme="minorHAnsi" w:hAnsiTheme="minorHAnsi" w:cs="Arial"/>
          <w:i/>
          <w:iCs/>
          <w:sz w:val="24"/>
          <w:szCs w:val="24"/>
        </w:rPr>
        <w:t xml:space="preserve">et al., </w:t>
      </w:r>
      <w:r w:rsidRPr="00CF270D">
        <w:rPr>
          <w:rFonts w:asciiTheme="minorHAnsi" w:hAnsiTheme="minorHAnsi" w:cs="Arial"/>
          <w:sz w:val="24"/>
          <w:szCs w:val="24"/>
        </w:rPr>
        <w:t xml:space="preserve">2024). Females are seen to be usually more sexually exploited in organised crime, whereas males are used more in the “county lines” crimes. Following on from this, child sexual abuse in young people can cause feelings of shame, guilt and loneliness during a period when children are often attempting to understand their sexual identities. Young individuals who actively participate in dangerous behaviour or are directly involved in circumstances of sexual violence have been connected to experiencing sexual exploitation and other forms of violence as a result of their gender or sexual identity (Capaldi </w:t>
      </w:r>
      <w:r w:rsidRPr="00CF270D">
        <w:rPr>
          <w:rFonts w:asciiTheme="minorHAnsi" w:hAnsiTheme="minorHAnsi" w:cs="Arial"/>
          <w:i/>
          <w:iCs/>
          <w:sz w:val="24"/>
          <w:szCs w:val="24"/>
        </w:rPr>
        <w:t xml:space="preserve">et al., </w:t>
      </w:r>
      <w:r w:rsidRPr="00CF270D">
        <w:rPr>
          <w:rFonts w:asciiTheme="minorHAnsi" w:hAnsiTheme="minorHAnsi" w:cs="Arial"/>
          <w:sz w:val="24"/>
          <w:szCs w:val="24"/>
        </w:rPr>
        <w:t xml:space="preserve">2024). Therefore, Capaldi </w:t>
      </w:r>
      <w:r w:rsidRPr="00CF270D">
        <w:rPr>
          <w:rFonts w:asciiTheme="minorHAnsi" w:hAnsiTheme="minorHAnsi" w:cs="Arial"/>
          <w:i/>
          <w:iCs/>
          <w:sz w:val="24"/>
          <w:szCs w:val="24"/>
        </w:rPr>
        <w:t>et al</w:t>
      </w:r>
      <w:r w:rsidRPr="00CF270D">
        <w:rPr>
          <w:rFonts w:asciiTheme="minorHAnsi" w:hAnsiTheme="minorHAnsi" w:cs="Arial"/>
          <w:sz w:val="24"/>
          <w:szCs w:val="24"/>
        </w:rPr>
        <w:t xml:space="preserve"> (2024) suggests that because they were unable to publicly and actively pursue overt sexual connections because of homophobic beliefs, several LGBTQ youths in the United Kingdom believe that their only option for sexual interaction was to engage in circumstances of exploitation. </w:t>
      </w:r>
    </w:p>
    <w:p w14:paraId="22B5E2C9" w14:textId="77777777" w:rsidR="00E26F2C" w:rsidRPr="00CF270D" w:rsidRDefault="00E26F2C" w:rsidP="00E26F2C">
      <w:pPr>
        <w:rPr>
          <w:rFonts w:asciiTheme="minorHAnsi" w:hAnsiTheme="minorHAnsi" w:cs="Arial"/>
          <w:sz w:val="24"/>
          <w:szCs w:val="24"/>
        </w:rPr>
      </w:pPr>
    </w:p>
    <w:p w14:paraId="36C9F7A9" w14:textId="77777777" w:rsidR="00E26F2C" w:rsidRPr="008E1B4A" w:rsidRDefault="00E26F2C" w:rsidP="00E26F2C">
      <w:pPr>
        <w:rPr>
          <w:rFonts w:asciiTheme="minorHAnsi" w:hAnsiTheme="minorHAnsi" w:cs="Arial"/>
          <w:sz w:val="24"/>
          <w:szCs w:val="24"/>
        </w:rPr>
      </w:pPr>
      <w:r w:rsidRPr="00CF270D">
        <w:rPr>
          <w:rFonts w:asciiTheme="minorHAnsi" w:hAnsiTheme="minorHAnsi" w:cs="Arial"/>
          <w:sz w:val="24"/>
          <w:szCs w:val="24"/>
        </w:rPr>
        <w:t xml:space="preserve">Sturrock &amp; Holmes (2015) state that instead of receiving a safeguarding response, children and young people who face these risks are far too frequently criminalised. Young people have a risk taking attitude, which is a natural part of adolescent </w:t>
      </w:r>
      <w:r w:rsidRPr="00CF270D">
        <w:rPr>
          <w:rFonts w:asciiTheme="minorHAnsi" w:hAnsiTheme="minorHAnsi" w:cs="Arial"/>
          <w:sz w:val="24"/>
          <w:szCs w:val="24"/>
        </w:rPr>
        <w:lastRenderedPageBreak/>
        <w:t xml:space="preserve">development, however, it is seen as a decision made by young people who put themselves in danger. </w:t>
      </w:r>
      <w:r>
        <w:rPr>
          <w:rFonts w:asciiTheme="minorHAnsi" w:hAnsiTheme="minorHAnsi" w:cs="Arial"/>
          <w:sz w:val="24"/>
          <w:szCs w:val="24"/>
        </w:rPr>
        <w:t>Young people are at most risk of exploitation due to their vulnerability levels are therefore more likely to be involved in organised crime groups, therefore it is important to note that the appropriate steps are taken with them in order to not criminalise them immediately.</w:t>
      </w:r>
    </w:p>
    <w:p w14:paraId="7D2EE289" w14:textId="77777777" w:rsidR="00E26F2C" w:rsidRPr="00CF270D" w:rsidRDefault="00E26F2C" w:rsidP="00E26F2C">
      <w:pPr>
        <w:rPr>
          <w:rFonts w:asciiTheme="minorHAnsi" w:hAnsiTheme="minorHAnsi" w:cs="Arial"/>
          <w:sz w:val="24"/>
          <w:szCs w:val="24"/>
        </w:rPr>
      </w:pPr>
    </w:p>
    <w:p w14:paraId="0AB5A14D" w14:textId="77777777" w:rsidR="00E26F2C" w:rsidRPr="00CF270D" w:rsidRDefault="00E26F2C" w:rsidP="00E26F2C">
      <w:pPr>
        <w:rPr>
          <w:rFonts w:asciiTheme="minorHAnsi" w:hAnsiTheme="minorHAnsi" w:cs="Arial"/>
          <w:sz w:val="24"/>
          <w:szCs w:val="24"/>
        </w:rPr>
      </w:pPr>
      <w:r w:rsidRPr="00CF270D">
        <w:rPr>
          <w:rFonts w:asciiTheme="minorHAnsi" w:hAnsiTheme="minorHAnsi" w:cs="Arial"/>
          <w:sz w:val="24"/>
          <w:szCs w:val="24"/>
        </w:rPr>
        <w:t xml:space="preserve">In conclusion, </w:t>
      </w:r>
      <w:r>
        <w:rPr>
          <w:rFonts w:asciiTheme="minorHAnsi" w:hAnsiTheme="minorHAnsi" w:cs="Arial"/>
          <w:sz w:val="24"/>
          <w:szCs w:val="24"/>
        </w:rPr>
        <w:t>serious and organised crime has become a huge issue in society whereby the “gang members” thrive on taking advantage of vulnerable individuals. T</w:t>
      </w:r>
      <w:r w:rsidRPr="00CF270D">
        <w:rPr>
          <w:rFonts w:asciiTheme="minorHAnsi" w:hAnsiTheme="minorHAnsi" w:cs="Arial"/>
          <w:sz w:val="24"/>
          <w:szCs w:val="24"/>
        </w:rPr>
        <w:t>here are many characteristics such as gender identity, childhood trauma and behavioural issues that can make an individual vulnerable to exploitation</w:t>
      </w:r>
      <w:r>
        <w:rPr>
          <w:rFonts w:asciiTheme="minorHAnsi" w:hAnsiTheme="minorHAnsi" w:cs="Arial"/>
          <w:sz w:val="24"/>
          <w:szCs w:val="24"/>
        </w:rPr>
        <w:t xml:space="preserve"> and criminal gangs may coerce and deceive these individuals in order to get some financial gain. </w:t>
      </w:r>
    </w:p>
    <w:p w14:paraId="74F9C071" w14:textId="77777777" w:rsidR="00E26F2C" w:rsidRDefault="00E26F2C" w:rsidP="00E26F2C">
      <w:pPr>
        <w:rPr>
          <w:rFonts w:asciiTheme="minorHAnsi" w:hAnsiTheme="minorHAnsi"/>
          <w:color w:val="FF0000"/>
          <w:sz w:val="22"/>
          <w:szCs w:val="22"/>
        </w:rPr>
      </w:pPr>
    </w:p>
    <w:p w14:paraId="2C58951B" w14:textId="77777777" w:rsidR="00E26F2C" w:rsidRDefault="00E26F2C" w:rsidP="00E26F2C">
      <w:pPr>
        <w:rPr>
          <w:rFonts w:asciiTheme="minorHAnsi" w:hAnsiTheme="minorHAnsi"/>
          <w:color w:val="FF0000"/>
          <w:sz w:val="22"/>
          <w:szCs w:val="22"/>
        </w:rPr>
      </w:pPr>
    </w:p>
    <w:p w14:paraId="5D5CEF91" w14:textId="14402D73" w:rsidR="00E26F2C" w:rsidRPr="008E1B4A" w:rsidRDefault="00E26F2C" w:rsidP="00E26F2C">
      <w:pPr>
        <w:rPr>
          <w:rFonts w:asciiTheme="minorHAnsi" w:hAnsiTheme="minorHAnsi"/>
          <w:sz w:val="24"/>
          <w:szCs w:val="24"/>
        </w:rPr>
      </w:pPr>
      <w:r w:rsidRPr="008E1B4A">
        <w:rPr>
          <w:rFonts w:asciiTheme="minorHAnsi" w:hAnsiTheme="minorHAnsi"/>
          <w:sz w:val="24"/>
          <w:szCs w:val="24"/>
        </w:rPr>
        <w:t xml:space="preserve">Word count – </w:t>
      </w:r>
      <w:r w:rsidR="003E59E3">
        <w:rPr>
          <w:rFonts w:asciiTheme="minorHAnsi" w:hAnsiTheme="minorHAnsi"/>
          <w:sz w:val="24"/>
          <w:szCs w:val="24"/>
        </w:rPr>
        <w:t>985</w:t>
      </w:r>
    </w:p>
    <w:p w14:paraId="515F87CF" w14:textId="77777777" w:rsidR="00E26F2C" w:rsidRPr="008E1B4A" w:rsidRDefault="00E26F2C" w:rsidP="00E26F2C">
      <w:pPr>
        <w:rPr>
          <w:rFonts w:asciiTheme="minorHAnsi" w:hAnsiTheme="minorHAnsi"/>
          <w:color w:val="FF0000"/>
          <w:sz w:val="24"/>
          <w:szCs w:val="24"/>
        </w:rPr>
      </w:pPr>
    </w:p>
    <w:p w14:paraId="58E9ECE2" w14:textId="77777777" w:rsidR="00E26F2C" w:rsidRDefault="00E26F2C" w:rsidP="00E26F2C">
      <w:pPr>
        <w:rPr>
          <w:rFonts w:asciiTheme="minorHAnsi" w:hAnsiTheme="minorHAnsi"/>
          <w:b/>
          <w:bCs/>
          <w:sz w:val="22"/>
          <w:szCs w:val="22"/>
          <w:u w:val="single"/>
        </w:rPr>
      </w:pPr>
      <w:r w:rsidRPr="0081104B">
        <w:rPr>
          <w:rFonts w:asciiTheme="minorHAnsi" w:hAnsiTheme="minorHAnsi"/>
          <w:b/>
          <w:bCs/>
          <w:sz w:val="22"/>
          <w:szCs w:val="22"/>
          <w:u w:val="single"/>
        </w:rPr>
        <w:t>References</w:t>
      </w:r>
    </w:p>
    <w:p w14:paraId="2D288581" w14:textId="77777777" w:rsidR="00E26F2C" w:rsidRPr="00F549D4" w:rsidRDefault="00E26F2C" w:rsidP="00E26F2C">
      <w:pPr>
        <w:rPr>
          <w:rFonts w:asciiTheme="minorHAnsi" w:hAnsiTheme="minorHAnsi"/>
          <w:sz w:val="24"/>
          <w:szCs w:val="24"/>
        </w:rPr>
      </w:pPr>
    </w:p>
    <w:p w14:paraId="51C2E6B5" w14:textId="77777777" w:rsidR="00E26F2C" w:rsidRDefault="00E26F2C" w:rsidP="00E26F2C">
      <w:pPr>
        <w:rPr>
          <w:rFonts w:asciiTheme="minorHAnsi" w:hAnsiTheme="minorHAnsi"/>
          <w:sz w:val="24"/>
          <w:szCs w:val="24"/>
        </w:rPr>
      </w:pPr>
      <w:r w:rsidRPr="00B651ED">
        <w:rPr>
          <w:rFonts w:asciiTheme="minorHAnsi" w:hAnsiTheme="minorHAnsi"/>
          <w:sz w:val="24"/>
          <w:szCs w:val="24"/>
        </w:rPr>
        <w:t xml:space="preserve">Aldridge, J., Medina-Ariz, J. and Ralphs, R. (2011) ‘Counting gangs: Conceptual and validity problems with the Eurogang definition’, </w:t>
      </w:r>
      <w:r w:rsidRPr="00B651ED">
        <w:rPr>
          <w:rFonts w:asciiTheme="minorHAnsi" w:hAnsiTheme="minorHAnsi"/>
          <w:i/>
          <w:iCs/>
          <w:sz w:val="24"/>
          <w:szCs w:val="24"/>
        </w:rPr>
        <w:t>Youth Gangs in International Perspective</w:t>
      </w:r>
      <w:r w:rsidRPr="00B651ED">
        <w:rPr>
          <w:rFonts w:asciiTheme="minorHAnsi" w:hAnsiTheme="minorHAnsi"/>
          <w:sz w:val="24"/>
          <w:szCs w:val="24"/>
        </w:rPr>
        <w:t xml:space="preserve">, pp. 35–51. doi:10.1007/978-1-4614-1659-3_3. </w:t>
      </w:r>
    </w:p>
    <w:p w14:paraId="3D198918" w14:textId="77777777" w:rsidR="00E26F2C" w:rsidRPr="00B651ED" w:rsidRDefault="00E26F2C" w:rsidP="00E26F2C">
      <w:pPr>
        <w:rPr>
          <w:rFonts w:asciiTheme="minorHAnsi" w:hAnsiTheme="minorHAnsi"/>
          <w:sz w:val="24"/>
          <w:szCs w:val="24"/>
        </w:rPr>
      </w:pPr>
    </w:p>
    <w:p w14:paraId="17AD214F" w14:textId="77777777" w:rsidR="00E26F2C" w:rsidRDefault="00E26F2C" w:rsidP="00E26F2C">
      <w:pPr>
        <w:rPr>
          <w:rFonts w:asciiTheme="minorHAnsi" w:hAnsiTheme="minorHAnsi"/>
          <w:sz w:val="24"/>
          <w:szCs w:val="24"/>
        </w:rPr>
      </w:pPr>
      <w:r w:rsidRPr="00886C48">
        <w:rPr>
          <w:rFonts w:asciiTheme="minorHAnsi" w:hAnsiTheme="minorHAnsi"/>
          <w:sz w:val="24"/>
          <w:szCs w:val="24"/>
        </w:rPr>
        <w:t xml:space="preserve">Ashton, S.-A. and Bussu, A. (2020) ‘Peer groups, street gangs and organised crime in the narratives of adolescent male offenders’, </w:t>
      </w:r>
      <w:r w:rsidRPr="00886C48">
        <w:rPr>
          <w:rFonts w:asciiTheme="minorHAnsi" w:hAnsiTheme="minorHAnsi"/>
          <w:i/>
          <w:iCs/>
          <w:sz w:val="24"/>
          <w:szCs w:val="24"/>
        </w:rPr>
        <w:t>Journal of Criminal Psychology</w:t>
      </w:r>
      <w:r w:rsidRPr="00886C48">
        <w:rPr>
          <w:rFonts w:asciiTheme="minorHAnsi" w:hAnsiTheme="minorHAnsi"/>
          <w:sz w:val="24"/>
          <w:szCs w:val="24"/>
        </w:rPr>
        <w:t xml:space="preserve">, 10(4), pp. 277–292. doi:10.1108/jcp-06-2020-0020. </w:t>
      </w:r>
    </w:p>
    <w:p w14:paraId="0105853A" w14:textId="77777777" w:rsidR="003E59E3" w:rsidRDefault="003E59E3" w:rsidP="00E26F2C">
      <w:pPr>
        <w:rPr>
          <w:rFonts w:asciiTheme="minorHAnsi" w:hAnsiTheme="minorHAnsi"/>
          <w:sz w:val="24"/>
          <w:szCs w:val="24"/>
        </w:rPr>
      </w:pPr>
    </w:p>
    <w:p w14:paraId="050BD033" w14:textId="77777777" w:rsidR="003E59E3" w:rsidRPr="003E59E3" w:rsidRDefault="003E59E3" w:rsidP="003E59E3">
      <w:pPr>
        <w:rPr>
          <w:rFonts w:asciiTheme="minorHAnsi" w:hAnsiTheme="minorHAnsi"/>
          <w:sz w:val="24"/>
          <w:szCs w:val="24"/>
        </w:rPr>
      </w:pPr>
      <w:r w:rsidRPr="003E59E3">
        <w:rPr>
          <w:rFonts w:asciiTheme="minorHAnsi" w:hAnsiTheme="minorHAnsi"/>
          <w:sz w:val="24"/>
          <w:szCs w:val="24"/>
        </w:rPr>
        <w:t xml:space="preserve">Atkinson-Sheppard, S. </w:t>
      </w:r>
      <w:r w:rsidRPr="003E59E3">
        <w:rPr>
          <w:rFonts w:asciiTheme="minorHAnsi" w:hAnsiTheme="minorHAnsi"/>
          <w:i/>
          <w:iCs/>
          <w:sz w:val="24"/>
          <w:szCs w:val="24"/>
        </w:rPr>
        <w:t>et al.</w:t>
      </w:r>
      <w:r w:rsidRPr="003E59E3">
        <w:rPr>
          <w:rFonts w:asciiTheme="minorHAnsi" w:hAnsiTheme="minorHAnsi"/>
          <w:sz w:val="24"/>
          <w:szCs w:val="24"/>
        </w:rPr>
        <w:t xml:space="preserve"> (2023) ‘Coercion and crime: Convergences, divergences and “county lines”’, </w:t>
      </w:r>
      <w:r w:rsidRPr="003E59E3">
        <w:rPr>
          <w:rFonts w:asciiTheme="minorHAnsi" w:hAnsiTheme="minorHAnsi"/>
          <w:i/>
          <w:iCs/>
          <w:sz w:val="24"/>
          <w:szCs w:val="24"/>
        </w:rPr>
        <w:t>Criminology &amp;amp; Criminal Justice</w:t>
      </w:r>
      <w:r w:rsidRPr="003E59E3">
        <w:rPr>
          <w:rFonts w:asciiTheme="minorHAnsi" w:hAnsiTheme="minorHAnsi"/>
          <w:sz w:val="24"/>
          <w:szCs w:val="24"/>
        </w:rPr>
        <w:t xml:space="preserve">, 25(3), pp. 927–949. doi:10.1177/17488958231153981. </w:t>
      </w:r>
    </w:p>
    <w:p w14:paraId="7143A1AB" w14:textId="77777777" w:rsidR="003E59E3" w:rsidRDefault="003E59E3" w:rsidP="00E26F2C">
      <w:pPr>
        <w:rPr>
          <w:rFonts w:asciiTheme="minorHAnsi" w:hAnsiTheme="minorHAnsi"/>
          <w:sz w:val="24"/>
          <w:szCs w:val="24"/>
        </w:rPr>
      </w:pPr>
    </w:p>
    <w:p w14:paraId="67E38107" w14:textId="77777777" w:rsidR="00E26F2C" w:rsidRPr="00F549D4" w:rsidRDefault="00E26F2C" w:rsidP="00E26F2C">
      <w:pPr>
        <w:rPr>
          <w:rFonts w:asciiTheme="minorHAnsi" w:hAnsiTheme="minorHAnsi"/>
          <w:sz w:val="24"/>
          <w:szCs w:val="24"/>
        </w:rPr>
      </w:pPr>
    </w:p>
    <w:p w14:paraId="1DD9E5A0" w14:textId="77777777" w:rsidR="00E26F2C" w:rsidRDefault="00E26F2C" w:rsidP="00E26F2C">
      <w:pPr>
        <w:rPr>
          <w:rFonts w:asciiTheme="minorHAnsi" w:hAnsiTheme="minorHAnsi"/>
          <w:sz w:val="24"/>
          <w:szCs w:val="24"/>
        </w:rPr>
      </w:pPr>
      <w:r w:rsidRPr="00357576">
        <w:rPr>
          <w:rFonts w:asciiTheme="minorHAnsi" w:hAnsiTheme="minorHAnsi"/>
          <w:sz w:val="24"/>
          <w:szCs w:val="24"/>
        </w:rPr>
        <w:t xml:space="preserve">Glover Williams, A. and Finlay, F. (2018) ‘County lines: How gang crime is affecting our young people’, </w:t>
      </w:r>
      <w:r w:rsidRPr="00357576">
        <w:rPr>
          <w:rFonts w:asciiTheme="minorHAnsi" w:hAnsiTheme="minorHAnsi"/>
          <w:i/>
          <w:iCs/>
          <w:sz w:val="24"/>
          <w:szCs w:val="24"/>
        </w:rPr>
        <w:t>Archives of Disease in Childhood</w:t>
      </w:r>
      <w:r w:rsidRPr="00357576">
        <w:rPr>
          <w:rFonts w:asciiTheme="minorHAnsi" w:hAnsiTheme="minorHAnsi"/>
          <w:sz w:val="24"/>
          <w:szCs w:val="24"/>
        </w:rPr>
        <w:t xml:space="preserve">, 104(8), pp. 730–732. doi:10.1136/archdischild-2018-315909. </w:t>
      </w:r>
    </w:p>
    <w:p w14:paraId="4B4AFD2C" w14:textId="77777777" w:rsidR="00E26F2C" w:rsidRPr="00357576" w:rsidRDefault="00E26F2C" w:rsidP="00E26F2C">
      <w:pPr>
        <w:rPr>
          <w:rFonts w:asciiTheme="minorHAnsi" w:hAnsiTheme="minorHAnsi"/>
          <w:sz w:val="24"/>
          <w:szCs w:val="24"/>
        </w:rPr>
      </w:pPr>
    </w:p>
    <w:p w14:paraId="16DF56DB" w14:textId="77777777" w:rsidR="00E26F2C" w:rsidRDefault="00E26F2C" w:rsidP="00E26F2C">
      <w:pPr>
        <w:rPr>
          <w:rFonts w:asciiTheme="minorHAnsi" w:hAnsiTheme="minorHAnsi"/>
          <w:sz w:val="24"/>
          <w:szCs w:val="24"/>
        </w:rPr>
      </w:pPr>
      <w:r w:rsidRPr="005A55B5">
        <w:rPr>
          <w:rFonts w:asciiTheme="minorHAnsi" w:hAnsiTheme="minorHAnsi"/>
          <w:sz w:val="24"/>
          <w:szCs w:val="24"/>
        </w:rPr>
        <w:t xml:space="preserve">GOV.UK (2023) </w:t>
      </w:r>
      <w:r w:rsidRPr="005A55B5">
        <w:rPr>
          <w:rFonts w:asciiTheme="minorHAnsi" w:hAnsiTheme="minorHAnsi"/>
          <w:i/>
          <w:iCs/>
          <w:sz w:val="24"/>
          <w:szCs w:val="24"/>
        </w:rPr>
        <w:t>Criminal exploitation of children and vulnerable adults: County lines</w:t>
      </w:r>
      <w:r w:rsidRPr="005A55B5">
        <w:rPr>
          <w:rFonts w:asciiTheme="minorHAnsi" w:hAnsiTheme="minorHAnsi"/>
          <w:sz w:val="24"/>
          <w:szCs w:val="24"/>
        </w:rPr>
        <w:t xml:space="preserve">, </w:t>
      </w:r>
      <w:r w:rsidRPr="005A55B5">
        <w:rPr>
          <w:rFonts w:asciiTheme="minorHAnsi" w:hAnsiTheme="minorHAnsi"/>
          <w:i/>
          <w:iCs/>
          <w:sz w:val="24"/>
          <w:szCs w:val="24"/>
        </w:rPr>
        <w:t>GOV.UK</w:t>
      </w:r>
      <w:r w:rsidRPr="005A55B5">
        <w:rPr>
          <w:rFonts w:asciiTheme="minorHAnsi" w:hAnsiTheme="minorHAnsi"/>
          <w:sz w:val="24"/>
          <w:szCs w:val="24"/>
        </w:rPr>
        <w:t xml:space="preserve">. Available at: https://www.gov.uk/government/publications/criminal-exploitation-of-children-and-vulnerable-adults-county-lines (Accessed: 28 June 2025). </w:t>
      </w:r>
    </w:p>
    <w:p w14:paraId="1113C92F" w14:textId="77777777" w:rsidR="00E26F2C" w:rsidRPr="005A55B5" w:rsidRDefault="00E26F2C" w:rsidP="00E26F2C">
      <w:pPr>
        <w:rPr>
          <w:rFonts w:asciiTheme="minorHAnsi" w:hAnsiTheme="minorHAnsi"/>
          <w:sz w:val="24"/>
          <w:szCs w:val="24"/>
        </w:rPr>
      </w:pPr>
    </w:p>
    <w:p w14:paraId="3F19B756" w14:textId="77777777" w:rsidR="00E26F2C" w:rsidRDefault="00E26F2C" w:rsidP="00E26F2C">
      <w:pPr>
        <w:rPr>
          <w:rFonts w:asciiTheme="minorHAnsi" w:hAnsiTheme="minorHAnsi"/>
          <w:sz w:val="24"/>
          <w:szCs w:val="24"/>
        </w:rPr>
      </w:pPr>
      <w:r w:rsidRPr="006156F7">
        <w:rPr>
          <w:rFonts w:asciiTheme="minorHAnsi" w:hAnsiTheme="minorHAnsi"/>
          <w:sz w:val="24"/>
          <w:szCs w:val="24"/>
        </w:rPr>
        <w:t>GOV.UK (202</w:t>
      </w:r>
      <w:r w:rsidRPr="00F549D4">
        <w:rPr>
          <w:rFonts w:asciiTheme="minorHAnsi" w:hAnsiTheme="minorHAnsi"/>
          <w:sz w:val="24"/>
          <w:szCs w:val="24"/>
        </w:rPr>
        <w:t>5</w:t>
      </w:r>
      <w:r w:rsidRPr="006156F7">
        <w:rPr>
          <w:rFonts w:asciiTheme="minorHAnsi" w:hAnsiTheme="minorHAnsi"/>
          <w:sz w:val="24"/>
          <w:szCs w:val="24"/>
        </w:rPr>
        <w:t xml:space="preserve">) </w:t>
      </w:r>
      <w:r w:rsidRPr="006156F7">
        <w:rPr>
          <w:rFonts w:asciiTheme="minorHAnsi" w:hAnsiTheme="minorHAnsi"/>
          <w:i/>
          <w:iCs/>
          <w:sz w:val="24"/>
          <w:szCs w:val="24"/>
        </w:rPr>
        <w:t>Serious crime act 2015</w:t>
      </w:r>
      <w:r w:rsidRPr="006156F7">
        <w:rPr>
          <w:rFonts w:asciiTheme="minorHAnsi" w:hAnsiTheme="minorHAnsi"/>
          <w:sz w:val="24"/>
          <w:szCs w:val="24"/>
        </w:rPr>
        <w:t xml:space="preserve">, </w:t>
      </w:r>
      <w:r w:rsidRPr="006156F7">
        <w:rPr>
          <w:rFonts w:asciiTheme="minorHAnsi" w:hAnsiTheme="minorHAnsi"/>
          <w:i/>
          <w:iCs/>
          <w:sz w:val="24"/>
          <w:szCs w:val="24"/>
        </w:rPr>
        <w:t>Legislation.gov.uk</w:t>
      </w:r>
      <w:r w:rsidRPr="006156F7">
        <w:rPr>
          <w:rFonts w:asciiTheme="minorHAnsi" w:hAnsiTheme="minorHAnsi"/>
          <w:sz w:val="24"/>
          <w:szCs w:val="24"/>
        </w:rPr>
        <w:t xml:space="preserve">. Available at: https://www.legislation.gov.uk/ukpga/2015/9/section/45/enacted (Accessed: 28 June 2025). </w:t>
      </w:r>
    </w:p>
    <w:p w14:paraId="589B3EF9" w14:textId="77777777" w:rsidR="00E26F2C" w:rsidRPr="006156F7" w:rsidRDefault="00E26F2C" w:rsidP="00E26F2C">
      <w:pPr>
        <w:rPr>
          <w:rFonts w:asciiTheme="minorHAnsi" w:hAnsiTheme="minorHAnsi"/>
          <w:sz w:val="24"/>
          <w:szCs w:val="24"/>
        </w:rPr>
      </w:pPr>
    </w:p>
    <w:p w14:paraId="56CBC367" w14:textId="77777777" w:rsidR="00E26F2C" w:rsidRPr="00F549D4" w:rsidRDefault="00E26F2C" w:rsidP="00E26F2C">
      <w:pPr>
        <w:rPr>
          <w:rFonts w:asciiTheme="minorHAnsi" w:hAnsiTheme="minorHAnsi"/>
          <w:sz w:val="24"/>
          <w:szCs w:val="24"/>
        </w:rPr>
      </w:pPr>
      <w:r w:rsidRPr="00F549D4">
        <w:rPr>
          <w:rFonts w:asciiTheme="minorHAnsi" w:hAnsiTheme="minorHAnsi"/>
          <w:sz w:val="24"/>
          <w:szCs w:val="24"/>
        </w:rPr>
        <w:t>Home Office (2013) </w:t>
      </w:r>
      <w:r w:rsidRPr="00F549D4">
        <w:rPr>
          <w:rFonts w:asciiTheme="minorHAnsi" w:hAnsiTheme="minorHAnsi"/>
          <w:i/>
          <w:iCs/>
          <w:sz w:val="24"/>
          <w:szCs w:val="24"/>
        </w:rPr>
        <w:t>Serious and Organised Crime Strategy</w:t>
      </w:r>
      <w:r w:rsidRPr="00F549D4">
        <w:rPr>
          <w:rFonts w:asciiTheme="minorHAnsi" w:hAnsiTheme="minorHAnsi"/>
          <w:sz w:val="24"/>
          <w:szCs w:val="24"/>
        </w:rPr>
        <w:t>. London: Crown Copyright</w:t>
      </w:r>
    </w:p>
    <w:p w14:paraId="6214244D" w14:textId="77777777" w:rsidR="00E26F2C" w:rsidRDefault="00E26F2C" w:rsidP="00E26F2C">
      <w:pPr>
        <w:rPr>
          <w:rFonts w:asciiTheme="minorHAnsi" w:hAnsiTheme="minorHAnsi"/>
          <w:sz w:val="24"/>
          <w:szCs w:val="24"/>
        </w:rPr>
      </w:pPr>
      <w:r w:rsidRPr="00F549D4">
        <w:rPr>
          <w:rFonts w:asciiTheme="minorHAnsi" w:hAnsiTheme="minorHAnsi"/>
          <w:sz w:val="24"/>
          <w:szCs w:val="24"/>
        </w:rPr>
        <w:t xml:space="preserve">Mark Capaldi, Jennifer Schatz and Mark Kavenagh (2024) ‘Child sexual abuse/exploitation and LGBTQI+ children: Context, links, vulnerabilities, gaps, challenges and priorities Child sexual abuse/exploitation and LGBTQI+ children: </w:t>
      </w:r>
      <w:r w:rsidRPr="00F549D4">
        <w:rPr>
          <w:rFonts w:asciiTheme="minorHAnsi" w:hAnsiTheme="minorHAnsi"/>
          <w:sz w:val="24"/>
          <w:szCs w:val="24"/>
        </w:rPr>
        <w:lastRenderedPageBreak/>
        <w:t>Context, links, vulnerabilities, gaps, challenges and priorities’, </w:t>
      </w:r>
      <w:r w:rsidRPr="00F549D4">
        <w:rPr>
          <w:rFonts w:asciiTheme="minorHAnsi" w:hAnsiTheme="minorHAnsi"/>
          <w:i/>
          <w:iCs/>
          <w:sz w:val="24"/>
          <w:szCs w:val="24"/>
        </w:rPr>
        <w:t>Child protection and practice</w:t>
      </w:r>
      <w:r w:rsidRPr="00F549D4">
        <w:rPr>
          <w:rFonts w:asciiTheme="minorHAnsi" w:hAnsiTheme="minorHAnsi"/>
          <w:sz w:val="24"/>
          <w:szCs w:val="24"/>
        </w:rPr>
        <w:t>, 1, pp. 100001</w:t>
      </w:r>
    </w:p>
    <w:p w14:paraId="39C18EAA" w14:textId="77777777" w:rsidR="00E26F2C" w:rsidRPr="00F549D4" w:rsidRDefault="00E26F2C" w:rsidP="00E26F2C">
      <w:pPr>
        <w:rPr>
          <w:rFonts w:asciiTheme="minorHAnsi" w:hAnsiTheme="minorHAnsi"/>
          <w:sz w:val="24"/>
          <w:szCs w:val="24"/>
        </w:rPr>
      </w:pPr>
    </w:p>
    <w:p w14:paraId="518AF0CA" w14:textId="77777777" w:rsidR="00E26F2C" w:rsidRDefault="00E26F2C" w:rsidP="00E26F2C">
      <w:pPr>
        <w:rPr>
          <w:rFonts w:asciiTheme="minorHAnsi" w:hAnsiTheme="minorHAnsi"/>
          <w:sz w:val="24"/>
          <w:szCs w:val="24"/>
        </w:rPr>
      </w:pPr>
      <w:r w:rsidRPr="00164D33">
        <w:rPr>
          <w:rFonts w:asciiTheme="minorHAnsi" w:hAnsiTheme="minorHAnsi"/>
          <w:sz w:val="24"/>
          <w:szCs w:val="24"/>
        </w:rPr>
        <w:t xml:space="preserve">NAO (2025) </w:t>
      </w:r>
      <w:r w:rsidRPr="00164D33">
        <w:rPr>
          <w:rFonts w:asciiTheme="minorHAnsi" w:hAnsiTheme="minorHAnsi"/>
          <w:i/>
          <w:iCs/>
          <w:sz w:val="24"/>
          <w:szCs w:val="24"/>
        </w:rPr>
        <w:t>Tackling serious and organised crime - nao report</w:t>
      </w:r>
      <w:r w:rsidRPr="00164D33">
        <w:rPr>
          <w:rFonts w:asciiTheme="minorHAnsi" w:hAnsiTheme="minorHAnsi"/>
          <w:sz w:val="24"/>
          <w:szCs w:val="24"/>
        </w:rPr>
        <w:t xml:space="preserve">, </w:t>
      </w:r>
      <w:r w:rsidRPr="00164D33">
        <w:rPr>
          <w:rFonts w:asciiTheme="minorHAnsi" w:hAnsiTheme="minorHAnsi"/>
          <w:i/>
          <w:iCs/>
          <w:sz w:val="24"/>
          <w:szCs w:val="24"/>
        </w:rPr>
        <w:t>National Audit Office (NAO)</w:t>
      </w:r>
      <w:r w:rsidRPr="00164D33">
        <w:rPr>
          <w:rFonts w:asciiTheme="minorHAnsi" w:hAnsiTheme="minorHAnsi"/>
          <w:sz w:val="24"/>
          <w:szCs w:val="24"/>
        </w:rPr>
        <w:t xml:space="preserve">. Available at: https://www.nao.org.uk/reports/serious-and-organised-crime/ (Accessed: 30 June 2025). </w:t>
      </w:r>
    </w:p>
    <w:p w14:paraId="5A4457D6" w14:textId="77777777" w:rsidR="00E26F2C" w:rsidRPr="00164D33" w:rsidRDefault="00E26F2C" w:rsidP="00E26F2C">
      <w:pPr>
        <w:rPr>
          <w:rFonts w:asciiTheme="minorHAnsi" w:hAnsiTheme="minorHAnsi"/>
          <w:sz w:val="24"/>
          <w:szCs w:val="24"/>
        </w:rPr>
      </w:pPr>
    </w:p>
    <w:p w14:paraId="0AEAA083" w14:textId="77777777" w:rsidR="00E26F2C" w:rsidRDefault="00E26F2C" w:rsidP="00E26F2C">
      <w:pPr>
        <w:rPr>
          <w:rFonts w:asciiTheme="minorHAnsi" w:hAnsiTheme="minorHAnsi" w:cs="Arial"/>
          <w:sz w:val="24"/>
          <w:szCs w:val="24"/>
        </w:rPr>
      </w:pPr>
      <w:r w:rsidRPr="00F549D4">
        <w:rPr>
          <w:rFonts w:asciiTheme="minorHAnsi" w:hAnsiTheme="minorHAnsi" w:cs="Arial"/>
          <w:sz w:val="24"/>
          <w:szCs w:val="24"/>
        </w:rPr>
        <w:t>National Crime Agency (2015) </w:t>
      </w:r>
      <w:r w:rsidRPr="00F549D4">
        <w:rPr>
          <w:rFonts w:asciiTheme="minorHAnsi" w:hAnsiTheme="minorHAnsi" w:cs="Arial"/>
          <w:i/>
          <w:iCs/>
          <w:sz w:val="24"/>
          <w:szCs w:val="24"/>
        </w:rPr>
        <w:t>National Strategic Assessment of Serious and Organised Crime 2015</w:t>
      </w:r>
      <w:r w:rsidRPr="00F549D4">
        <w:rPr>
          <w:rFonts w:asciiTheme="minorHAnsi" w:hAnsiTheme="minorHAnsi" w:cs="Arial"/>
          <w:sz w:val="24"/>
          <w:szCs w:val="24"/>
        </w:rPr>
        <w:t>. London: Crown Copyright</w:t>
      </w:r>
    </w:p>
    <w:p w14:paraId="661C670D" w14:textId="77777777" w:rsidR="00E26F2C" w:rsidRPr="00F549D4" w:rsidRDefault="00E26F2C" w:rsidP="00E26F2C">
      <w:pPr>
        <w:rPr>
          <w:rFonts w:asciiTheme="minorHAnsi" w:hAnsiTheme="minorHAnsi" w:cs="Arial"/>
          <w:sz w:val="24"/>
          <w:szCs w:val="24"/>
        </w:rPr>
      </w:pPr>
    </w:p>
    <w:p w14:paraId="6AAA5707" w14:textId="77777777" w:rsidR="00E26F2C" w:rsidRPr="00CF270D" w:rsidRDefault="00E26F2C" w:rsidP="00E26F2C">
      <w:pPr>
        <w:rPr>
          <w:rFonts w:asciiTheme="minorHAnsi" w:hAnsiTheme="minorHAnsi"/>
          <w:sz w:val="24"/>
          <w:szCs w:val="24"/>
        </w:rPr>
      </w:pPr>
      <w:r w:rsidRPr="00CF270D">
        <w:rPr>
          <w:rFonts w:asciiTheme="minorHAnsi" w:hAnsiTheme="minorHAnsi"/>
          <w:sz w:val="24"/>
          <w:szCs w:val="24"/>
        </w:rPr>
        <w:t xml:space="preserve">Sturrock, R. and Holmes, L. (2023) </w:t>
      </w:r>
      <w:r w:rsidRPr="00CF270D">
        <w:rPr>
          <w:rFonts w:asciiTheme="minorHAnsi" w:hAnsiTheme="minorHAnsi"/>
          <w:i/>
          <w:iCs/>
          <w:sz w:val="24"/>
          <w:szCs w:val="24"/>
        </w:rPr>
        <w:t>Running the risks: The links between gang involvement and young people going missing</w:t>
      </w:r>
      <w:r w:rsidRPr="00CF270D">
        <w:rPr>
          <w:rFonts w:asciiTheme="minorHAnsi" w:hAnsiTheme="minorHAnsi"/>
          <w:sz w:val="24"/>
          <w:szCs w:val="24"/>
        </w:rPr>
        <w:t xml:space="preserve">, </w:t>
      </w:r>
      <w:r w:rsidRPr="00CF270D">
        <w:rPr>
          <w:rFonts w:asciiTheme="minorHAnsi" w:hAnsiTheme="minorHAnsi"/>
          <w:i/>
          <w:iCs/>
          <w:sz w:val="24"/>
          <w:szCs w:val="24"/>
        </w:rPr>
        <w:t>Catch22</w:t>
      </w:r>
      <w:r w:rsidRPr="00CF270D">
        <w:rPr>
          <w:rFonts w:asciiTheme="minorHAnsi" w:hAnsiTheme="minorHAnsi"/>
          <w:sz w:val="24"/>
          <w:szCs w:val="24"/>
        </w:rPr>
        <w:t xml:space="preserve">. Available at: https://www.oscp.org.uk/wp-content/uploads/2019/04/Catch22-Running-The-Risks.pdf (Accessed: 30 June 2025). </w:t>
      </w:r>
    </w:p>
    <w:p w14:paraId="3E62CF4B" w14:textId="77777777" w:rsidR="00437738" w:rsidRDefault="00437738">
      <w:pPr>
        <w:rPr>
          <w:rFonts w:asciiTheme="minorHAnsi" w:hAnsiTheme="minorHAnsi"/>
        </w:rPr>
      </w:pPr>
    </w:p>
    <w:p w14:paraId="637FD83C" w14:textId="77777777" w:rsidR="00437738" w:rsidRDefault="00437738">
      <w:pPr>
        <w:rPr>
          <w:rFonts w:asciiTheme="minorHAnsi" w:hAnsiTheme="minorHAnsi"/>
        </w:rPr>
      </w:pPr>
    </w:p>
    <w:p w14:paraId="5C215781" w14:textId="77777777" w:rsidR="00437738" w:rsidRDefault="00437738">
      <w:pPr>
        <w:rPr>
          <w:rFonts w:asciiTheme="minorHAnsi" w:hAnsiTheme="minorHAnsi"/>
        </w:rPr>
      </w:pPr>
    </w:p>
    <w:p w14:paraId="19820B27" w14:textId="77777777" w:rsidR="00437738" w:rsidRDefault="00437738">
      <w:pPr>
        <w:rPr>
          <w:rFonts w:asciiTheme="minorHAnsi" w:hAnsiTheme="minorHAnsi"/>
        </w:rPr>
      </w:pPr>
    </w:p>
    <w:p w14:paraId="6F33B3D1" w14:textId="77777777" w:rsidR="00437738" w:rsidRDefault="00437738">
      <w:pPr>
        <w:rPr>
          <w:rFonts w:asciiTheme="minorHAnsi" w:hAnsiTheme="minorHAnsi"/>
        </w:rPr>
      </w:pPr>
    </w:p>
    <w:p w14:paraId="16EACF2B" w14:textId="77777777" w:rsidR="00437738" w:rsidRDefault="00437738">
      <w:pPr>
        <w:rPr>
          <w:rFonts w:asciiTheme="minorHAnsi" w:hAnsiTheme="minorHAnsi"/>
        </w:rPr>
      </w:pPr>
    </w:p>
    <w:p w14:paraId="13F75A25" w14:textId="77777777" w:rsidR="00437738" w:rsidRDefault="00437738">
      <w:pPr>
        <w:rPr>
          <w:rFonts w:asciiTheme="minorHAnsi" w:hAnsiTheme="minorHAnsi"/>
        </w:rPr>
      </w:pPr>
    </w:p>
    <w:p w14:paraId="15CEE301" w14:textId="77777777" w:rsidR="00437738" w:rsidRDefault="00437738">
      <w:pPr>
        <w:rPr>
          <w:rFonts w:asciiTheme="minorHAnsi" w:hAnsiTheme="minorHAnsi"/>
        </w:rPr>
      </w:pPr>
    </w:p>
    <w:p w14:paraId="12936894" w14:textId="77777777" w:rsidR="00437738" w:rsidRDefault="00437738">
      <w:pPr>
        <w:rPr>
          <w:rFonts w:asciiTheme="minorHAnsi" w:hAnsiTheme="minorHAnsi"/>
        </w:rPr>
      </w:pPr>
    </w:p>
    <w:p w14:paraId="29B472C5" w14:textId="77777777" w:rsidR="00437738" w:rsidRDefault="00437738">
      <w:pPr>
        <w:rPr>
          <w:rFonts w:asciiTheme="minorHAnsi" w:hAnsiTheme="minorHAnsi"/>
        </w:rPr>
      </w:pPr>
    </w:p>
    <w:p w14:paraId="4522729B" w14:textId="77777777" w:rsidR="00437738" w:rsidRDefault="00437738">
      <w:pPr>
        <w:rPr>
          <w:rFonts w:asciiTheme="minorHAnsi" w:hAnsiTheme="minorHAnsi"/>
        </w:rPr>
      </w:pPr>
    </w:p>
    <w:p w14:paraId="1480FED1" w14:textId="77777777" w:rsidR="00437738" w:rsidRDefault="00437738">
      <w:pPr>
        <w:rPr>
          <w:rFonts w:asciiTheme="minorHAnsi" w:hAnsiTheme="minorHAnsi"/>
        </w:rPr>
      </w:pPr>
    </w:p>
    <w:p w14:paraId="5DBEB0E2" w14:textId="77777777" w:rsidR="00437738" w:rsidRDefault="00437738">
      <w:pPr>
        <w:rPr>
          <w:rFonts w:asciiTheme="minorHAnsi" w:hAnsiTheme="minorHAnsi"/>
        </w:rPr>
      </w:pPr>
    </w:p>
    <w:p w14:paraId="217686A0" w14:textId="77777777" w:rsidR="00437738" w:rsidRDefault="00437738">
      <w:pPr>
        <w:rPr>
          <w:rFonts w:asciiTheme="minorHAnsi" w:hAnsiTheme="minorHAnsi"/>
        </w:rPr>
      </w:pPr>
    </w:p>
    <w:p w14:paraId="2ADFAC15" w14:textId="77777777" w:rsidR="00437738" w:rsidRDefault="00437738">
      <w:pPr>
        <w:rPr>
          <w:rFonts w:asciiTheme="minorHAnsi" w:hAnsiTheme="minorHAnsi"/>
        </w:rPr>
      </w:pPr>
    </w:p>
    <w:p w14:paraId="6ECD02FD" w14:textId="77777777" w:rsidR="00437738" w:rsidRDefault="00437738">
      <w:pPr>
        <w:rPr>
          <w:rFonts w:asciiTheme="minorHAnsi" w:hAnsiTheme="minorHAnsi"/>
        </w:rPr>
      </w:pPr>
    </w:p>
    <w:p w14:paraId="604A1A79" w14:textId="77777777" w:rsidR="00437738" w:rsidRDefault="00437738">
      <w:pPr>
        <w:rPr>
          <w:rFonts w:asciiTheme="minorHAnsi" w:hAnsiTheme="minorHAnsi"/>
        </w:rPr>
      </w:pPr>
    </w:p>
    <w:p w14:paraId="477035DB" w14:textId="77777777" w:rsidR="00437738" w:rsidRDefault="00437738">
      <w:pPr>
        <w:rPr>
          <w:rFonts w:asciiTheme="minorHAnsi" w:hAnsiTheme="minorHAnsi"/>
        </w:rPr>
      </w:pPr>
    </w:p>
    <w:p w14:paraId="39530D9E" w14:textId="77777777" w:rsidR="00437738" w:rsidRDefault="00437738">
      <w:pPr>
        <w:rPr>
          <w:rFonts w:asciiTheme="minorHAnsi" w:hAnsiTheme="minorHAnsi"/>
        </w:rPr>
      </w:pPr>
    </w:p>
    <w:p w14:paraId="693615B3" w14:textId="77777777" w:rsidR="00437738" w:rsidRDefault="00437738">
      <w:pPr>
        <w:rPr>
          <w:rFonts w:asciiTheme="minorHAnsi" w:hAnsiTheme="minorHAnsi"/>
        </w:rPr>
      </w:pPr>
    </w:p>
    <w:p w14:paraId="152774FF" w14:textId="77777777" w:rsidR="00437738" w:rsidRDefault="00437738">
      <w:pPr>
        <w:rPr>
          <w:rFonts w:asciiTheme="minorHAnsi" w:hAnsiTheme="minorHAnsi"/>
        </w:rPr>
      </w:pPr>
    </w:p>
    <w:p w14:paraId="57067C62" w14:textId="77777777" w:rsidR="00437738" w:rsidRDefault="00437738">
      <w:pPr>
        <w:rPr>
          <w:rFonts w:asciiTheme="minorHAnsi" w:hAnsiTheme="minorHAnsi"/>
        </w:rPr>
      </w:pPr>
    </w:p>
    <w:p w14:paraId="2D6DF256" w14:textId="77777777" w:rsidR="00437738" w:rsidRDefault="00437738">
      <w:pPr>
        <w:rPr>
          <w:rFonts w:asciiTheme="minorHAnsi" w:hAnsiTheme="minorHAnsi"/>
        </w:rPr>
      </w:pPr>
    </w:p>
    <w:p w14:paraId="25E2B6F0" w14:textId="77777777" w:rsidR="00437738" w:rsidRDefault="00437738">
      <w:pPr>
        <w:rPr>
          <w:rFonts w:asciiTheme="minorHAnsi" w:hAnsiTheme="minorHAnsi"/>
        </w:rPr>
      </w:pPr>
    </w:p>
    <w:p w14:paraId="2285445B" w14:textId="77777777" w:rsidR="00437738" w:rsidRDefault="00437738">
      <w:pPr>
        <w:rPr>
          <w:rFonts w:asciiTheme="minorHAnsi" w:hAnsiTheme="minorHAnsi"/>
        </w:rPr>
      </w:pPr>
    </w:p>
    <w:p w14:paraId="1B6600BB" w14:textId="77777777" w:rsidR="00437738" w:rsidRDefault="00437738">
      <w:pPr>
        <w:rPr>
          <w:rFonts w:asciiTheme="minorHAnsi" w:hAnsiTheme="minorHAnsi"/>
        </w:rPr>
      </w:pPr>
    </w:p>
    <w:p w14:paraId="56B5B455" w14:textId="77777777" w:rsidR="00437738" w:rsidRDefault="00437738">
      <w:pPr>
        <w:rPr>
          <w:rFonts w:asciiTheme="minorHAnsi" w:hAnsiTheme="minorHAnsi"/>
        </w:rPr>
      </w:pPr>
    </w:p>
    <w:p w14:paraId="4606F95C" w14:textId="77777777" w:rsidR="00437738" w:rsidRDefault="00437738">
      <w:pPr>
        <w:rPr>
          <w:rFonts w:asciiTheme="minorHAnsi" w:hAnsiTheme="minorHAnsi"/>
        </w:rPr>
      </w:pPr>
    </w:p>
    <w:p w14:paraId="5249FCBB" w14:textId="77777777" w:rsidR="00437738" w:rsidRDefault="00437738">
      <w:pPr>
        <w:rPr>
          <w:rFonts w:asciiTheme="minorHAnsi" w:hAnsiTheme="minorHAnsi"/>
        </w:rPr>
      </w:pPr>
    </w:p>
    <w:p w14:paraId="4D007168" w14:textId="77777777" w:rsidR="00437738" w:rsidRDefault="00437738">
      <w:pPr>
        <w:rPr>
          <w:rFonts w:asciiTheme="minorHAnsi" w:hAnsiTheme="minorHAnsi"/>
        </w:rPr>
      </w:pPr>
    </w:p>
    <w:p w14:paraId="4559AA31" w14:textId="77777777" w:rsidR="00437738" w:rsidRDefault="00437738">
      <w:pPr>
        <w:rPr>
          <w:rFonts w:asciiTheme="minorHAnsi" w:hAnsiTheme="minorHAnsi"/>
        </w:rPr>
      </w:pPr>
    </w:p>
    <w:p w14:paraId="6C816E0F" w14:textId="77777777" w:rsidR="00437738" w:rsidRDefault="00437738">
      <w:pPr>
        <w:rPr>
          <w:rFonts w:asciiTheme="minorHAnsi" w:hAnsiTheme="minorHAnsi"/>
        </w:rPr>
      </w:pPr>
    </w:p>
    <w:p w14:paraId="01F3BB0B" w14:textId="77777777" w:rsidR="00437738" w:rsidRDefault="00437738">
      <w:pPr>
        <w:rPr>
          <w:rFonts w:asciiTheme="minorHAnsi" w:hAnsiTheme="minorHAnsi"/>
        </w:rPr>
      </w:pPr>
    </w:p>
    <w:p w14:paraId="0F8AB50A" w14:textId="77777777" w:rsidR="00437738" w:rsidRDefault="00437738">
      <w:pPr>
        <w:rPr>
          <w:rFonts w:asciiTheme="minorHAnsi" w:hAnsiTheme="minorHAnsi"/>
        </w:rPr>
      </w:pPr>
    </w:p>
    <w:p w14:paraId="31F5A09A" w14:textId="77777777" w:rsidR="00437738" w:rsidRDefault="00437738">
      <w:pPr>
        <w:rPr>
          <w:rFonts w:asciiTheme="minorHAnsi" w:hAnsiTheme="minorHAnsi"/>
        </w:rPr>
      </w:pPr>
    </w:p>
    <w:p w14:paraId="3D386B81" w14:textId="77777777" w:rsidR="00437738" w:rsidRDefault="00437738">
      <w:pPr>
        <w:rPr>
          <w:rFonts w:asciiTheme="minorHAnsi" w:hAnsiTheme="minorHAnsi"/>
        </w:rPr>
      </w:pPr>
    </w:p>
    <w:p w14:paraId="470C25B0" w14:textId="77777777" w:rsidR="00437738" w:rsidRDefault="00437738">
      <w:pPr>
        <w:rPr>
          <w:rFonts w:asciiTheme="minorHAnsi" w:hAnsiTheme="minorHAnsi"/>
        </w:rPr>
      </w:pPr>
    </w:p>
    <w:p w14:paraId="2541AB66" w14:textId="77777777" w:rsidR="00437738" w:rsidRDefault="00437738">
      <w:pPr>
        <w:rPr>
          <w:rFonts w:asciiTheme="minorHAnsi" w:hAnsiTheme="minorHAnsi"/>
        </w:rPr>
      </w:pPr>
    </w:p>
    <w:p w14:paraId="6F61E0F8" w14:textId="77777777" w:rsidR="00437738" w:rsidRDefault="00437738">
      <w:pPr>
        <w:rPr>
          <w:rFonts w:asciiTheme="minorHAnsi" w:hAnsiTheme="minorHAnsi"/>
        </w:rPr>
      </w:pPr>
    </w:p>
    <w:p w14:paraId="41D5393D" w14:textId="77777777" w:rsidR="00437738" w:rsidRDefault="00437738">
      <w:pPr>
        <w:rPr>
          <w:rFonts w:asciiTheme="minorHAnsi" w:hAnsiTheme="minorHAnsi"/>
        </w:rPr>
      </w:pPr>
    </w:p>
    <w:p w14:paraId="5A0BA3D9" w14:textId="77777777" w:rsidR="00437738" w:rsidRDefault="00437738">
      <w:pPr>
        <w:rPr>
          <w:rFonts w:asciiTheme="minorHAnsi" w:hAnsiTheme="minorHAnsi"/>
        </w:rPr>
      </w:pPr>
    </w:p>
    <w:p w14:paraId="220C2B3F" w14:textId="77777777" w:rsidR="00437738" w:rsidRDefault="00437738">
      <w:pPr>
        <w:rPr>
          <w:rFonts w:asciiTheme="minorHAnsi" w:hAnsiTheme="minorHAnsi"/>
        </w:rPr>
      </w:pPr>
    </w:p>
    <w:p w14:paraId="0CB2BFF2" w14:textId="77777777" w:rsidR="00437738" w:rsidRDefault="00437738">
      <w:pPr>
        <w:rPr>
          <w:rFonts w:asciiTheme="minorHAnsi" w:hAnsiTheme="minorHAnsi"/>
        </w:rPr>
      </w:pPr>
    </w:p>
    <w:p w14:paraId="312C9D07" w14:textId="77777777" w:rsidR="00437738" w:rsidRDefault="00437738">
      <w:pPr>
        <w:rPr>
          <w:rFonts w:asciiTheme="minorHAnsi" w:hAnsiTheme="minorHAnsi"/>
        </w:rPr>
      </w:pPr>
    </w:p>
    <w:p w14:paraId="3E2B166E" w14:textId="77777777" w:rsidR="00437738" w:rsidRDefault="00437738">
      <w:pPr>
        <w:rPr>
          <w:rFonts w:asciiTheme="minorHAnsi" w:hAnsiTheme="minorHAnsi"/>
        </w:rPr>
      </w:pPr>
    </w:p>
    <w:p w14:paraId="776A86FE" w14:textId="77777777" w:rsidR="00577887" w:rsidRDefault="00577887">
      <w:pPr>
        <w:rPr>
          <w:rFonts w:asciiTheme="minorHAnsi" w:hAnsiTheme="minorHAnsi"/>
        </w:rPr>
      </w:pPr>
    </w:p>
    <w:p w14:paraId="704CFAB5" w14:textId="77777777" w:rsidR="00577887" w:rsidRDefault="00577887">
      <w:pPr>
        <w:rPr>
          <w:rFonts w:asciiTheme="minorHAnsi" w:hAnsiTheme="minorHAnsi"/>
        </w:rPr>
      </w:pPr>
    </w:p>
    <w:p w14:paraId="41A7D71D" w14:textId="77777777" w:rsidR="00577887" w:rsidRPr="00577887" w:rsidRDefault="00577887" w:rsidP="00577887">
      <w:pPr>
        <w:rPr>
          <w:rFonts w:asciiTheme="minorHAnsi" w:hAnsiTheme="minorHAnsi"/>
          <w:sz w:val="24"/>
          <w:szCs w:val="24"/>
        </w:rPr>
      </w:pPr>
      <w:r w:rsidRPr="00577887">
        <w:rPr>
          <w:rFonts w:asciiTheme="minorHAnsi" w:hAnsiTheme="minorHAnsi"/>
          <w:b/>
          <w:bCs/>
          <w:sz w:val="24"/>
          <w:szCs w:val="24"/>
        </w:rPr>
        <w:t xml:space="preserve">Essay 4: </w:t>
      </w:r>
    </w:p>
    <w:p w14:paraId="5EF45DA2" w14:textId="77777777" w:rsidR="00577887" w:rsidRPr="00577887" w:rsidRDefault="00577887" w:rsidP="00577887">
      <w:pPr>
        <w:rPr>
          <w:rFonts w:asciiTheme="minorHAnsi" w:hAnsiTheme="minorHAnsi"/>
          <w:b/>
          <w:bCs/>
          <w:sz w:val="24"/>
          <w:szCs w:val="24"/>
        </w:rPr>
      </w:pPr>
      <w:r w:rsidRPr="00577887">
        <w:rPr>
          <w:rFonts w:asciiTheme="minorHAnsi" w:hAnsiTheme="minorHAnsi"/>
          <w:b/>
          <w:bCs/>
          <w:sz w:val="24"/>
          <w:szCs w:val="24"/>
        </w:rPr>
        <w:t>How effective is early intervention an effective means of preventing young people from offending or re-offending?</w:t>
      </w:r>
    </w:p>
    <w:p w14:paraId="5FB8F17B" w14:textId="77777777" w:rsidR="00577887" w:rsidRPr="00577887" w:rsidRDefault="00577887" w:rsidP="00577887">
      <w:pPr>
        <w:rPr>
          <w:rFonts w:asciiTheme="minorHAnsi" w:hAnsiTheme="minorHAnsi"/>
          <w:sz w:val="24"/>
          <w:szCs w:val="24"/>
        </w:rPr>
      </w:pPr>
    </w:p>
    <w:p w14:paraId="5514EF86" w14:textId="77777777" w:rsidR="00577887" w:rsidRPr="00577887" w:rsidRDefault="00577887" w:rsidP="00577887">
      <w:pPr>
        <w:rPr>
          <w:rFonts w:asciiTheme="minorHAnsi" w:hAnsiTheme="minorHAnsi"/>
          <w:sz w:val="24"/>
          <w:szCs w:val="24"/>
        </w:rPr>
      </w:pPr>
      <w:r w:rsidRPr="00577887">
        <w:rPr>
          <w:rFonts w:asciiTheme="minorHAnsi" w:hAnsiTheme="minorHAnsi"/>
          <w:sz w:val="24"/>
          <w:szCs w:val="24"/>
        </w:rPr>
        <w:t>In this essay I will be addressing how effective early intervention is in preventing young adults from repeat offending and the types of interventions that are used.</w:t>
      </w:r>
    </w:p>
    <w:p w14:paraId="6B3FA924" w14:textId="35C92C73" w:rsidR="00577887" w:rsidRPr="00577887" w:rsidRDefault="00577887" w:rsidP="00577887">
      <w:pPr>
        <w:rPr>
          <w:rFonts w:asciiTheme="minorHAnsi" w:hAnsiTheme="minorHAnsi"/>
          <w:sz w:val="24"/>
          <w:szCs w:val="24"/>
        </w:rPr>
      </w:pPr>
      <w:r w:rsidRPr="00577887">
        <w:rPr>
          <w:rFonts w:asciiTheme="minorHAnsi" w:hAnsiTheme="minorHAnsi"/>
          <w:sz w:val="24"/>
          <w:szCs w:val="24"/>
        </w:rPr>
        <w:t>There are many reasons why young people offend; these can range from environmental factors to behavioural issues. “Approximately 58,900 young people were arrested in 2024 for notifiable offences” (Youth Justice Board, 2025). Following on from this, according to Ministry of Justice (2023), the 2023 statistics show that “almost 31.6% of young people re-offend”.</w:t>
      </w:r>
      <w:r w:rsidR="008723A1">
        <w:rPr>
          <w:rFonts w:asciiTheme="minorHAnsi" w:hAnsiTheme="minorHAnsi"/>
          <w:sz w:val="24"/>
          <w:szCs w:val="24"/>
        </w:rPr>
        <w:t xml:space="preserve"> The amount of youths offending and re offending in the UK has become more of an issue over the years. So, i</w:t>
      </w:r>
      <w:r w:rsidRPr="00577887">
        <w:rPr>
          <w:rFonts w:asciiTheme="minorHAnsi" w:hAnsiTheme="minorHAnsi"/>
          <w:sz w:val="24"/>
          <w:szCs w:val="24"/>
        </w:rPr>
        <w:t xml:space="preserve">n order to keep young people out of the criminal justice system and lower their risk of numerous negative psychiatric consequences, early detection and intervention with offenders and those at risk of offending are essential (Riel et al., 2021). </w:t>
      </w:r>
    </w:p>
    <w:p w14:paraId="0448CD95" w14:textId="77777777" w:rsidR="00577887" w:rsidRPr="00577887" w:rsidRDefault="00577887" w:rsidP="00577887">
      <w:pPr>
        <w:rPr>
          <w:rFonts w:asciiTheme="minorHAnsi" w:hAnsiTheme="minorHAnsi"/>
          <w:sz w:val="24"/>
          <w:szCs w:val="24"/>
        </w:rPr>
      </w:pPr>
    </w:p>
    <w:p w14:paraId="625DA1F8" w14:textId="044E1D61" w:rsidR="00577887" w:rsidRPr="00577887" w:rsidRDefault="00577887" w:rsidP="00577887">
      <w:pPr>
        <w:rPr>
          <w:rFonts w:asciiTheme="minorHAnsi" w:hAnsiTheme="minorHAnsi"/>
          <w:sz w:val="24"/>
          <w:szCs w:val="24"/>
        </w:rPr>
      </w:pPr>
      <w:r w:rsidRPr="00577887">
        <w:rPr>
          <w:rFonts w:asciiTheme="minorHAnsi" w:hAnsiTheme="minorHAnsi"/>
          <w:sz w:val="24"/>
          <w:szCs w:val="24"/>
        </w:rPr>
        <w:t xml:space="preserve">Compared to other youth’s, young persons connected with the justice system are more likely to have experienced trauma and related psychological disorders, especially young women (Rhoden </w:t>
      </w:r>
      <w:r w:rsidRPr="00577887">
        <w:rPr>
          <w:rFonts w:asciiTheme="minorHAnsi" w:hAnsiTheme="minorHAnsi"/>
          <w:i/>
          <w:iCs/>
          <w:sz w:val="24"/>
          <w:szCs w:val="24"/>
        </w:rPr>
        <w:t>et al</w:t>
      </w:r>
      <w:r w:rsidRPr="00577887">
        <w:rPr>
          <w:rFonts w:asciiTheme="minorHAnsi" w:hAnsiTheme="minorHAnsi"/>
          <w:sz w:val="24"/>
          <w:szCs w:val="24"/>
        </w:rPr>
        <w:t xml:space="preserve">., 2019). Therefore, to limit the risk of young people reoffending it is important to find and fix the underlying reasons of criminal behaviour, such as poverty, mental health, or breakdowns in families before they worsen and present themselves back into police custody. Liebenberg &amp; Ungar (2014) suggest that one way to reduce the likelihood of criminal activity connected to mental health issues is to intervene when there are new or mild symptoms. </w:t>
      </w:r>
      <w:r w:rsidR="00F9436A">
        <w:rPr>
          <w:rFonts w:asciiTheme="minorHAnsi" w:hAnsiTheme="minorHAnsi"/>
          <w:sz w:val="24"/>
          <w:szCs w:val="24"/>
        </w:rPr>
        <w:t xml:space="preserve">Delving deeper into the lives of these young people can help disconnect the chain of </w:t>
      </w:r>
      <w:r w:rsidR="004E4F93">
        <w:rPr>
          <w:rFonts w:asciiTheme="minorHAnsi" w:hAnsiTheme="minorHAnsi"/>
          <w:sz w:val="24"/>
          <w:szCs w:val="24"/>
        </w:rPr>
        <w:t xml:space="preserve">offending and reduce crime levels. </w:t>
      </w:r>
      <w:r w:rsidRPr="00577887">
        <w:rPr>
          <w:rFonts w:asciiTheme="minorHAnsi" w:hAnsiTheme="minorHAnsi"/>
          <w:sz w:val="24"/>
          <w:szCs w:val="24"/>
        </w:rPr>
        <w:t xml:space="preserve">Although there is little evidence for externalising behaviour issues, interventions for youth’s involved in the court system because of their criminal behaviour have been demonstrated to lessen the symptoms of post-traumatic stress disorder </w:t>
      </w:r>
      <w:r>
        <w:rPr>
          <w:rFonts w:asciiTheme="minorHAnsi" w:hAnsiTheme="minorHAnsi"/>
          <w:sz w:val="24"/>
          <w:szCs w:val="24"/>
        </w:rPr>
        <w:t>(Rhoden et al., 2019).</w:t>
      </w:r>
      <w:r w:rsidRPr="00577887">
        <w:rPr>
          <w:rFonts w:asciiTheme="minorHAnsi" w:hAnsiTheme="minorHAnsi"/>
          <w:sz w:val="24"/>
          <w:szCs w:val="24"/>
        </w:rPr>
        <w:t>This can be seen as effective in reducing the risk of reoffending behaviour as they are less likely to have ongoing behavioural issues which can cause criminal behaviour, however, GOV.Uk (2024) claims that compared to ten years ago, the re offending rate is still higher.</w:t>
      </w:r>
    </w:p>
    <w:p w14:paraId="3D1B7FA9" w14:textId="77777777" w:rsidR="00577887" w:rsidRPr="00577887" w:rsidRDefault="00577887" w:rsidP="00577887">
      <w:pPr>
        <w:rPr>
          <w:rFonts w:asciiTheme="minorHAnsi" w:hAnsiTheme="minorHAnsi"/>
          <w:sz w:val="24"/>
          <w:szCs w:val="24"/>
        </w:rPr>
      </w:pPr>
    </w:p>
    <w:p w14:paraId="62FD44B1" w14:textId="77777777" w:rsidR="00577887" w:rsidRPr="00577887" w:rsidRDefault="00577887" w:rsidP="00577887">
      <w:pPr>
        <w:rPr>
          <w:rFonts w:asciiTheme="minorHAnsi" w:hAnsiTheme="minorHAnsi"/>
          <w:sz w:val="24"/>
          <w:szCs w:val="24"/>
        </w:rPr>
      </w:pPr>
      <w:r w:rsidRPr="00577887">
        <w:rPr>
          <w:rFonts w:asciiTheme="minorHAnsi" w:hAnsiTheme="minorHAnsi"/>
          <w:sz w:val="24"/>
          <w:szCs w:val="24"/>
        </w:rPr>
        <w:t xml:space="preserve">Early intervention success is heavily influenced by the planning, scheduling and execution of procedures, as well as the larger socio-political environment. Working with partner agencies and researching the background of the individual is important to gain successful intervention. Andrew &amp; Bonta (2010) argues that we can use the significant differences in first and recurring criminal involvements in predicting who is most likely to continue engaging in criminal activity. </w:t>
      </w:r>
    </w:p>
    <w:p w14:paraId="29413363" w14:textId="287D80F9" w:rsidR="00577887" w:rsidRPr="00577887" w:rsidRDefault="00577887" w:rsidP="00577887">
      <w:pPr>
        <w:rPr>
          <w:rFonts w:asciiTheme="minorHAnsi" w:hAnsiTheme="minorHAnsi"/>
          <w:sz w:val="24"/>
          <w:szCs w:val="24"/>
        </w:rPr>
      </w:pPr>
      <w:r w:rsidRPr="00577887">
        <w:rPr>
          <w:rFonts w:asciiTheme="minorHAnsi" w:hAnsiTheme="minorHAnsi"/>
          <w:sz w:val="24"/>
          <w:szCs w:val="24"/>
        </w:rPr>
        <w:lastRenderedPageBreak/>
        <w:t>The models’ key elements are the well-known “Big Four” predictors of criminal behaviour. These predictors are history of antisocial behaviour, antisocial associates, antisocial attitudes and antisocial personality pattern (HMA, 2016).</w:t>
      </w:r>
    </w:p>
    <w:p w14:paraId="455D24D2" w14:textId="77777777" w:rsidR="00577887" w:rsidRPr="00577887" w:rsidRDefault="00577887" w:rsidP="00577887">
      <w:pPr>
        <w:rPr>
          <w:rFonts w:asciiTheme="minorHAnsi" w:hAnsiTheme="minorHAnsi"/>
          <w:b/>
          <w:bCs/>
          <w:sz w:val="24"/>
          <w:szCs w:val="24"/>
        </w:rPr>
      </w:pPr>
    </w:p>
    <w:p w14:paraId="215A6D8C" w14:textId="77777777" w:rsidR="00577887" w:rsidRPr="00577887" w:rsidRDefault="00577887" w:rsidP="00577887">
      <w:pPr>
        <w:rPr>
          <w:rFonts w:asciiTheme="minorHAnsi" w:hAnsiTheme="minorHAnsi"/>
          <w:sz w:val="24"/>
          <w:szCs w:val="24"/>
        </w:rPr>
      </w:pPr>
      <w:r w:rsidRPr="00577887">
        <w:rPr>
          <w:rFonts w:asciiTheme="minorHAnsi" w:hAnsiTheme="minorHAnsi"/>
          <w:sz w:val="24"/>
          <w:szCs w:val="24"/>
        </w:rPr>
        <w:t>It is encouraging that both formal youth justice engagement and child and youth offending are on the decline. However, there are still plenty of opportunities to enhance youth justice procedures for the most persistent and frequent offenders - (Reil et al.,2021).</w:t>
      </w:r>
    </w:p>
    <w:p w14:paraId="252964DC" w14:textId="77777777" w:rsidR="00577887" w:rsidRPr="00577887" w:rsidRDefault="00577887" w:rsidP="00577887">
      <w:pPr>
        <w:rPr>
          <w:rFonts w:asciiTheme="minorHAnsi" w:hAnsiTheme="minorHAnsi"/>
          <w:sz w:val="24"/>
          <w:szCs w:val="24"/>
        </w:rPr>
      </w:pPr>
    </w:p>
    <w:p w14:paraId="400F0CF6" w14:textId="77777777" w:rsidR="00577887" w:rsidRPr="00577887" w:rsidRDefault="00577887" w:rsidP="00577887">
      <w:pPr>
        <w:rPr>
          <w:rFonts w:asciiTheme="minorHAnsi" w:hAnsiTheme="minorHAnsi"/>
          <w:sz w:val="24"/>
          <w:szCs w:val="24"/>
        </w:rPr>
      </w:pPr>
      <w:r w:rsidRPr="00577887">
        <w:rPr>
          <w:rFonts w:asciiTheme="minorHAnsi" w:hAnsiTheme="minorHAnsi"/>
          <w:sz w:val="24"/>
          <w:szCs w:val="24"/>
        </w:rPr>
        <w:t xml:space="preserve">For young offenders in England and Wales, the Intensive Supervision and Surveillance Programme (ISSP) have been praised as the most stringent non-custodial interventions available This programme was introduced in 2001 by the Youth Justice Board for England and Wales (YJB). The programs are built on the idea of evidence based practice and are intended to combine close monitoring with intense supervision (Waters, 2006). </w:t>
      </w:r>
    </w:p>
    <w:p w14:paraId="1C710652" w14:textId="77777777" w:rsidR="00577887" w:rsidRPr="00577887" w:rsidRDefault="00577887" w:rsidP="00577887">
      <w:pPr>
        <w:rPr>
          <w:rFonts w:asciiTheme="minorHAnsi" w:hAnsiTheme="minorHAnsi"/>
          <w:sz w:val="24"/>
          <w:szCs w:val="24"/>
        </w:rPr>
      </w:pPr>
    </w:p>
    <w:p w14:paraId="370C402C" w14:textId="77777777" w:rsidR="00577887" w:rsidRPr="00577887" w:rsidRDefault="00577887" w:rsidP="00577887">
      <w:pPr>
        <w:rPr>
          <w:rFonts w:asciiTheme="minorHAnsi" w:hAnsiTheme="minorHAnsi"/>
          <w:sz w:val="24"/>
          <w:szCs w:val="24"/>
        </w:rPr>
      </w:pPr>
      <w:r w:rsidRPr="00577887">
        <w:rPr>
          <w:rFonts w:asciiTheme="minorHAnsi" w:hAnsiTheme="minorHAnsi"/>
          <w:sz w:val="24"/>
          <w:szCs w:val="24"/>
        </w:rPr>
        <w:t xml:space="preserve">Statistics from the ISSP program showed that the level of offending in the ISSP sample decreased by 40% over a year and 39% over two years (YJB, 2005). This shows that the early intervention with young people is effective on stopping them from re offending. However, the more times they are arrested, the more they become susceptible to the legal system and may be adversely affected by it due to the consequences of being held or interacting with youth justice services, which could make them believe that they are more delinquent (Reil et al.,2021). In addition to this, evidence from YJB (2005) states that the most likely young offenders to finish ISSP were those with the fewest personal and social issues. Therefore, implying that the ISSP is only beneficial and shows that it helps in stopping re offending is when the young offender did not come from a trouble background. </w:t>
      </w:r>
    </w:p>
    <w:p w14:paraId="6C069D4A" w14:textId="77777777" w:rsidR="00577887" w:rsidRPr="00577887" w:rsidRDefault="00577887" w:rsidP="00577887">
      <w:pPr>
        <w:rPr>
          <w:rFonts w:asciiTheme="minorHAnsi" w:hAnsiTheme="minorHAnsi"/>
          <w:sz w:val="24"/>
          <w:szCs w:val="24"/>
        </w:rPr>
      </w:pPr>
    </w:p>
    <w:p w14:paraId="54CD20C2" w14:textId="77777777" w:rsidR="00577887" w:rsidRPr="00577887" w:rsidRDefault="00577887" w:rsidP="00577887">
      <w:pPr>
        <w:rPr>
          <w:rFonts w:asciiTheme="minorHAnsi" w:hAnsiTheme="minorHAnsi"/>
          <w:sz w:val="24"/>
          <w:szCs w:val="24"/>
        </w:rPr>
      </w:pPr>
      <w:r w:rsidRPr="00577887">
        <w:rPr>
          <w:rFonts w:asciiTheme="minorHAnsi" w:hAnsiTheme="minorHAnsi"/>
          <w:sz w:val="24"/>
          <w:szCs w:val="24"/>
        </w:rPr>
        <w:t xml:space="preserve">The CAPRICORN Framework is a team based strategy to stop offending and re offending by children. By examining both primary and secondary causes of offending, the framework aims to assist local authorities in preventing youths re offending. CAPRICORNS primary goal is to outline some steps that local partnerships can do to stop young people being involved in the criminal system (GOV.UK, 2024). According to the CAPRICORN model, a whole system strategy to preventing offences and re offending entails organisations to shift from working alone on temporary solutions, to collaborating closely with a variety of partners throughout the local system (GOV. UK, 2024). </w:t>
      </w:r>
    </w:p>
    <w:p w14:paraId="5C6E9C80" w14:textId="77777777" w:rsidR="00577887" w:rsidRPr="00577887" w:rsidRDefault="00577887" w:rsidP="00577887">
      <w:pPr>
        <w:rPr>
          <w:rFonts w:asciiTheme="minorHAnsi" w:hAnsiTheme="minorHAnsi"/>
          <w:sz w:val="24"/>
          <w:szCs w:val="24"/>
        </w:rPr>
      </w:pPr>
    </w:p>
    <w:p w14:paraId="1A76B52A" w14:textId="77777777" w:rsidR="00577887" w:rsidRPr="00577887" w:rsidRDefault="00577887" w:rsidP="00577887">
      <w:pPr>
        <w:rPr>
          <w:rFonts w:asciiTheme="minorHAnsi" w:hAnsiTheme="minorHAnsi"/>
          <w:sz w:val="24"/>
          <w:szCs w:val="24"/>
        </w:rPr>
      </w:pPr>
      <w:r w:rsidRPr="00577887">
        <w:rPr>
          <w:rFonts w:asciiTheme="minorHAnsi" w:hAnsiTheme="minorHAnsi"/>
          <w:sz w:val="24"/>
          <w:szCs w:val="24"/>
        </w:rPr>
        <w:t xml:space="preserve">In addition to this, the Youth offending teams (YOT) also work with young people to steer them away from criminal offences. They do this by investigating a young person’s background and work with them to keep them away from crime. They oversee youth’s serving community sentences, assist youths at the police station if they are arrested and manage neighbourhood crime prevention programmes (GOV.UK, 2015). Statistics from the YOT shows that it has been effective in decreasing the number of young people at all levels of the youth justice system (Youth Justice Board, 2015). Statistics show that children’s reoffending rate rose to 32.5%, which was a rise of 0.3% over the prior year. The rate of reoffending among young people increased year after year (Youth Justice Board, 2025). </w:t>
      </w:r>
    </w:p>
    <w:p w14:paraId="5710DDDB" w14:textId="77777777" w:rsidR="00577887" w:rsidRPr="00577887" w:rsidRDefault="00577887" w:rsidP="00577887">
      <w:pPr>
        <w:rPr>
          <w:rFonts w:asciiTheme="minorHAnsi" w:hAnsiTheme="minorHAnsi"/>
          <w:sz w:val="24"/>
          <w:szCs w:val="24"/>
        </w:rPr>
      </w:pPr>
    </w:p>
    <w:p w14:paraId="735F2B87" w14:textId="77777777" w:rsidR="00577887" w:rsidRPr="00577887" w:rsidRDefault="00577887" w:rsidP="00577887">
      <w:pPr>
        <w:rPr>
          <w:rFonts w:asciiTheme="minorHAnsi" w:hAnsiTheme="minorHAnsi"/>
          <w:b/>
          <w:bCs/>
          <w:sz w:val="24"/>
          <w:szCs w:val="24"/>
          <w:u w:val="single"/>
        </w:rPr>
      </w:pPr>
    </w:p>
    <w:p w14:paraId="2515CBC9" w14:textId="53FE2BE3" w:rsidR="00577887" w:rsidRPr="00577887" w:rsidRDefault="00D04AC3" w:rsidP="00577887">
      <w:pPr>
        <w:rPr>
          <w:rFonts w:asciiTheme="minorHAnsi" w:hAnsiTheme="minorHAnsi"/>
          <w:sz w:val="24"/>
          <w:szCs w:val="24"/>
        </w:rPr>
      </w:pPr>
      <w:r>
        <w:rPr>
          <w:rFonts w:asciiTheme="minorHAnsi" w:hAnsiTheme="minorHAnsi"/>
          <w:sz w:val="24"/>
          <w:szCs w:val="24"/>
        </w:rPr>
        <w:t>To conc</w:t>
      </w:r>
      <w:r w:rsidR="008E4369">
        <w:rPr>
          <w:rFonts w:asciiTheme="minorHAnsi" w:hAnsiTheme="minorHAnsi"/>
          <w:sz w:val="24"/>
          <w:szCs w:val="24"/>
        </w:rPr>
        <w:t>l</w:t>
      </w:r>
      <w:r>
        <w:rPr>
          <w:rFonts w:asciiTheme="minorHAnsi" w:hAnsiTheme="minorHAnsi"/>
          <w:sz w:val="24"/>
          <w:szCs w:val="24"/>
        </w:rPr>
        <w:t xml:space="preserve">ude, </w:t>
      </w:r>
      <w:r w:rsidR="00577887" w:rsidRPr="00577887">
        <w:rPr>
          <w:rFonts w:asciiTheme="minorHAnsi" w:hAnsiTheme="minorHAnsi"/>
          <w:sz w:val="24"/>
          <w:szCs w:val="24"/>
        </w:rPr>
        <w:t xml:space="preserve">It is important to recognise and resolve any underlying issues such as lack of education, mental health issues and disrupted family values before they escalate. Early intervention success is largely dependent on how interventions are planned and carried out. Early intervention has a great deal of potential as a successful strategy got reducing youths committing offences and recidivism. It has the potential to significantly impact their lives if it is focused, well-resourced and supported by evidence.  But their success mostly depends on meticulous preparation, sustained dedication and a comprehensive grasp of the elements that contribute to crime involving young people. </w:t>
      </w:r>
    </w:p>
    <w:p w14:paraId="5037ADAB" w14:textId="77777777" w:rsidR="00577887" w:rsidRPr="00577887" w:rsidRDefault="00577887" w:rsidP="00577887">
      <w:pPr>
        <w:rPr>
          <w:rFonts w:asciiTheme="minorHAnsi" w:hAnsiTheme="minorHAnsi"/>
          <w:sz w:val="24"/>
          <w:szCs w:val="24"/>
        </w:rPr>
      </w:pPr>
    </w:p>
    <w:p w14:paraId="030E5630" w14:textId="4CCF5F0F" w:rsidR="00577887" w:rsidRPr="00577887" w:rsidRDefault="00577887" w:rsidP="00577887">
      <w:pPr>
        <w:rPr>
          <w:rFonts w:asciiTheme="minorHAnsi" w:hAnsiTheme="minorHAnsi"/>
          <w:sz w:val="24"/>
          <w:szCs w:val="24"/>
        </w:rPr>
      </w:pPr>
      <w:r w:rsidRPr="00577887">
        <w:rPr>
          <w:rFonts w:asciiTheme="minorHAnsi" w:hAnsiTheme="minorHAnsi"/>
          <w:sz w:val="24"/>
          <w:szCs w:val="24"/>
        </w:rPr>
        <w:t xml:space="preserve">Word count - </w:t>
      </w:r>
      <w:r w:rsidR="004E4F93">
        <w:rPr>
          <w:rFonts w:asciiTheme="minorHAnsi" w:hAnsiTheme="minorHAnsi"/>
          <w:sz w:val="24"/>
          <w:szCs w:val="24"/>
        </w:rPr>
        <w:t>1024</w:t>
      </w:r>
    </w:p>
    <w:p w14:paraId="580D137A" w14:textId="77777777" w:rsidR="00577887" w:rsidRPr="00577887" w:rsidRDefault="00577887" w:rsidP="00577887">
      <w:pPr>
        <w:rPr>
          <w:rFonts w:asciiTheme="minorHAnsi" w:hAnsiTheme="minorHAnsi"/>
          <w:b/>
          <w:bCs/>
          <w:sz w:val="24"/>
          <w:szCs w:val="24"/>
          <w:u w:val="single"/>
        </w:rPr>
      </w:pPr>
    </w:p>
    <w:p w14:paraId="08B11754" w14:textId="77777777" w:rsidR="00577887" w:rsidRPr="00577887" w:rsidRDefault="00577887" w:rsidP="00577887">
      <w:pPr>
        <w:rPr>
          <w:rFonts w:asciiTheme="minorHAnsi" w:hAnsiTheme="minorHAnsi"/>
          <w:b/>
          <w:bCs/>
          <w:sz w:val="24"/>
          <w:szCs w:val="24"/>
          <w:u w:val="single"/>
        </w:rPr>
      </w:pPr>
      <w:r w:rsidRPr="00577887">
        <w:rPr>
          <w:rFonts w:asciiTheme="minorHAnsi" w:hAnsiTheme="minorHAnsi"/>
          <w:b/>
          <w:bCs/>
          <w:sz w:val="24"/>
          <w:szCs w:val="24"/>
          <w:u w:val="single"/>
        </w:rPr>
        <w:t xml:space="preserve">References </w:t>
      </w:r>
    </w:p>
    <w:p w14:paraId="0CD89A21" w14:textId="77777777" w:rsidR="00577887" w:rsidRPr="00577887" w:rsidRDefault="00577887" w:rsidP="00577887">
      <w:pPr>
        <w:rPr>
          <w:rFonts w:asciiTheme="minorHAnsi" w:hAnsiTheme="minorHAnsi"/>
          <w:sz w:val="24"/>
          <w:szCs w:val="24"/>
        </w:rPr>
      </w:pPr>
    </w:p>
    <w:p w14:paraId="6C9DA8B2" w14:textId="77777777" w:rsidR="00577887" w:rsidRPr="00577887" w:rsidRDefault="00577887" w:rsidP="00577887">
      <w:pPr>
        <w:rPr>
          <w:rFonts w:asciiTheme="minorHAnsi" w:hAnsiTheme="minorHAnsi"/>
          <w:sz w:val="24"/>
          <w:szCs w:val="24"/>
        </w:rPr>
      </w:pPr>
      <w:r w:rsidRPr="00577887">
        <w:rPr>
          <w:rFonts w:asciiTheme="minorHAnsi" w:hAnsiTheme="minorHAnsi"/>
          <w:sz w:val="24"/>
          <w:szCs w:val="24"/>
        </w:rPr>
        <w:t xml:space="preserve">GOV.UK (2015) </w:t>
      </w:r>
      <w:r w:rsidRPr="00577887">
        <w:rPr>
          <w:rFonts w:asciiTheme="minorHAnsi" w:hAnsiTheme="minorHAnsi"/>
          <w:i/>
          <w:iCs/>
          <w:sz w:val="24"/>
          <w:szCs w:val="24"/>
        </w:rPr>
        <w:t>Youth offending teams</w:t>
      </w:r>
      <w:r w:rsidRPr="00577887">
        <w:rPr>
          <w:rFonts w:asciiTheme="minorHAnsi" w:hAnsiTheme="minorHAnsi"/>
          <w:sz w:val="24"/>
          <w:szCs w:val="24"/>
        </w:rPr>
        <w:t xml:space="preserve">, </w:t>
      </w:r>
      <w:r w:rsidRPr="00577887">
        <w:rPr>
          <w:rFonts w:asciiTheme="minorHAnsi" w:hAnsiTheme="minorHAnsi"/>
          <w:i/>
          <w:iCs/>
          <w:sz w:val="24"/>
          <w:szCs w:val="24"/>
        </w:rPr>
        <w:t>GOV.UK</w:t>
      </w:r>
      <w:r w:rsidRPr="00577887">
        <w:rPr>
          <w:rFonts w:asciiTheme="minorHAnsi" w:hAnsiTheme="minorHAnsi"/>
          <w:sz w:val="24"/>
          <w:szCs w:val="24"/>
        </w:rPr>
        <w:t xml:space="preserve">. Available at: https://www.gov.uk/youth-offending-team (Accessed: 27 June 2025). </w:t>
      </w:r>
    </w:p>
    <w:p w14:paraId="775DA428" w14:textId="77777777" w:rsidR="00577887" w:rsidRPr="00577887" w:rsidRDefault="00577887" w:rsidP="00577887">
      <w:pPr>
        <w:rPr>
          <w:rFonts w:asciiTheme="minorHAnsi" w:hAnsiTheme="minorHAnsi"/>
          <w:sz w:val="24"/>
          <w:szCs w:val="24"/>
        </w:rPr>
      </w:pPr>
    </w:p>
    <w:p w14:paraId="5E6F7729" w14:textId="77777777" w:rsidR="00577887" w:rsidRPr="00577887" w:rsidRDefault="00577887" w:rsidP="00577887">
      <w:pPr>
        <w:rPr>
          <w:rFonts w:asciiTheme="minorHAnsi" w:hAnsiTheme="minorHAnsi"/>
          <w:sz w:val="24"/>
          <w:szCs w:val="24"/>
        </w:rPr>
      </w:pPr>
      <w:r w:rsidRPr="00577887">
        <w:rPr>
          <w:rFonts w:asciiTheme="minorHAnsi" w:hAnsiTheme="minorHAnsi"/>
          <w:sz w:val="24"/>
          <w:szCs w:val="24"/>
        </w:rPr>
        <w:t xml:space="preserve">GOV.UK (2025) </w:t>
      </w:r>
      <w:r w:rsidRPr="00577887">
        <w:rPr>
          <w:rFonts w:asciiTheme="minorHAnsi" w:hAnsiTheme="minorHAnsi"/>
          <w:i/>
          <w:iCs/>
          <w:sz w:val="24"/>
          <w:szCs w:val="24"/>
        </w:rPr>
        <w:t>[withdrawn] collaborative approaches to preventing offending and re-offending by Children (Capricorn): Summary</w:t>
      </w:r>
      <w:r w:rsidRPr="00577887">
        <w:rPr>
          <w:rFonts w:asciiTheme="minorHAnsi" w:hAnsiTheme="minorHAnsi"/>
          <w:sz w:val="24"/>
          <w:szCs w:val="24"/>
        </w:rPr>
        <w:t xml:space="preserve">, </w:t>
      </w:r>
      <w:r w:rsidRPr="00577887">
        <w:rPr>
          <w:rFonts w:asciiTheme="minorHAnsi" w:hAnsiTheme="minorHAnsi"/>
          <w:i/>
          <w:iCs/>
          <w:sz w:val="24"/>
          <w:szCs w:val="24"/>
        </w:rPr>
        <w:t>GOV.UK</w:t>
      </w:r>
      <w:r w:rsidRPr="00577887">
        <w:rPr>
          <w:rFonts w:asciiTheme="minorHAnsi" w:hAnsiTheme="minorHAnsi"/>
          <w:sz w:val="24"/>
          <w:szCs w:val="24"/>
        </w:rPr>
        <w:t xml:space="preserve">. Available at: https://www.gov.uk/government/publications/preventing-offending-and-re-offending-by-children/collaborative-approaches-to-preventing-offending-and-re-offending-by-children-capricorn-summary (Accessed: 27 June 2025). </w:t>
      </w:r>
    </w:p>
    <w:p w14:paraId="753B37A2" w14:textId="77777777" w:rsidR="00577887" w:rsidRPr="00577887" w:rsidRDefault="00577887" w:rsidP="00577887">
      <w:pPr>
        <w:rPr>
          <w:rFonts w:asciiTheme="minorHAnsi" w:hAnsiTheme="minorHAnsi"/>
          <w:sz w:val="24"/>
          <w:szCs w:val="24"/>
        </w:rPr>
      </w:pPr>
    </w:p>
    <w:p w14:paraId="7BD23696" w14:textId="77777777" w:rsidR="00577887" w:rsidRPr="00577887" w:rsidRDefault="00577887" w:rsidP="00577887">
      <w:pPr>
        <w:rPr>
          <w:rFonts w:asciiTheme="minorHAnsi" w:hAnsiTheme="minorHAnsi"/>
          <w:sz w:val="24"/>
          <w:szCs w:val="24"/>
        </w:rPr>
      </w:pPr>
      <w:r w:rsidRPr="00577887">
        <w:rPr>
          <w:rFonts w:asciiTheme="minorHAnsi" w:hAnsiTheme="minorHAnsi"/>
          <w:sz w:val="24"/>
          <w:szCs w:val="24"/>
        </w:rPr>
        <w:t xml:space="preserve">HMA (2016) </w:t>
      </w:r>
      <w:r w:rsidRPr="00577887">
        <w:rPr>
          <w:rFonts w:asciiTheme="minorHAnsi" w:hAnsiTheme="minorHAnsi"/>
          <w:i/>
          <w:iCs/>
          <w:sz w:val="24"/>
          <w:szCs w:val="24"/>
        </w:rPr>
        <w:t>Theories to explain offending behaviour</w:t>
      </w:r>
      <w:r w:rsidRPr="00577887">
        <w:rPr>
          <w:rFonts w:asciiTheme="minorHAnsi" w:hAnsiTheme="minorHAnsi"/>
          <w:sz w:val="24"/>
          <w:szCs w:val="24"/>
        </w:rPr>
        <w:t xml:space="preserve">, </w:t>
      </w:r>
      <w:r w:rsidRPr="00577887">
        <w:rPr>
          <w:rFonts w:asciiTheme="minorHAnsi" w:hAnsiTheme="minorHAnsi"/>
          <w:i/>
          <w:iCs/>
          <w:sz w:val="24"/>
          <w:szCs w:val="24"/>
        </w:rPr>
        <w:t>HMA</w:t>
      </w:r>
      <w:r w:rsidRPr="00577887">
        <w:rPr>
          <w:rFonts w:asciiTheme="minorHAnsi" w:hAnsiTheme="minorHAnsi"/>
          <w:sz w:val="24"/>
          <w:szCs w:val="24"/>
        </w:rPr>
        <w:t xml:space="preserve">. Available at: https://www.hma.co.nz/wp-content/uploads/2016/01/Theories-to-explain-offending-behaviour.pdf (Accessed: 30 June 2025). </w:t>
      </w:r>
    </w:p>
    <w:p w14:paraId="4A8518B2" w14:textId="77777777" w:rsidR="00577887" w:rsidRPr="00577887" w:rsidRDefault="00577887" w:rsidP="00577887">
      <w:pPr>
        <w:rPr>
          <w:rFonts w:asciiTheme="minorHAnsi" w:hAnsiTheme="minorHAnsi"/>
          <w:sz w:val="24"/>
          <w:szCs w:val="24"/>
        </w:rPr>
      </w:pPr>
    </w:p>
    <w:p w14:paraId="6F113669" w14:textId="77777777" w:rsidR="00577887" w:rsidRPr="00577887" w:rsidRDefault="00577887" w:rsidP="00577887">
      <w:pPr>
        <w:rPr>
          <w:rFonts w:asciiTheme="minorHAnsi" w:hAnsiTheme="minorHAnsi"/>
          <w:sz w:val="24"/>
          <w:szCs w:val="24"/>
        </w:rPr>
      </w:pPr>
      <w:r w:rsidRPr="00577887">
        <w:rPr>
          <w:rFonts w:asciiTheme="minorHAnsi" w:hAnsiTheme="minorHAnsi"/>
          <w:sz w:val="24"/>
          <w:szCs w:val="24"/>
        </w:rPr>
        <w:t>Liebenberg, L., &amp; Ungar, M. (2014). A comparison of service use among youth involved with juvenile justice and mental health. </w:t>
      </w:r>
      <w:r w:rsidRPr="00577887">
        <w:rPr>
          <w:rFonts w:asciiTheme="minorHAnsi" w:hAnsiTheme="minorHAnsi"/>
          <w:i/>
          <w:iCs/>
          <w:sz w:val="24"/>
          <w:szCs w:val="24"/>
        </w:rPr>
        <w:t>Children and Youth Services Review</w:t>
      </w:r>
      <w:r w:rsidRPr="00577887">
        <w:rPr>
          <w:rFonts w:asciiTheme="minorHAnsi" w:hAnsiTheme="minorHAnsi"/>
          <w:sz w:val="24"/>
          <w:szCs w:val="24"/>
        </w:rPr>
        <w:t>, 39, 117–122. </w:t>
      </w:r>
      <w:hyperlink r:id="rId10" w:history="1">
        <w:r w:rsidRPr="00577887">
          <w:rPr>
            <w:rStyle w:val="Hyperlink"/>
            <w:rFonts w:asciiTheme="minorHAnsi" w:hAnsiTheme="minorHAnsi"/>
            <w:sz w:val="24"/>
            <w:szCs w:val="24"/>
          </w:rPr>
          <w:t>https://doi.org/10.1016/j.childyouth.2014.02.007</w:t>
        </w:r>
      </w:hyperlink>
    </w:p>
    <w:p w14:paraId="02613A82" w14:textId="77777777" w:rsidR="00577887" w:rsidRPr="00577887" w:rsidRDefault="00577887" w:rsidP="00577887">
      <w:pPr>
        <w:rPr>
          <w:rFonts w:asciiTheme="minorHAnsi" w:hAnsiTheme="minorHAnsi"/>
          <w:sz w:val="24"/>
          <w:szCs w:val="24"/>
        </w:rPr>
      </w:pPr>
    </w:p>
    <w:p w14:paraId="670E311D" w14:textId="77777777" w:rsidR="00577887" w:rsidRPr="00577887" w:rsidRDefault="00577887" w:rsidP="00577887">
      <w:pPr>
        <w:rPr>
          <w:rFonts w:asciiTheme="minorHAnsi" w:hAnsiTheme="minorHAnsi"/>
          <w:b/>
          <w:bCs/>
          <w:sz w:val="24"/>
          <w:szCs w:val="24"/>
          <w:u w:val="single"/>
        </w:rPr>
      </w:pPr>
      <w:r w:rsidRPr="00577887">
        <w:rPr>
          <w:rFonts w:asciiTheme="minorHAnsi" w:hAnsiTheme="minorHAnsi"/>
          <w:sz w:val="24"/>
          <w:szCs w:val="24"/>
        </w:rPr>
        <w:t xml:space="preserve">Ministry of Justice (2025) </w:t>
      </w:r>
      <w:r w:rsidRPr="00577887">
        <w:rPr>
          <w:rFonts w:asciiTheme="minorHAnsi" w:hAnsiTheme="minorHAnsi"/>
          <w:i/>
          <w:iCs/>
          <w:sz w:val="24"/>
          <w:szCs w:val="24"/>
        </w:rPr>
        <w:t>Proven reoffending statistics quarterly bulletin, April to June 2023,.</w:t>
      </w:r>
      <w:r w:rsidRPr="00577887">
        <w:rPr>
          <w:rFonts w:asciiTheme="minorHAnsi" w:hAnsiTheme="minorHAnsi"/>
          <w:sz w:val="24"/>
          <w:szCs w:val="24"/>
        </w:rPr>
        <w:t xml:space="preserve"> </w:t>
      </w:r>
      <w:r w:rsidRPr="00577887">
        <w:rPr>
          <w:rFonts w:asciiTheme="minorHAnsi" w:hAnsiTheme="minorHAnsi"/>
          <w:i/>
          <w:iCs/>
          <w:sz w:val="24"/>
          <w:szCs w:val="24"/>
        </w:rPr>
        <w:t>Proven Reoffending Statistics Quarterly Bulletin, April to June 2023</w:t>
      </w:r>
      <w:r w:rsidRPr="00577887">
        <w:rPr>
          <w:rFonts w:asciiTheme="minorHAnsi" w:hAnsiTheme="minorHAnsi"/>
          <w:sz w:val="24"/>
          <w:szCs w:val="24"/>
        </w:rPr>
        <w:t>. Available at: https://assets.publishing.service.gov.uk/media/6807be61148a9969d2394e89/PRSQ_Bulletin_Apr_to_Jun_23.pdf (Accessed: 28 June 2025)</w:t>
      </w:r>
      <w:r w:rsidRPr="00577887">
        <w:rPr>
          <w:rFonts w:asciiTheme="minorHAnsi" w:hAnsiTheme="minorHAnsi"/>
          <w:b/>
          <w:bCs/>
          <w:sz w:val="24"/>
          <w:szCs w:val="24"/>
          <w:u w:val="single"/>
        </w:rPr>
        <w:t xml:space="preserve">. </w:t>
      </w:r>
    </w:p>
    <w:p w14:paraId="267F25F7" w14:textId="77777777" w:rsidR="00577887" w:rsidRPr="00577887" w:rsidRDefault="00577887" w:rsidP="00577887">
      <w:pPr>
        <w:rPr>
          <w:rFonts w:asciiTheme="minorHAnsi" w:hAnsiTheme="minorHAnsi"/>
          <w:b/>
          <w:bCs/>
          <w:sz w:val="24"/>
          <w:szCs w:val="24"/>
          <w:u w:val="single"/>
        </w:rPr>
      </w:pPr>
    </w:p>
    <w:p w14:paraId="76E04BF2" w14:textId="77777777" w:rsidR="00577887" w:rsidRPr="00577887" w:rsidRDefault="00577887" w:rsidP="00577887">
      <w:pPr>
        <w:rPr>
          <w:rFonts w:asciiTheme="minorHAnsi" w:hAnsiTheme="minorHAnsi"/>
          <w:sz w:val="24"/>
          <w:szCs w:val="24"/>
        </w:rPr>
      </w:pPr>
      <w:r w:rsidRPr="00577887">
        <w:rPr>
          <w:rFonts w:asciiTheme="minorHAnsi" w:hAnsiTheme="minorHAnsi"/>
          <w:sz w:val="24"/>
          <w:szCs w:val="24"/>
        </w:rPr>
        <w:t>Reil, J. </w:t>
      </w:r>
      <w:r w:rsidRPr="00577887">
        <w:rPr>
          <w:rFonts w:asciiTheme="minorHAnsi" w:hAnsiTheme="minorHAnsi"/>
          <w:i/>
          <w:iCs/>
          <w:sz w:val="24"/>
          <w:szCs w:val="24"/>
        </w:rPr>
        <w:t>et al.</w:t>
      </w:r>
      <w:r w:rsidRPr="00577887">
        <w:rPr>
          <w:rFonts w:asciiTheme="minorHAnsi" w:hAnsiTheme="minorHAnsi"/>
          <w:sz w:val="24"/>
          <w:szCs w:val="24"/>
        </w:rPr>
        <w:t> (2021) ‘Children who offend: Why are prevention and intervention efforts to reduce persistent criminality so seldom applied?’, </w:t>
      </w:r>
      <w:r w:rsidRPr="00577887">
        <w:rPr>
          <w:rFonts w:asciiTheme="minorHAnsi" w:hAnsiTheme="minorHAnsi"/>
          <w:i/>
          <w:iCs/>
          <w:sz w:val="24"/>
          <w:szCs w:val="24"/>
        </w:rPr>
        <w:t>Psychology, Public Policy, and Law</w:t>
      </w:r>
      <w:r w:rsidRPr="00577887">
        <w:rPr>
          <w:rFonts w:asciiTheme="minorHAnsi" w:hAnsiTheme="minorHAnsi"/>
          <w:sz w:val="24"/>
          <w:szCs w:val="24"/>
        </w:rPr>
        <w:t>, 27(1), pp. 65–78. doi:10.1037/law0000286</w:t>
      </w:r>
    </w:p>
    <w:p w14:paraId="15CE6D3D" w14:textId="77777777" w:rsidR="00577887" w:rsidRPr="00577887" w:rsidRDefault="00577887" w:rsidP="00577887">
      <w:pPr>
        <w:rPr>
          <w:rFonts w:asciiTheme="minorHAnsi" w:hAnsiTheme="minorHAnsi"/>
          <w:sz w:val="24"/>
          <w:szCs w:val="24"/>
        </w:rPr>
      </w:pPr>
    </w:p>
    <w:p w14:paraId="2B418D69" w14:textId="09551778" w:rsidR="00577887" w:rsidRPr="00577887" w:rsidRDefault="00577887" w:rsidP="00577887">
      <w:pPr>
        <w:rPr>
          <w:rFonts w:asciiTheme="minorHAnsi" w:hAnsiTheme="minorHAnsi"/>
          <w:sz w:val="24"/>
          <w:szCs w:val="24"/>
        </w:rPr>
      </w:pPr>
      <w:r w:rsidRPr="00577887">
        <w:rPr>
          <w:rFonts w:asciiTheme="minorHAnsi" w:hAnsiTheme="minorHAnsi"/>
          <w:sz w:val="24"/>
          <w:szCs w:val="24"/>
        </w:rPr>
        <w:t>Rhoden, M.-A., </w:t>
      </w:r>
      <w:r w:rsidR="000F730B" w:rsidRPr="00577887">
        <w:rPr>
          <w:rFonts w:asciiTheme="minorHAnsi" w:hAnsiTheme="minorHAnsi"/>
          <w:sz w:val="24"/>
          <w:szCs w:val="24"/>
        </w:rPr>
        <w:t>MacGowan</w:t>
      </w:r>
      <w:r w:rsidRPr="00577887">
        <w:rPr>
          <w:rFonts w:asciiTheme="minorHAnsi" w:hAnsiTheme="minorHAnsi"/>
          <w:sz w:val="24"/>
          <w:szCs w:val="24"/>
        </w:rPr>
        <w:t>, M. J., &amp; Huang, H. (2019). A systematic review of psychological trauma interventions for juvenile offenders. </w:t>
      </w:r>
      <w:r w:rsidRPr="00577887">
        <w:rPr>
          <w:rFonts w:asciiTheme="minorHAnsi" w:hAnsiTheme="minorHAnsi"/>
          <w:i/>
          <w:iCs/>
          <w:sz w:val="24"/>
          <w:szCs w:val="24"/>
        </w:rPr>
        <w:t>Research on Social Work Practice</w:t>
      </w:r>
      <w:r w:rsidRPr="00577887">
        <w:rPr>
          <w:rFonts w:asciiTheme="minorHAnsi" w:hAnsiTheme="minorHAnsi"/>
          <w:sz w:val="24"/>
          <w:szCs w:val="24"/>
        </w:rPr>
        <w:t>, 29(8), 892–909. </w:t>
      </w:r>
      <w:hyperlink r:id="rId11" w:history="1">
        <w:r w:rsidRPr="00577887">
          <w:rPr>
            <w:rStyle w:val="Hyperlink"/>
            <w:rFonts w:asciiTheme="minorHAnsi" w:hAnsiTheme="minorHAnsi"/>
            <w:sz w:val="24"/>
            <w:szCs w:val="24"/>
          </w:rPr>
          <w:t>https://doi.org/10.1177/1049731518806578</w:t>
        </w:r>
      </w:hyperlink>
    </w:p>
    <w:p w14:paraId="0CDABD3B" w14:textId="77777777" w:rsidR="00577887" w:rsidRPr="00577887" w:rsidRDefault="00577887" w:rsidP="00577887">
      <w:pPr>
        <w:rPr>
          <w:rFonts w:asciiTheme="minorHAnsi" w:hAnsiTheme="minorHAnsi"/>
          <w:sz w:val="24"/>
          <w:szCs w:val="24"/>
        </w:rPr>
      </w:pPr>
    </w:p>
    <w:p w14:paraId="3E9A29DF" w14:textId="22CBE221" w:rsidR="00577887" w:rsidRPr="00577887" w:rsidRDefault="00577887" w:rsidP="00577887">
      <w:pPr>
        <w:rPr>
          <w:rFonts w:asciiTheme="minorHAnsi" w:hAnsiTheme="minorHAnsi"/>
          <w:sz w:val="24"/>
          <w:szCs w:val="24"/>
        </w:rPr>
      </w:pPr>
      <w:r w:rsidRPr="00577887">
        <w:rPr>
          <w:rFonts w:asciiTheme="minorHAnsi" w:hAnsiTheme="minorHAnsi"/>
          <w:sz w:val="24"/>
          <w:szCs w:val="24"/>
        </w:rPr>
        <w:t xml:space="preserve">Theobald, D. and Farrington, D.P. (2014) ‘Onset of offending’, </w:t>
      </w:r>
      <w:r w:rsidR="000F730B" w:rsidRPr="00577887">
        <w:rPr>
          <w:rFonts w:asciiTheme="minorHAnsi" w:hAnsiTheme="minorHAnsi"/>
          <w:i/>
          <w:iCs/>
          <w:sz w:val="24"/>
          <w:szCs w:val="24"/>
        </w:rPr>
        <w:t>Encyclopaedia</w:t>
      </w:r>
      <w:r w:rsidRPr="00577887">
        <w:rPr>
          <w:rFonts w:asciiTheme="minorHAnsi" w:hAnsiTheme="minorHAnsi"/>
          <w:i/>
          <w:iCs/>
          <w:sz w:val="24"/>
          <w:szCs w:val="24"/>
        </w:rPr>
        <w:t xml:space="preserve"> of Criminology and Criminal Justice</w:t>
      </w:r>
      <w:r w:rsidRPr="00577887">
        <w:rPr>
          <w:rFonts w:asciiTheme="minorHAnsi" w:hAnsiTheme="minorHAnsi"/>
          <w:sz w:val="24"/>
          <w:szCs w:val="24"/>
        </w:rPr>
        <w:t xml:space="preserve">, pp. 3332–3342. doi:10.1007/978-1-4614-5690-2_86. </w:t>
      </w:r>
    </w:p>
    <w:p w14:paraId="3B4514A6" w14:textId="77777777" w:rsidR="00577887" w:rsidRPr="00577887" w:rsidRDefault="00577887" w:rsidP="00577887">
      <w:pPr>
        <w:rPr>
          <w:rFonts w:asciiTheme="minorHAnsi" w:hAnsiTheme="minorHAnsi"/>
          <w:sz w:val="24"/>
          <w:szCs w:val="24"/>
        </w:rPr>
      </w:pPr>
    </w:p>
    <w:p w14:paraId="6435E677" w14:textId="77777777" w:rsidR="00577887" w:rsidRPr="00577887" w:rsidRDefault="00577887" w:rsidP="00577887">
      <w:pPr>
        <w:rPr>
          <w:rFonts w:asciiTheme="minorHAnsi" w:hAnsiTheme="minorHAnsi"/>
          <w:sz w:val="24"/>
          <w:szCs w:val="24"/>
        </w:rPr>
      </w:pPr>
      <w:r w:rsidRPr="00577887">
        <w:rPr>
          <w:rFonts w:asciiTheme="minorHAnsi" w:hAnsiTheme="minorHAnsi"/>
          <w:sz w:val="24"/>
          <w:szCs w:val="24"/>
        </w:rPr>
        <w:t xml:space="preserve">Waters, I. (2006) ‘The police, young offenders and intelligence-led policing’, </w:t>
      </w:r>
      <w:r w:rsidRPr="00577887">
        <w:rPr>
          <w:rFonts w:asciiTheme="minorHAnsi" w:hAnsiTheme="minorHAnsi"/>
          <w:i/>
          <w:iCs/>
          <w:sz w:val="24"/>
          <w:szCs w:val="24"/>
        </w:rPr>
        <w:t>The Police Journal: Theory, Practice and Principles</w:t>
      </w:r>
      <w:r w:rsidRPr="00577887">
        <w:rPr>
          <w:rFonts w:asciiTheme="minorHAnsi" w:hAnsiTheme="minorHAnsi"/>
          <w:sz w:val="24"/>
          <w:szCs w:val="24"/>
        </w:rPr>
        <w:t xml:space="preserve">, 79(4), pp. 305–322. doi:10.1350/pojo.2006.79.4.305. </w:t>
      </w:r>
    </w:p>
    <w:p w14:paraId="02D74BFC" w14:textId="77777777" w:rsidR="00577887" w:rsidRPr="00577887" w:rsidRDefault="00577887" w:rsidP="00577887">
      <w:pPr>
        <w:rPr>
          <w:rFonts w:asciiTheme="minorHAnsi" w:hAnsiTheme="minorHAnsi"/>
          <w:sz w:val="24"/>
          <w:szCs w:val="24"/>
        </w:rPr>
      </w:pPr>
    </w:p>
    <w:p w14:paraId="188AB37A" w14:textId="528336FF" w:rsidR="00577887" w:rsidRPr="00577887" w:rsidRDefault="00577887" w:rsidP="00577887">
      <w:pPr>
        <w:rPr>
          <w:rFonts w:asciiTheme="minorHAnsi" w:hAnsiTheme="minorHAnsi"/>
          <w:sz w:val="24"/>
          <w:szCs w:val="24"/>
        </w:rPr>
      </w:pPr>
      <w:r w:rsidRPr="00577887">
        <w:rPr>
          <w:rFonts w:asciiTheme="minorHAnsi" w:hAnsiTheme="minorHAnsi"/>
          <w:sz w:val="24"/>
          <w:szCs w:val="24"/>
        </w:rPr>
        <w:t xml:space="preserve">YJB (2005) </w:t>
      </w:r>
      <w:r w:rsidRPr="00577887">
        <w:rPr>
          <w:rFonts w:asciiTheme="minorHAnsi" w:hAnsiTheme="minorHAnsi"/>
          <w:i/>
          <w:iCs/>
          <w:sz w:val="24"/>
          <w:szCs w:val="24"/>
        </w:rPr>
        <w:t xml:space="preserve">ISSP: The final </w:t>
      </w:r>
      <w:r w:rsidR="000F730B" w:rsidRPr="00577887">
        <w:rPr>
          <w:rFonts w:asciiTheme="minorHAnsi" w:hAnsiTheme="minorHAnsi"/>
          <w:i/>
          <w:iCs/>
          <w:sz w:val="24"/>
          <w:szCs w:val="24"/>
        </w:rPr>
        <w:t>report,</w:t>
      </w:r>
      <w:r w:rsidRPr="00577887">
        <w:rPr>
          <w:rFonts w:asciiTheme="minorHAnsi" w:hAnsiTheme="minorHAnsi"/>
          <w:sz w:val="24"/>
          <w:szCs w:val="24"/>
        </w:rPr>
        <w:t xml:space="preserve"> </w:t>
      </w:r>
      <w:r w:rsidRPr="00577887">
        <w:rPr>
          <w:rFonts w:asciiTheme="minorHAnsi" w:hAnsiTheme="minorHAnsi"/>
          <w:i/>
          <w:iCs/>
          <w:sz w:val="24"/>
          <w:szCs w:val="24"/>
        </w:rPr>
        <w:t>ISSP</w:t>
      </w:r>
      <w:r w:rsidRPr="00577887">
        <w:rPr>
          <w:rFonts w:asciiTheme="minorHAnsi" w:hAnsiTheme="minorHAnsi"/>
          <w:sz w:val="24"/>
          <w:szCs w:val="24"/>
        </w:rPr>
        <w:t xml:space="preserve">. Available at: https://assets.publishing.service.gov.uk/media/5a7ed4f8ed915d74e33f2b25/yjb-ISSP-summary.pdf (Accessed: 28 June 2025). </w:t>
      </w:r>
    </w:p>
    <w:p w14:paraId="1C141A41" w14:textId="77777777" w:rsidR="00577887" w:rsidRPr="00577887" w:rsidRDefault="00577887" w:rsidP="00577887">
      <w:pPr>
        <w:rPr>
          <w:rFonts w:asciiTheme="minorHAnsi" w:hAnsiTheme="minorHAnsi"/>
          <w:sz w:val="24"/>
          <w:szCs w:val="24"/>
        </w:rPr>
      </w:pPr>
    </w:p>
    <w:p w14:paraId="4A3FEC4E" w14:textId="77777777" w:rsidR="00577887" w:rsidRPr="00577887" w:rsidRDefault="00577887" w:rsidP="00577887">
      <w:pPr>
        <w:rPr>
          <w:rFonts w:asciiTheme="minorHAnsi" w:hAnsiTheme="minorHAnsi"/>
          <w:sz w:val="24"/>
          <w:szCs w:val="24"/>
        </w:rPr>
      </w:pPr>
      <w:r w:rsidRPr="00577887">
        <w:rPr>
          <w:rFonts w:asciiTheme="minorHAnsi" w:hAnsiTheme="minorHAnsi"/>
          <w:sz w:val="24"/>
          <w:szCs w:val="24"/>
        </w:rPr>
        <w:t xml:space="preserve">Youth Justice Board (2025) </w:t>
      </w:r>
      <w:r w:rsidRPr="00577887">
        <w:rPr>
          <w:rFonts w:asciiTheme="minorHAnsi" w:hAnsiTheme="minorHAnsi"/>
          <w:i/>
          <w:iCs/>
          <w:sz w:val="24"/>
          <w:szCs w:val="24"/>
        </w:rPr>
        <w:t>Youth justice statistics: 2023 to 2024</w:t>
      </w:r>
      <w:r w:rsidRPr="00577887">
        <w:rPr>
          <w:rFonts w:asciiTheme="minorHAnsi" w:hAnsiTheme="minorHAnsi"/>
          <w:sz w:val="24"/>
          <w:szCs w:val="24"/>
        </w:rPr>
        <w:t xml:space="preserve">, </w:t>
      </w:r>
      <w:r w:rsidRPr="00577887">
        <w:rPr>
          <w:rFonts w:asciiTheme="minorHAnsi" w:hAnsiTheme="minorHAnsi"/>
          <w:i/>
          <w:iCs/>
          <w:sz w:val="24"/>
          <w:szCs w:val="24"/>
        </w:rPr>
        <w:t>GOV.UK</w:t>
      </w:r>
      <w:r w:rsidRPr="00577887">
        <w:rPr>
          <w:rFonts w:asciiTheme="minorHAnsi" w:hAnsiTheme="minorHAnsi"/>
          <w:sz w:val="24"/>
          <w:szCs w:val="24"/>
        </w:rPr>
        <w:t xml:space="preserve">. Available at: https://www.gov.uk/government/statistics/youth-justice-statistics-2023-to-2024 (Accessed: 28 June 2025). </w:t>
      </w:r>
    </w:p>
    <w:p w14:paraId="11594B20" w14:textId="77777777" w:rsidR="00577887" w:rsidRPr="00577887" w:rsidRDefault="00577887" w:rsidP="00577887">
      <w:pPr>
        <w:rPr>
          <w:rFonts w:asciiTheme="minorHAnsi" w:hAnsiTheme="minorHAnsi"/>
          <w:sz w:val="24"/>
          <w:szCs w:val="24"/>
        </w:rPr>
      </w:pPr>
    </w:p>
    <w:p w14:paraId="29A3B57C" w14:textId="6E37C900" w:rsidR="00577887" w:rsidRPr="00577887" w:rsidRDefault="00577887" w:rsidP="00577887">
      <w:pPr>
        <w:rPr>
          <w:rFonts w:asciiTheme="minorHAnsi" w:hAnsiTheme="minorHAnsi"/>
          <w:sz w:val="24"/>
          <w:szCs w:val="24"/>
        </w:rPr>
      </w:pPr>
      <w:r w:rsidRPr="00577887">
        <w:rPr>
          <w:rFonts w:asciiTheme="minorHAnsi" w:hAnsiTheme="minorHAnsi"/>
          <w:sz w:val="24"/>
          <w:szCs w:val="24"/>
        </w:rPr>
        <w:t xml:space="preserve">Youth Justice Board (2015) </w:t>
      </w:r>
      <w:r w:rsidRPr="00577887">
        <w:rPr>
          <w:rFonts w:asciiTheme="minorHAnsi" w:hAnsiTheme="minorHAnsi"/>
          <w:i/>
          <w:iCs/>
          <w:sz w:val="24"/>
          <w:szCs w:val="24"/>
        </w:rPr>
        <w:t xml:space="preserve">Youth offending teams: making the difference </w:t>
      </w:r>
      <w:r w:rsidR="000F730B" w:rsidRPr="00577887">
        <w:rPr>
          <w:rFonts w:asciiTheme="minorHAnsi" w:hAnsiTheme="minorHAnsi"/>
          <w:i/>
          <w:iCs/>
          <w:sz w:val="24"/>
          <w:szCs w:val="24"/>
        </w:rPr>
        <w:t>for children</w:t>
      </w:r>
      <w:r w:rsidRPr="00577887">
        <w:rPr>
          <w:rFonts w:asciiTheme="minorHAnsi" w:hAnsiTheme="minorHAnsi"/>
          <w:i/>
          <w:iCs/>
          <w:sz w:val="24"/>
          <w:szCs w:val="24"/>
        </w:rPr>
        <w:t xml:space="preserve"> and </w:t>
      </w:r>
      <w:r w:rsidR="000F730B" w:rsidRPr="00577887">
        <w:rPr>
          <w:rFonts w:asciiTheme="minorHAnsi" w:hAnsiTheme="minorHAnsi"/>
          <w:i/>
          <w:iCs/>
          <w:sz w:val="24"/>
          <w:szCs w:val="24"/>
        </w:rPr>
        <w:t>young people</w:t>
      </w:r>
      <w:r w:rsidRPr="00577887">
        <w:rPr>
          <w:rFonts w:asciiTheme="minorHAnsi" w:hAnsiTheme="minorHAnsi"/>
          <w:i/>
          <w:iCs/>
          <w:sz w:val="24"/>
          <w:szCs w:val="24"/>
        </w:rPr>
        <w:t xml:space="preserve">, victims </w:t>
      </w:r>
      <w:r w:rsidR="000F730B" w:rsidRPr="00577887">
        <w:rPr>
          <w:rFonts w:asciiTheme="minorHAnsi" w:hAnsiTheme="minorHAnsi"/>
          <w:i/>
          <w:iCs/>
          <w:sz w:val="24"/>
          <w:szCs w:val="24"/>
        </w:rPr>
        <w:t>and communities</w:t>
      </w:r>
      <w:r w:rsidRPr="00577887">
        <w:rPr>
          <w:rFonts w:asciiTheme="minorHAnsi" w:hAnsiTheme="minorHAnsi"/>
          <w:sz w:val="24"/>
          <w:szCs w:val="24"/>
        </w:rPr>
        <w:t xml:space="preserve">, </w:t>
      </w:r>
      <w:r w:rsidRPr="00577887">
        <w:rPr>
          <w:rFonts w:asciiTheme="minorHAnsi" w:hAnsiTheme="minorHAnsi"/>
          <w:i/>
          <w:iCs/>
          <w:sz w:val="24"/>
          <w:szCs w:val="24"/>
        </w:rPr>
        <w:t xml:space="preserve">Youth offending teams:  making the difference </w:t>
      </w:r>
      <w:r w:rsidR="000F730B" w:rsidRPr="00577887">
        <w:rPr>
          <w:rFonts w:asciiTheme="minorHAnsi" w:hAnsiTheme="minorHAnsi"/>
          <w:i/>
          <w:iCs/>
          <w:sz w:val="24"/>
          <w:szCs w:val="24"/>
        </w:rPr>
        <w:t>for children</w:t>
      </w:r>
      <w:r w:rsidRPr="00577887">
        <w:rPr>
          <w:rFonts w:asciiTheme="minorHAnsi" w:hAnsiTheme="minorHAnsi"/>
          <w:i/>
          <w:iCs/>
          <w:sz w:val="24"/>
          <w:szCs w:val="24"/>
        </w:rPr>
        <w:t xml:space="preserve"> and </w:t>
      </w:r>
      <w:r w:rsidR="000F730B" w:rsidRPr="00577887">
        <w:rPr>
          <w:rFonts w:asciiTheme="minorHAnsi" w:hAnsiTheme="minorHAnsi"/>
          <w:i/>
          <w:iCs/>
          <w:sz w:val="24"/>
          <w:szCs w:val="24"/>
        </w:rPr>
        <w:t>young people</w:t>
      </w:r>
      <w:r w:rsidRPr="00577887">
        <w:rPr>
          <w:rFonts w:asciiTheme="minorHAnsi" w:hAnsiTheme="minorHAnsi"/>
          <w:i/>
          <w:iCs/>
          <w:sz w:val="24"/>
          <w:szCs w:val="24"/>
        </w:rPr>
        <w:t xml:space="preserve">, victims </w:t>
      </w:r>
      <w:r w:rsidR="000F730B" w:rsidRPr="00577887">
        <w:rPr>
          <w:rFonts w:asciiTheme="minorHAnsi" w:hAnsiTheme="minorHAnsi"/>
          <w:i/>
          <w:iCs/>
          <w:sz w:val="24"/>
          <w:szCs w:val="24"/>
        </w:rPr>
        <w:t>and communities</w:t>
      </w:r>
      <w:r w:rsidRPr="00577887">
        <w:rPr>
          <w:rFonts w:asciiTheme="minorHAnsi" w:hAnsiTheme="minorHAnsi"/>
          <w:sz w:val="24"/>
          <w:szCs w:val="24"/>
        </w:rPr>
        <w:t xml:space="preserve">. Available at: https://assets.publishing.service.gov.uk/media/5a7f8dcbed915d74e33f725e/Board_Visits_Final_Report.pdf (Accessed: 27 June 2025). </w:t>
      </w:r>
    </w:p>
    <w:p w14:paraId="5145E4BE" w14:textId="77777777" w:rsidR="00577887" w:rsidRDefault="00577887">
      <w:pPr>
        <w:rPr>
          <w:rFonts w:asciiTheme="minorHAnsi" w:hAnsiTheme="minorHAnsi"/>
        </w:rPr>
      </w:pPr>
    </w:p>
    <w:p w14:paraId="74A0A72D" w14:textId="77777777" w:rsidR="004E4F93" w:rsidRDefault="004E4F93">
      <w:pPr>
        <w:rPr>
          <w:rFonts w:asciiTheme="minorHAnsi" w:hAnsiTheme="minorHAnsi"/>
        </w:rPr>
      </w:pPr>
    </w:p>
    <w:p w14:paraId="22D0FBED" w14:textId="77777777" w:rsidR="004E4F93" w:rsidRDefault="004E4F93">
      <w:pPr>
        <w:rPr>
          <w:rFonts w:asciiTheme="minorHAnsi" w:hAnsiTheme="minorHAnsi"/>
        </w:rPr>
      </w:pPr>
    </w:p>
    <w:p w14:paraId="0865C4E1" w14:textId="1FAB5B83" w:rsidR="004E4F93" w:rsidRPr="00B20E49" w:rsidRDefault="004E4F93">
      <w:pPr>
        <w:rPr>
          <w:rFonts w:asciiTheme="minorHAnsi" w:hAnsiTheme="minorHAnsi"/>
        </w:rPr>
      </w:pPr>
    </w:p>
    <w:sectPr w:rsidR="004E4F93" w:rsidRPr="00B20E4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0E49"/>
    <w:rsid w:val="00073022"/>
    <w:rsid w:val="000F4DEF"/>
    <w:rsid w:val="000F730B"/>
    <w:rsid w:val="00270D15"/>
    <w:rsid w:val="00271037"/>
    <w:rsid w:val="002A482D"/>
    <w:rsid w:val="002C254A"/>
    <w:rsid w:val="002D6581"/>
    <w:rsid w:val="002E4FDA"/>
    <w:rsid w:val="003E59E3"/>
    <w:rsid w:val="00437738"/>
    <w:rsid w:val="00463A04"/>
    <w:rsid w:val="004E4F93"/>
    <w:rsid w:val="00521A0D"/>
    <w:rsid w:val="00577887"/>
    <w:rsid w:val="005F1AFE"/>
    <w:rsid w:val="005F6292"/>
    <w:rsid w:val="008179C9"/>
    <w:rsid w:val="008723A1"/>
    <w:rsid w:val="008E4369"/>
    <w:rsid w:val="00A05297"/>
    <w:rsid w:val="00A96919"/>
    <w:rsid w:val="00AC20B7"/>
    <w:rsid w:val="00B20E49"/>
    <w:rsid w:val="00D04AC3"/>
    <w:rsid w:val="00E26F2C"/>
    <w:rsid w:val="00E90102"/>
    <w:rsid w:val="00ED63E0"/>
    <w:rsid w:val="00EE76DB"/>
    <w:rsid w:val="00F943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5D8490"/>
  <w15:chartTrackingRefBased/>
  <w15:docId w15:val="{C779F584-4DAB-4286-ABAB-A17F8F4E17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20E49"/>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B20E49"/>
    <w:pPr>
      <w:keepNext/>
      <w:keepLines/>
      <w:spacing w:before="360" w:after="80" w:line="259"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B20E49"/>
    <w:pPr>
      <w:keepNext/>
      <w:keepLines/>
      <w:spacing w:before="160" w:after="80" w:line="259"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B20E49"/>
    <w:pPr>
      <w:keepNext/>
      <w:keepLines/>
      <w:spacing w:before="160" w:after="80" w:line="259" w:lineRule="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B20E49"/>
    <w:pPr>
      <w:keepNext/>
      <w:keepLines/>
      <w:spacing w:before="80" w:after="40" w:line="259" w:lineRule="auto"/>
      <w:outlineLvl w:val="3"/>
    </w:pPr>
    <w:rPr>
      <w:rFonts w:asciiTheme="minorHAnsi" w:eastAsiaTheme="majorEastAsia" w:hAnsiTheme="minorHAnsi" w:cstheme="majorBidi"/>
      <w:i/>
      <w:iCs/>
      <w:color w:val="0F4761" w:themeColor="accent1" w:themeShade="BF"/>
      <w:kern w:val="2"/>
      <w:sz w:val="22"/>
      <w:szCs w:val="22"/>
      <w:lang w:eastAsia="en-US"/>
      <w14:ligatures w14:val="standardContextual"/>
    </w:rPr>
  </w:style>
  <w:style w:type="paragraph" w:styleId="Heading5">
    <w:name w:val="heading 5"/>
    <w:basedOn w:val="Normal"/>
    <w:next w:val="Normal"/>
    <w:link w:val="Heading5Char"/>
    <w:uiPriority w:val="9"/>
    <w:semiHidden/>
    <w:unhideWhenUsed/>
    <w:qFormat/>
    <w:rsid w:val="00B20E49"/>
    <w:pPr>
      <w:keepNext/>
      <w:keepLines/>
      <w:spacing w:before="80" w:after="40" w:line="259" w:lineRule="auto"/>
      <w:outlineLvl w:val="4"/>
    </w:pPr>
    <w:rPr>
      <w:rFonts w:asciiTheme="minorHAnsi" w:eastAsiaTheme="majorEastAsia" w:hAnsiTheme="minorHAnsi" w:cstheme="majorBidi"/>
      <w:color w:val="0F4761" w:themeColor="accent1" w:themeShade="BF"/>
      <w:kern w:val="2"/>
      <w:sz w:val="22"/>
      <w:szCs w:val="22"/>
      <w:lang w:eastAsia="en-US"/>
      <w14:ligatures w14:val="standardContextual"/>
    </w:rPr>
  </w:style>
  <w:style w:type="paragraph" w:styleId="Heading6">
    <w:name w:val="heading 6"/>
    <w:basedOn w:val="Normal"/>
    <w:next w:val="Normal"/>
    <w:link w:val="Heading6Char"/>
    <w:uiPriority w:val="9"/>
    <w:semiHidden/>
    <w:unhideWhenUsed/>
    <w:qFormat/>
    <w:rsid w:val="00B20E49"/>
    <w:pPr>
      <w:keepNext/>
      <w:keepLines/>
      <w:spacing w:before="40" w:line="259" w:lineRule="auto"/>
      <w:outlineLvl w:val="5"/>
    </w:pPr>
    <w:rPr>
      <w:rFonts w:asciiTheme="minorHAnsi" w:eastAsiaTheme="majorEastAsia" w:hAnsiTheme="minorHAnsi" w:cstheme="majorBidi"/>
      <w:i/>
      <w:iCs/>
      <w:color w:val="595959" w:themeColor="text1" w:themeTint="A6"/>
      <w:kern w:val="2"/>
      <w:sz w:val="22"/>
      <w:szCs w:val="22"/>
      <w:lang w:eastAsia="en-US"/>
      <w14:ligatures w14:val="standardContextual"/>
    </w:rPr>
  </w:style>
  <w:style w:type="paragraph" w:styleId="Heading7">
    <w:name w:val="heading 7"/>
    <w:basedOn w:val="Normal"/>
    <w:next w:val="Normal"/>
    <w:link w:val="Heading7Char"/>
    <w:uiPriority w:val="9"/>
    <w:semiHidden/>
    <w:unhideWhenUsed/>
    <w:qFormat/>
    <w:rsid w:val="00B20E49"/>
    <w:pPr>
      <w:keepNext/>
      <w:keepLines/>
      <w:spacing w:before="40" w:line="259" w:lineRule="auto"/>
      <w:outlineLvl w:val="6"/>
    </w:pPr>
    <w:rPr>
      <w:rFonts w:asciiTheme="minorHAnsi" w:eastAsiaTheme="majorEastAsia" w:hAnsiTheme="minorHAnsi" w:cstheme="majorBidi"/>
      <w:color w:val="595959" w:themeColor="text1" w:themeTint="A6"/>
      <w:kern w:val="2"/>
      <w:sz w:val="22"/>
      <w:szCs w:val="22"/>
      <w:lang w:eastAsia="en-US"/>
      <w14:ligatures w14:val="standardContextual"/>
    </w:rPr>
  </w:style>
  <w:style w:type="paragraph" w:styleId="Heading8">
    <w:name w:val="heading 8"/>
    <w:basedOn w:val="Normal"/>
    <w:next w:val="Normal"/>
    <w:link w:val="Heading8Char"/>
    <w:uiPriority w:val="9"/>
    <w:semiHidden/>
    <w:unhideWhenUsed/>
    <w:qFormat/>
    <w:rsid w:val="00B20E49"/>
    <w:pPr>
      <w:keepNext/>
      <w:keepLines/>
      <w:spacing w:line="259" w:lineRule="auto"/>
      <w:outlineLvl w:val="7"/>
    </w:pPr>
    <w:rPr>
      <w:rFonts w:asciiTheme="minorHAnsi" w:eastAsiaTheme="majorEastAsia" w:hAnsiTheme="minorHAnsi" w:cstheme="majorBidi"/>
      <w:i/>
      <w:iCs/>
      <w:color w:val="272727" w:themeColor="text1" w:themeTint="D8"/>
      <w:kern w:val="2"/>
      <w:sz w:val="22"/>
      <w:szCs w:val="22"/>
      <w:lang w:eastAsia="en-US"/>
      <w14:ligatures w14:val="standardContextual"/>
    </w:rPr>
  </w:style>
  <w:style w:type="paragraph" w:styleId="Heading9">
    <w:name w:val="heading 9"/>
    <w:basedOn w:val="Normal"/>
    <w:next w:val="Normal"/>
    <w:link w:val="Heading9Char"/>
    <w:uiPriority w:val="9"/>
    <w:semiHidden/>
    <w:unhideWhenUsed/>
    <w:qFormat/>
    <w:rsid w:val="00B20E49"/>
    <w:pPr>
      <w:keepNext/>
      <w:keepLines/>
      <w:spacing w:line="259" w:lineRule="auto"/>
      <w:outlineLvl w:val="8"/>
    </w:pPr>
    <w:rPr>
      <w:rFonts w:asciiTheme="minorHAnsi" w:eastAsiaTheme="majorEastAsia" w:hAnsiTheme="minorHAnsi" w:cstheme="majorBidi"/>
      <w:color w:val="272727" w:themeColor="text1" w:themeTint="D8"/>
      <w:kern w:val="2"/>
      <w:sz w:val="22"/>
      <w:szCs w:val="22"/>
      <w:lang w:eastAsia="en-US"/>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0E4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20E4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20E4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20E4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20E4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20E4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20E4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20E4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20E49"/>
    <w:rPr>
      <w:rFonts w:eastAsiaTheme="majorEastAsia" w:cstheme="majorBidi"/>
      <w:color w:val="272727" w:themeColor="text1" w:themeTint="D8"/>
    </w:rPr>
  </w:style>
  <w:style w:type="paragraph" w:styleId="Title">
    <w:name w:val="Title"/>
    <w:basedOn w:val="Normal"/>
    <w:next w:val="Normal"/>
    <w:link w:val="TitleChar"/>
    <w:uiPriority w:val="10"/>
    <w:qFormat/>
    <w:rsid w:val="00B20E49"/>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B20E4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20E49"/>
    <w:pPr>
      <w:numPr>
        <w:ilvl w:val="1"/>
      </w:numPr>
      <w:spacing w:after="160" w:line="259"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B20E4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20E49"/>
    <w:pPr>
      <w:spacing w:before="160" w:after="160" w:line="259" w:lineRule="auto"/>
      <w:jc w:val="center"/>
    </w:pPr>
    <w:rPr>
      <w:rFonts w:asciiTheme="minorHAnsi" w:eastAsiaTheme="minorHAnsi" w:hAnsiTheme="minorHAnsi" w:cstheme="minorBidi"/>
      <w:i/>
      <w:iCs/>
      <w:color w:val="404040" w:themeColor="text1" w:themeTint="BF"/>
      <w:kern w:val="2"/>
      <w:sz w:val="22"/>
      <w:szCs w:val="22"/>
      <w:lang w:eastAsia="en-US"/>
      <w14:ligatures w14:val="standardContextual"/>
    </w:rPr>
  </w:style>
  <w:style w:type="character" w:customStyle="1" w:styleId="QuoteChar">
    <w:name w:val="Quote Char"/>
    <w:basedOn w:val="DefaultParagraphFont"/>
    <w:link w:val="Quote"/>
    <w:uiPriority w:val="29"/>
    <w:rsid w:val="00B20E49"/>
    <w:rPr>
      <w:i/>
      <w:iCs/>
      <w:color w:val="404040" w:themeColor="text1" w:themeTint="BF"/>
    </w:rPr>
  </w:style>
  <w:style w:type="paragraph" w:styleId="ListParagraph">
    <w:name w:val="List Paragraph"/>
    <w:basedOn w:val="Normal"/>
    <w:uiPriority w:val="34"/>
    <w:qFormat/>
    <w:rsid w:val="00B20E49"/>
    <w:pPr>
      <w:spacing w:after="160" w:line="259" w:lineRule="auto"/>
      <w:ind w:left="720"/>
      <w:contextualSpacing/>
    </w:pPr>
    <w:rPr>
      <w:rFonts w:asciiTheme="minorHAnsi" w:eastAsiaTheme="minorHAnsi" w:hAnsiTheme="minorHAnsi" w:cstheme="minorBidi"/>
      <w:kern w:val="2"/>
      <w:sz w:val="22"/>
      <w:szCs w:val="22"/>
      <w:lang w:eastAsia="en-US"/>
      <w14:ligatures w14:val="standardContextual"/>
    </w:rPr>
  </w:style>
  <w:style w:type="character" w:styleId="IntenseEmphasis">
    <w:name w:val="Intense Emphasis"/>
    <w:basedOn w:val="DefaultParagraphFont"/>
    <w:uiPriority w:val="21"/>
    <w:qFormat/>
    <w:rsid w:val="00B20E49"/>
    <w:rPr>
      <w:i/>
      <w:iCs/>
      <w:color w:val="0F4761" w:themeColor="accent1" w:themeShade="BF"/>
    </w:rPr>
  </w:style>
  <w:style w:type="paragraph" w:styleId="IntenseQuote">
    <w:name w:val="Intense Quote"/>
    <w:basedOn w:val="Normal"/>
    <w:next w:val="Normal"/>
    <w:link w:val="IntenseQuoteChar"/>
    <w:uiPriority w:val="30"/>
    <w:qFormat/>
    <w:rsid w:val="00B20E49"/>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asciiTheme="minorHAnsi" w:eastAsiaTheme="minorHAnsi" w:hAnsiTheme="minorHAnsi" w:cstheme="minorBidi"/>
      <w:i/>
      <w:iCs/>
      <w:color w:val="0F4761" w:themeColor="accent1" w:themeShade="BF"/>
      <w:kern w:val="2"/>
      <w:sz w:val="22"/>
      <w:szCs w:val="22"/>
      <w:lang w:eastAsia="en-US"/>
      <w14:ligatures w14:val="standardContextual"/>
    </w:rPr>
  </w:style>
  <w:style w:type="character" w:customStyle="1" w:styleId="IntenseQuoteChar">
    <w:name w:val="Intense Quote Char"/>
    <w:basedOn w:val="DefaultParagraphFont"/>
    <w:link w:val="IntenseQuote"/>
    <w:uiPriority w:val="30"/>
    <w:rsid w:val="00B20E49"/>
    <w:rPr>
      <w:i/>
      <w:iCs/>
      <w:color w:val="0F4761" w:themeColor="accent1" w:themeShade="BF"/>
    </w:rPr>
  </w:style>
  <w:style w:type="character" w:styleId="IntenseReference">
    <w:name w:val="Intense Reference"/>
    <w:basedOn w:val="DefaultParagraphFont"/>
    <w:uiPriority w:val="32"/>
    <w:qFormat/>
    <w:rsid w:val="00B20E49"/>
    <w:rPr>
      <w:b/>
      <w:bCs/>
      <w:smallCaps/>
      <w:color w:val="0F4761" w:themeColor="accent1" w:themeShade="BF"/>
      <w:spacing w:val="5"/>
    </w:rPr>
  </w:style>
  <w:style w:type="character" w:styleId="Hyperlink">
    <w:name w:val="Hyperlink"/>
    <w:basedOn w:val="DefaultParagraphFont"/>
    <w:uiPriority w:val="99"/>
    <w:unhideWhenUsed/>
    <w:rsid w:val="00B20E49"/>
    <w:rPr>
      <w:color w:val="467886" w:themeColor="hyperlink"/>
      <w:u w:val="single"/>
    </w:rPr>
  </w:style>
  <w:style w:type="character" w:styleId="UnresolvedMention">
    <w:name w:val="Unresolved Mention"/>
    <w:basedOn w:val="DefaultParagraphFont"/>
    <w:uiPriority w:val="99"/>
    <w:semiHidden/>
    <w:unhideWhenUsed/>
    <w:rsid w:val="0057788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0672418">
      <w:bodyDiv w:val="1"/>
      <w:marLeft w:val="0"/>
      <w:marRight w:val="0"/>
      <w:marTop w:val="0"/>
      <w:marBottom w:val="0"/>
      <w:divBdr>
        <w:top w:val="none" w:sz="0" w:space="0" w:color="auto"/>
        <w:left w:val="none" w:sz="0" w:space="0" w:color="auto"/>
        <w:bottom w:val="none" w:sz="0" w:space="0" w:color="auto"/>
        <w:right w:val="none" w:sz="0" w:space="0" w:color="auto"/>
      </w:divBdr>
    </w:div>
    <w:div w:id="209462337">
      <w:bodyDiv w:val="1"/>
      <w:marLeft w:val="0"/>
      <w:marRight w:val="0"/>
      <w:marTop w:val="0"/>
      <w:marBottom w:val="0"/>
      <w:divBdr>
        <w:top w:val="none" w:sz="0" w:space="0" w:color="auto"/>
        <w:left w:val="none" w:sz="0" w:space="0" w:color="auto"/>
        <w:bottom w:val="none" w:sz="0" w:space="0" w:color="auto"/>
        <w:right w:val="none" w:sz="0" w:space="0" w:color="auto"/>
      </w:divBdr>
    </w:div>
    <w:div w:id="533812041">
      <w:bodyDiv w:val="1"/>
      <w:marLeft w:val="0"/>
      <w:marRight w:val="0"/>
      <w:marTop w:val="0"/>
      <w:marBottom w:val="0"/>
      <w:divBdr>
        <w:top w:val="none" w:sz="0" w:space="0" w:color="auto"/>
        <w:left w:val="none" w:sz="0" w:space="0" w:color="auto"/>
        <w:bottom w:val="none" w:sz="0" w:space="0" w:color="auto"/>
        <w:right w:val="none" w:sz="0" w:space="0" w:color="auto"/>
      </w:divBdr>
    </w:div>
    <w:div w:id="15136907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15614263.2020.1772782"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journals-sagepub-com.ezproxy.uwtsd.ac.uk/doi/full/10.1177/1461355720907620"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ezproxy.uwtsd.ac.uk/10.1300/J012v16n04_05" TargetMode="External"/><Relationship Id="rId11" Type="http://schemas.openxmlformats.org/officeDocument/2006/relationships/hyperlink" Target="https://doi.org/10.1177/1049731518806578" TargetMode="External"/><Relationship Id="rId5" Type="http://schemas.openxmlformats.org/officeDocument/2006/relationships/hyperlink" Target="https://doi-org.ezproxy.uwtsd.ac.uk/10.1080/07418829900094151" TargetMode="External"/><Relationship Id="rId10" Type="http://schemas.openxmlformats.org/officeDocument/2006/relationships/hyperlink" Target="https://doi.org/10.1016/j.childyouth.2014.02.007" TargetMode="External"/><Relationship Id="rId4" Type="http://schemas.openxmlformats.org/officeDocument/2006/relationships/hyperlink" Target="https://fra.europa.eu/en/publication/2021/fundamental-rights-survey-police-stops" TargetMode="External"/><Relationship Id="rId9" Type="http://schemas.openxmlformats.org/officeDocument/2006/relationships/hyperlink" Target="https://doiorg.ezproxy.uwtsd.ac.uk/10.1177/0032258X21107300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TotalTime>
  <Pages>15</Pages>
  <Words>5610</Words>
  <Characters>31978</Characters>
  <Application>Microsoft Office Word</Application>
  <DocSecurity>0</DocSecurity>
  <Lines>266</Lines>
  <Paragraphs>75</Paragraphs>
  <ScaleCrop>false</ScaleCrop>
  <Company>South Wales Police</Company>
  <LinksUpToDate>false</LinksUpToDate>
  <CharactersWithSpaces>37513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Ryan,Laura swp8790</dc:creator>
  <cp:keywords/>
  <dc:description/>
  <cp:lastModifiedBy>Ryan,Laura swp8790</cp:lastModifiedBy>
  <cp:revision>22</cp:revision>
  <dcterms:created xsi:type="dcterms:W3CDTF">2025-07-02T19:12:00Z</dcterms:created>
  <dcterms:modified xsi:type="dcterms:W3CDTF">2025-07-07T11:08:00Z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2025-07-02T19:14:02Z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e96f9330-2063-4488-b23a-c1f4d4fdd2f3</vt:lpwstr>
  </property>
  <property fmtid="{D5CDD505-2E9C-101B-9397-08002B2CF9AE}" pid="8" name="MSIP_Label_66cf8fe5-b7b7-4df7-b38d-1c61ac2f6639_ContentBits">
    <vt:lpwstr>0</vt:lpwstr>
  </property>
  <property fmtid="{D5CDD505-2E9C-101B-9397-08002B2CF9AE}" pid="9" name="MSIP_Label_66cf8fe5-b7b7-4df7-b38d-1c61ac2f6639_Tag">
    <vt:lpwstr>10, 3, 0, 1</vt:lpwstr>
  </property>
</Properties>
</file>