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3DFE7" w14:textId="09F71293" w:rsidR="005660F0" w:rsidRPr="008F35CB" w:rsidRDefault="005660F0" w:rsidP="008F35CB">
      <w:pPr>
        <w:pStyle w:val="NoSpacing"/>
      </w:pPr>
      <w:r w:rsidRPr="008F35CB">
        <w:t xml:space="preserve">                                             Student number: 2234498</w:t>
      </w:r>
    </w:p>
    <w:p w14:paraId="71814FBF" w14:textId="3B47E044" w:rsidR="005660F0" w:rsidRPr="008F35CB" w:rsidRDefault="005660F0" w:rsidP="008F35CB">
      <w:pPr>
        <w:pStyle w:val="NoSpacing"/>
      </w:pPr>
      <w:r w:rsidRPr="008F35CB">
        <w:t xml:space="preserve">                                           Module: Criminal Litigation</w:t>
      </w:r>
    </w:p>
    <w:p w14:paraId="08DD4063" w14:textId="6F17991D" w:rsidR="005660F0" w:rsidRPr="008F35CB" w:rsidRDefault="005660F0" w:rsidP="008F35CB">
      <w:pPr>
        <w:pStyle w:val="NoSpacing"/>
        <w:rPr>
          <w:rFonts w:eastAsia="Arial"/>
        </w:rPr>
      </w:pPr>
      <w:r w:rsidRPr="008F35CB">
        <w:t xml:space="preserve">                                             Module Code: </w:t>
      </w:r>
      <w:r w:rsidRPr="008F35CB">
        <w:rPr>
          <w:rFonts w:eastAsia="Arial"/>
        </w:rPr>
        <w:t>BMLW4000</w:t>
      </w:r>
    </w:p>
    <w:p w14:paraId="4FE85EA5" w14:textId="77777777" w:rsidR="005660F0" w:rsidRPr="008F35CB" w:rsidRDefault="005660F0" w:rsidP="008F35CB">
      <w:pPr>
        <w:pStyle w:val="NoSpacing"/>
        <w:rPr>
          <w:rFonts w:eastAsia="Arial"/>
        </w:rPr>
      </w:pPr>
    </w:p>
    <w:p w14:paraId="7A526A1E" w14:textId="77777777" w:rsidR="005660F0" w:rsidRPr="008F35CB" w:rsidRDefault="005660F0" w:rsidP="008F35CB">
      <w:pPr>
        <w:pStyle w:val="NoSpacing"/>
        <w:rPr>
          <w:rFonts w:eastAsia="Arial"/>
        </w:rPr>
      </w:pPr>
    </w:p>
    <w:p w14:paraId="1CC26B59" w14:textId="49688037" w:rsidR="005660F0" w:rsidRPr="008F35CB" w:rsidRDefault="005660F0" w:rsidP="008F35CB">
      <w:pPr>
        <w:pStyle w:val="NoSpacing"/>
      </w:pPr>
      <w:r w:rsidRPr="008F35CB">
        <w:t xml:space="preserve">In the proper functioning of the criminal justice system, an </w:t>
      </w:r>
      <w:r w:rsidR="00571472" w:rsidRPr="008F35CB">
        <w:t>essential</w:t>
      </w:r>
      <w:r w:rsidRPr="008F35CB">
        <w:t xml:space="preserve"> and key role is played by the Crown Prosecutor. The responsibility of starting and conducting criminal prosecutions is held by Crown Prosecutors who are the legal representatives of the state. Some rigorous assessments based on two primary tests are involved in the process of decision-making of Crown Prosecutors. The first test is known as the public interest test and the second one is the evidential test. This report is based on the </w:t>
      </w:r>
      <w:r w:rsidR="00571472" w:rsidRPr="008F35CB">
        <w:t>significant</w:t>
      </w:r>
      <w:r w:rsidRPr="008F35CB">
        <w:t xml:space="preserve"> objective of explaining the role of a Crown Prosecutor and looking at how to apply it to charge decision tests. </w:t>
      </w:r>
      <w:r w:rsidRPr="008F35CB">
        <w:rPr>
          <w:color w:val="222222"/>
          <w:shd w:val="clear" w:color="auto" w:fill="FFFFFF"/>
        </w:rPr>
        <w:t>(</w:t>
      </w:r>
      <w:proofErr w:type="spellStart"/>
      <w:r w:rsidRPr="008F35CB">
        <w:rPr>
          <w:color w:val="222222"/>
          <w:shd w:val="clear" w:color="auto" w:fill="FFFFFF"/>
        </w:rPr>
        <w:t>Seepma</w:t>
      </w:r>
      <w:proofErr w:type="spellEnd"/>
      <w:r w:rsidRPr="008F35CB">
        <w:rPr>
          <w:color w:val="222222"/>
          <w:shd w:val="clear" w:color="auto" w:fill="FFFFFF"/>
        </w:rPr>
        <w:t xml:space="preserve">, de Blok and Van </w:t>
      </w:r>
      <w:proofErr w:type="spellStart"/>
      <w:r w:rsidRPr="008F35CB">
        <w:rPr>
          <w:color w:val="222222"/>
          <w:shd w:val="clear" w:color="auto" w:fill="FFFFFF"/>
        </w:rPr>
        <w:t>Donk</w:t>
      </w:r>
      <w:proofErr w:type="spellEnd"/>
      <w:r w:rsidRPr="008F35CB">
        <w:rPr>
          <w:color w:val="222222"/>
          <w:shd w:val="clear" w:color="auto" w:fill="FFFFFF"/>
        </w:rPr>
        <w:t>, 2021)</w:t>
      </w:r>
      <w:r w:rsidRPr="008F35CB">
        <w:t xml:space="preserve">. </w:t>
      </w:r>
    </w:p>
    <w:p w14:paraId="7E9F7DD5" w14:textId="77777777" w:rsidR="005660F0" w:rsidRPr="008F35CB" w:rsidRDefault="005660F0" w:rsidP="008F35CB">
      <w:pPr>
        <w:pStyle w:val="NoSpacing"/>
      </w:pPr>
    </w:p>
    <w:p w14:paraId="43A88BE6" w14:textId="1C8DAC7B" w:rsidR="005660F0" w:rsidRPr="008F35CB" w:rsidRDefault="005660F0" w:rsidP="008F35CB">
      <w:pPr>
        <w:pStyle w:val="NoSpacing"/>
      </w:pPr>
      <w:r w:rsidRPr="008F35CB">
        <w:t xml:space="preserve">An attorney is called a Crown Prosecutor who has the responsibility of acting on behalf of the state and Crown in all criminal cases. Some significant responsibilities are included and associated with their roles. </w:t>
      </w:r>
      <w:r w:rsidR="00AD0439" w:rsidRPr="008F35CB">
        <w:t xml:space="preserve">Some of the </w:t>
      </w:r>
      <w:r w:rsidRPr="008F35CB">
        <w:t>key aspects of their roles</w:t>
      </w:r>
      <w:r w:rsidR="00AD0439" w:rsidRPr="008F35CB">
        <w:t xml:space="preserve"> are criminal prosecution, legal advocacy, upholding </w:t>
      </w:r>
      <w:r w:rsidR="00571472" w:rsidRPr="008F35CB">
        <w:t>justice,</w:t>
      </w:r>
      <w:r w:rsidR="00AD0439" w:rsidRPr="008F35CB">
        <w:t xml:space="preserve"> and public interest.</w:t>
      </w:r>
      <w:r w:rsidRPr="008F35CB">
        <w:t xml:space="preserve"> </w:t>
      </w:r>
      <w:r w:rsidRPr="008F35CB">
        <w:rPr>
          <w:color w:val="222222"/>
          <w:shd w:val="clear" w:color="auto" w:fill="FFFFFF"/>
        </w:rPr>
        <w:t>(</w:t>
      </w:r>
      <w:proofErr w:type="spellStart"/>
      <w:r w:rsidRPr="008F35CB">
        <w:rPr>
          <w:color w:val="222222"/>
          <w:shd w:val="clear" w:color="auto" w:fill="FFFFFF"/>
        </w:rPr>
        <w:t>Baćak</w:t>
      </w:r>
      <w:proofErr w:type="spellEnd"/>
      <w:r w:rsidRPr="008F35CB">
        <w:rPr>
          <w:color w:val="222222"/>
          <w:shd w:val="clear" w:color="auto" w:fill="FFFFFF"/>
        </w:rPr>
        <w:t xml:space="preserve">, </w:t>
      </w:r>
      <w:proofErr w:type="spellStart"/>
      <w:r w:rsidRPr="008F35CB">
        <w:rPr>
          <w:color w:val="222222"/>
          <w:shd w:val="clear" w:color="auto" w:fill="FFFFFF"/>
        </w:rPr>
        <w:t>Lageson</w:t>
      </w:r>
      <w:proofErr w:type="spellEnd"/>
      <w:r w:rsidRPr="008F35CB">
        <w:rPr>
          <w:color w:val="222222"/>
          <w:shd w:val="clear" w:color="auto" w:fill="FFFFFF"/>
        </w:rPr>
        <w:t xml:space="preserve"> and Powell, 2020)</w:t>
      </w:r>
      <w:r w:rsidRPr="008F35CB">
        <w:t>.</w:t>
      </w:r>
    </w:p>
    <w:p w14:paraId="47019C08" w14:textId="77777777" w:rsidR="00571472" w:rsidRPr="008F35CB" w:rsidRDefault="005660F0" w:rsidP="008F35CB">
      <w:pPr>
        <w:pStyle w:val="NoSpacing"/>
      </w:pPr>
      <w:r w:rsidRPr="008F35CB">
        <w:t>Prosecution of accused individuals is a primary role because they are the people who have been involved in some kinds of criminal offences. All prosecution actions are taken by Crown Prosecutor on behalf of the Crown or the state</w:t>
      </w:r>
      <w:r w:rsidR="00571472" w:rsidRPr="008F35CB">
        <w:t>. Some examples of their key responsibilities are listed in the following paragraph.</w:t>
      </w:r>
      <w:r w:rsidRPr="008F35CB">
        <w:t xml:space="preserve"> </w:t>
      </w:r>
      <w:r w:rsidRPr="008F35CB">
        <w:rPr>
          <w:color w:val="222222"/>
          <w:shd w:val="clear" w:color="auto" w:fill="FFFFFF"/>
        </w:rPr>
        <w:t xml:space="preserve">(Schmidt, Rap and </w:t>
      </w:r>
      <w:proofErr w:type="spellStart"/>
      <w:r w:rsidRPr="008F35CB">
        <w:rPr>
          <w:color w:val="222222"/>
          <w:shd w:val="clear" w:color="auto" w:fill="FFFFFF"/>
        </w:rPr>
        <w:t>Liefaard</w:t>
      </w:r>
      <w:proofErr w:type="spellEnd"/>
      <w:r w:rsidRPr="008F35CB">
        <w:rPr>
          <w:color w:val="222222"/>
          <w:shd w:val="clear" w:color="auto" w:fill="FFFFFF"/>
        </w:rPr>
        <w:t>, 2021)</w:t>
      </w:r>
      <w:r w:rsidRPr="008F35CB">
        <w:t xml:space="preserve">. </w:t>
      </w:r>
    </w:p>
    <w:p w14:paraId="07EF9F3F" w14:textId="6981D117" w:rsidR="00571472" w:rsidRPr="008F35CB" w:rsidRDefault="00571472" w:rsidP="008F35CB">
      <w:pPr>
        <w:pStyle w:val="NoSpacing"/>
      </w:pPr>
      <w:r w:rsidRPr="008F35CB">
        <w:t>The first responsibility is to review all</w:t>
      </w:r>
      <w:r w:rsidR="005660F0" w:rsidRPr="008F35CB">
        <w:t xml:space="preserve"> kinds of evidence that have been collected by law enforcement agencies</w:t>
      </w:r>
      <w:r w:rsidRPr="008F35CB">
        <w:t xml:space="preserve"> which will help to </w:t>
      </w:r>
      <w:r w:rsidR="005660F0" w:rsidRPr="008F35CB">
        <w:t>build a case against the accused</w:t>
      </w:r>
      <w:r w:rsidR="008F35CB" w:rsidRPr="008F35CB">
        <w:t xml:space="preserve"> by examining </w:t>
      </w:r>
      <w:r w:rsidR="005660F0" w:rsidRPr="008F35CB">
        <w:t>surveillance footage, forensic reports, physical evidence,</w:t>
      </w:r>
      <w:r w:rsidR="008F35CB" w:rsidRPr="008F35CB">
        <w:t xml:space="preserve"> </w:t>
      </w:r>
      <w:r w:rsidR="005660F0" w:rsidRPr="008F35CB">
        <w:t>witness statements, and any other relevant information.</w:t>
      </w:r>
      <w:r w:rsidR="00AD0439" w:rsidRPr="008F35CB">
        <w:t xml:space="preserve"> </w:t>
      </w:r>
    </w:p>
    <w:p w14:paraId="7E1642B3" w14:textId="77777777" w:rsidR="00571472" w:rsidRPr="008F35CB" w:rsidRDefault="005660F0" w:rsidP="008F35CB">
      <w:pPr>
        <w:pStyle w:val="NoSpacing"/>
      </w:pPr>
      <w:r w:rsidRPr="008F35CB">
        <w:t xml:space="preserve">Interviews may also be conducted by Crown Prosecutors with all witnesses available so that some additional information could be collected and ensure that witness statements are consistent and credible </w:t>
      </w:r>
      <w:r w:rsidRPr="008F35CB">
        <w:rPr>
          <w:color w:val="222222"/>
          <w:shd w:val="clear" w:color="auto" w:fill="FFFFFF"/>
        </w:rPr>
        <w:t>(</w:t>
      </w:r>
      <w:proofErr w:type="spellStart"/>
      <w:r w:rsidRPr="008F35CB">
        <w:rPr>
          <w:color w:val="222222"/>
          <w:shd w:val="clear" w:color="auto" w:fill="FFFFFF"/>
        </w:rPr>
        <w:t>Baćak</w:t>
      </w:r>
      <w:proofErr w:type="spellEnd"/>
      <w:r w:rsidRPr="008F35CB">
        <w:rPr>
          <w:color w:val="222222"/>
          <w:shd w:val="clear" w:color="auto" w:fill="FFFFFF"/>
        </w:rPr>
        <w:t xml:space="preserve">, </w:t>
      </w:r>
      <w:proofErr w:type="spellStart"/>
      <w:r w:rsidRPr="008F35CB">
        <w:rPr>
          <w:color w:val="222222"/>
          <w:shd w:val="clear" w:color="auto" w:fill="FFFFFF"/>
        </w:rPr>
        <w:t>Lageson</w:t>
      </w:r>
      <w:proofErr w:type="spellEnd"/>
      <w:r w:rsidRPr="008F35CB">
        <w:rPr>
          <w:color w:val="222222"/>
          <w:shd w:val="clear" w:color="auto" w:fill="FFFFFF"/>
        </w:rPr>
        <w:t xml:space="preserve"> and Powell, 2020)</w:t>
      </w:r>
      <w:r w:rsidRPr="008F35CB">
        <w:t xml:space="preserve">. </w:t>
      </w:r>
    </w:p>
    <w:p w14:paraId="7D33A5C7" w14:textId="77777777" w:rsidR="008F35CB" w:rsidRPr="008F35CB" w:rsidRDefault="005660F0" w:rsidP="008F35CB">
      <w:pPr>
        <w:pStyle w:val="NoSpacing"/>
      </w:pPr>
      <w:r w:rsidRPr="008F35CB">
        <w:t xml:space="preserve">A comprehensive legal strategy is developed based on the collected evidence and this evidence is presented in court. All evidence is organized by them and the sequence of testimonies of witnesses is </w:t>
      </w:r>
      <w:r w:rsidR="00AD0439" w:rsidRPr="008F35CB">
        <w:t>planned,</w:t>
      </w:r>
      <w:r w:rsidRPr="008F35CB">
        <w:t xml:space="preserve"> and possible </w:t>
      </w:r>
      <w:r w:rsidR="00AD0439" w:rsidRPr="008F35CB">
        <w:t>defences</w:t>
      </w:r>
      <w:r w:rsidRPr="008F35CB">
        <w:t xml:space="preserve"> are anticipated that could be raised by the accused. </w:t>
      </w:r>
    </w:p>
    <w:p w14:paraId="2AFBBBF5" w14:textId="6DDEBB4C" w:rsidR="005660F0" w:rsidRPr="008F35CB" w:rsidRDefault="005660F0" w:rsidP="008F35CB">
      <w:pPr>
        <w:pStyle w:val="NoSpacing"/>
      </w:pPr>
      <w:r w:rsidRPr="008F35CB">
        <w:t xml:space="preserve">The case is presented in the trial by Crown Prosecutors against the person who has been accused. The charges are outlined by them, evidence is </w:t>
      </w:r>
      <w:r w:rsidR="00AD0439" w:rsidRPr="008F35CB">
        <w:t>explained,</w:t>
      </w:r>
      <w:r w:rsidRPr="008F35CB">
        <w:t xml:space="preserve"> and legal arguments are made for establishing the guilt of the accused </w:t>
      </w:r>
      <w:r w:rsidRPr="008F35CB">
        <w:rPr>
          <w:color w:val="222222"/>
          <w:shd w:val="clear" w:color="auto" w:fill="FFFFFF"/>
        </w:rPr>
        <w:t>(Carroll, 2022)</w:t>
      </w:r>
      <w:r w:rsidRPr="008F35CB">
        <w:t xml:space="preserve">. </w:t>
      </w:r>
    </w:p>
    <w:p w14:paraId="2F14DC82" w14:textId="195281A3" w:rsidR="005660F0" w:rsidRPr="008F35CB" w:rsidRDefault="005660F0" w:rsidP="008F35CB">
      <w:pPr>
        <w:pStyle w:val="NoSpacing"/>
      </w:pPr>
      <w:r w:rsidRPr="008F35CB">
        <w:t xml:space="preserve">In terms of supporting the case against the accused, it is noted that Crown Prosecutors act as advocates because they are the legal representatives of the Crown. The evidence is presented by the Crown Prosecutors in a very persuasive and clear way for demonstrating the guilt of the accused. To build a strong case, expert reports, physical evidence, and witness testimonies are used by them. Defence witnesses are cross-examined by Crown Prosecutors during the trial so that their inconsistencies and credibility could be challenged in their testimonies. The truth is uncovered by cross-examination and all kinds of weaknesses could be exposed in case of </w:t>
      </w:r>
      <w:r w:rsidR="00AD0439" w:rsidRPr="008F35CB">
        <w:t>defence</w:t>
      </w:r>
      <w:r w:rsidRPr="008F35CB">
        <w:t xml:space="preserve"> </w:t>
      </w:r>
      <w:r w:rsidRPr="008F35CB">
        <w:rPr>
          <w:color w:val="222222"/>
          <w:shd w:val="clear" w:color="auto" w:fill="FFFFFF"/>
        </w:rPr>
        <w:t>(</w:t>
      </w:r>
      <w:proofErr w:type="spellStart"/>
      <w:r w:rsidRPr="008F35CB">
        <w:rPr>
          <w:color w:val="222222"/>
          <w:shd w:val="clear" w:color="auto" w:fill="FFFFFF"/>
        </w:rPr>
        <w:t>Shapland</w:t>
      </w:r>
      <w:proofErr w:type="spellEnd"/>
      <w:r w:rsidRPr="008F35CB">
        <w:rPr>
          <w:color w:val="222222"/>
          <w:shd w:val="clear" w:color="auto" w:fill="FFFFFF"/>
        </w:rPr>
        <w:t>, 2019)</w:t>
      </w:r>
      <w:r w:rsidRPr="008F35CB">
        <w:t xml:space="preserve">.  Legal reasoning is provided by Crown Prosecutors for supporting the charges and an explanation is given on how the guilt of the accused could be proved based on the evidence. Legal principles, case law, and relevant statutes are applied by them for strengthening the arguments made by them. The arguments presented by </w:t>
      </w:r>
      <w:r w:rsidR="00AD0439" w:rsidRPr="008F35CB">
        <w:t>the defence</w:t>
      </w:r>
      <w:r w:rsidRPr="008F35CB">
        <w:t xml:space="preserve"> are addressed by prosecutors and they focus on refuting them based on evidence </w:t>
      </w:r>
      <w:r w:rsidRPr="008F35CB">
        <w:rPr>
          <w:color w:val="222222"/>
          <w:shd w:val="clear" w:color="auto" w:fill="FFFFFF"/>
        </w:rPr>
        <w:t>(Baker, 2020)</w:t>
      </w:r>
      <w:r w:rsidRPr="008F35CB">
        <w:t xml:space="preserve">. </w:t>
      </w:r>
    </w:p>
    <w:p w14:paraId="041FBA89" w14:textId="5D007375" w:rsidR="005660F0" w:rsidRPr="008F35CB" w:rsidRDefault="005660F0" w:rsidP="008F35CB">
      <w:pPr>
        <w:pStyle w:val="NoSpacing"/>
      </w:pPr>
      <w:r w:rsidRPr="008F35CB">
        <w:lastRenderedPageBreak/>
        <w:t xml:space="preserve">In terms of upholding the principles of justice in the justice system of the country, it is a fact that an important and key role is played by Crown Prosecutors. All relevant evidence is disclosed in this way that is provided to the </w:t>
      </w:r>
      <w:r w:rsidR="00AD0439" w:rsidRPr="008F35CB">
        <w:t>defence</w:t>
      </w:r>
      <w:r w:rsidRPr="008F35CB">
        <w:t xml:space="preserve"> and it is also based on involving adherence to procedural rules and any kinds of actions due to which the fairness system of the trial could be impacted are avoided. One important thing that must need to be ensured by Crown Prosecutors is that they are impartial and act without any level of bias. </w:t>
      </w:r>
      <w:r w:rsidR="00AD0439" w:rsidRPr="008F35CB">
        <w:t>All</w:t>
      </w:r>
      <w:r w:rsidRPr="008F35CB">
        <w:t xml:space="preserve"> their actions and decisions must be solely based on the relative law and evidence which means that their favours must not relate to one party. It is a must for Crown Prosecutors to</w:t>
      </w:r>
      <w:r w:rsidR="008F35CB" w:rsidRPr="008F35CB">
        <w:t xml:space="preserve"> </w:t>
      </w:r>
      <w:r w:rsidRPr="008F35CB">
        <w:t xml:space="preserve">work based on conducting every action under high standards of ethics. Respect, honesty, and integrity must need to be ensured by them in all prospects of their work </w:t>
      </w:r>
      <w:r w:rsidRPr="008F35CB">
        <w:rPr>
          <w:color w:val="222222"/>
          <w:shd w:val="clear" w:color="auto" w:fill="FFFFFF"/>
        </w:rPr>
        <w:t>(Green and Roiphe, 2020)</w:t>
      </w:r>
      <w:r w:rsidRPr="008F35CB">
        <w:t xml:space="preserve">.  </w:t>
      </w:r>
    </w:p>
    <w:p w14:paraId="025E9226" w14:textId="77777777" w:rsidR="005660F0" w:rsidRPr="008F35CB" w:rsidRDefault="005660F0" w:rsidP="008F35CB">
      <w:pPr>
        <w:pStyle w:val="NoSpacing"/>
      </w:pPr>
      <w:r w:rsidRPr="008F35CB">
        <w:t xml:space="preserve">Crown prosecutors are state representatives who must also consider the public interest when choosing whether to bring charges or handle a criminal case. The community's safety is of the utmost importance. Prosecutors must determine whether a defendant needs to be tried to safeguard the public from any potential harm brought on by his actions </w:t>
      </w:r>
      <w:r w:rsidRPr="008F35CB">
        <w:rPr>
          <w:color w:val="222222"/>
          <w:shd w:val="clear" w:color="auto" w:fill="FFFFFF"/>
        </w:rPr>
        <w:t>(Young, 2019)</w:t>
      </w:r>
      <w:r w:rsidRPr="008F35CB">
        <w:t>.</w:t>
      </w:r>
    </w:p>
    <w:p w14:paraId="01195F06" w14:textId="755A3554" w:rsidR="005660F0" w:rsidRPr="008F35CB" w:rsidRDefault="005660F0" w:rsidP="008F35CB">
      <w:pPr>
        <w:pStyle w:val="NoSpacing"/>
      </w:pPr>
      <w:r w:rsidRPr="008F35CB">
        <w:t xml:space="preserve"> The seriousness of the crime and its impact on the victims and society must be considered. The prosecution of more serious charges or actions that have a major impact may be given priority. Prosecutors weigh the efficiency of rehabilitation efforts in preventing crime when deciding </w:t>
      </w:r>
      <w:r w:rsidR="00AD0439" w:rsidRPr="008F35CB">
        <w:t>whether</w:t>
      </w:r>
      <w:r w:rsidRPr="008F35CB">
        <w:t xml:space="preserve"> to charge accused parties. It may be considered by prosecutors whether the accused accountable for </w:t>
      </w:r>
      <w:r w:rsidR="00AD0439" w:rsidRPr="008F35CB">
        <w:t>all</w:t>
      </w:r>
      <w:r w:rsidRPr="008F35CB">
        <w:t xml:space="preserve"> their actions will be held by criminal prosecution and it also considered by them whether the remedies and restitution are better in prospect of the justice system</w:t>
      </w:r>
      <w:r w:rsidR="008F35CB" w:rsidRPr="008F35CB">
        <w:t>.</w:t>
      </w:r>
      <w:r w:rsidRPr="008F35CB">
        <w:t xml:space="preserve"> </w:t>
      </w:r>
      <w:r w:rsidRPr="008F35CB">
        <w:rPr>
          <w:color w:val="222222"/>
          <w:shd w:val="clear" w:color="auto" w:fill="FFFFFF"/>
        </w:rPr>
        <w:t>(</w:t>
      </w:r>
      <w:proofErr w:type="spellStart"/>
      <w:r w:rsidRPr="008F35CB">
        <w:rPr>
          <w:color w:val="222222"/>
          <w:shd w:val="clear" w:color="auto" w:fill="FFFFFF"/>
        </w:rPr>
        <w:t>Rofiq</w:t>
      </w:r>
      <w:proofErr w:type="spellEnd"/>
      <w:r w:rsidRPr="008F35CB">
        <w:rPr>
          <w:color w:val="222222"/>
          <w:shd w:val="clear" w:color="auto" w:fill="FFFFFF"/>
        </w:rPr>
        <w:t xml:space="preserve">, </w:t>
      </w:r>
      <w:proofErr w:type="spellStart"/>
      <w:r w:rsidRPr="008F35CB">
        <w:rPr>
          <w:color w:val="222222"/>
          <w:shd w:val="clear" w:color="auto" w:fill="FFFFFF"/>
        </w:rPr>
        <w:t>Disemadi</w:t>
      </w:r>
      <w:proofErr w:type="spellEnd"/>
      <w:r w:rsidRPr="008F35CB">
        <w:rPr>
          <w:color w:val="222222"/>
          <w:shd w:val="clear" w:color="auto" w:fill="FFFFFF"/>
        </w:rPr>
        <w:t xml:space="preserve"> and Jaya, 2019)</w:t>
      </w:r>
      <w:r w:rsidRPr="008F35CB">
        <w:t xml:space="preserve">. </w:t>
      </w:r>
    </w:p>
    <w:p w14:paraId="7DF3EADE" w14:textId="5D1D0DBA" w:rsidR="005660F0" w:rsidRPr="008F35CB" w:rsidRDefault="005660F0" w:rsidP="008F35CB">
      <w:pPr>
        <w:pStyle w:val="NoSpacing"/>
      </w:pPr>
      <w:r w:rsidRPr="008F35CB">
        <w:t xml:space="preserve">The evidence test and the public interest test are the two main tests used to make charging decisions. </w:t>
      </w:r>
      <w:r w:rsidR="00AD0439" w:rsidRPr="008F35CB">
        <w:t>Both</w:t>
      </w:r>
      <w:r w:rsidRPr="008F35CB">
        <w:t xml:space="preserve"> tests are taken into consideration by the Crown Prosecution Service when determining whether to charge a suspect.  </w:t>
      </w:r>
    </w:p>
    <w:p w14:paraId="04A8F394" w14:textId="06CF29A1" w:rsidR="005660F0" w:rsidRPr="008F35CB" w:rsidRDefault="005660F0" w:rsidP="008F35CB">
      <w:pPr>
        <w:pStyle w:val="NoSpacing"/>
      </w:pPr>
      <w:r w:rsidRPr="008F35CB">
        <w:t xml:space="preserve"> One important aspect that is assessed based on the evidential test is to consider that for providing some realistic prospect of conviction, they try to consider sufficient evidence. Crown Prosecutors must also need to be focused on evaluating if the evidence that is provided is strong enough for persuading a reasonable jury related to the guilt of the accused.  The evidential test is based on the following key considerations </w:t>
      </w:r>
      <w:r w:rsidRPr="008F35CB">
        <w:rPr>
          <w:color w:val="222222"/>
          <w:shd w:val="clear" w:color="auto" w:fill="FFFFFF"/>
        </w:rPr>
        <w:t>(Romero, 2020)</w:t>
      </w:r>
      <w:r w:rsidRPr="008F35CB">
        <w:t xml:space="preserve">. </w:t>
      </w:r>
      <w:r w:rsidR="008F35CB" w:rsidRPr="008F35CB">
        <w:t>The strength</w:t>
      </w:r>
      <w:r w:rsidR="00AD0439" w:rsidRPr="008F35CB">
        <w:t xml:space="preserve"> of evidence is proven by the</w:t>
      </w:r>
      <w:r w:rsidRPr="008F35CB">
        <w:t xml:space="preserve"> level of quantity and quality of available evidence </w:t>
      </w:r>
      <w:r w:rsidR="00AD0439" w:rsidRPr="008F35CB">
        <w:t xml:space="preserve">that </w:t>
      </w:r>
      <w:r w:rsidRPr="008F35CB">
        <w:t>could be evaluated by the Crown Prosecutor. Forensic reports, physical evidence, witness statements, and any other relevant materials are included in this. Another important aspect</w:t>
      </w:r>
      <w:r w:rsidR="00AD0439" w:rsidRPr="008F35CB">
        <w:t xml:space="preserve"> is the admissibility of evidence</w:t>
      </w:r>
      <w:r w:rsidRPr="008F35CB">
        <w:t xml:space="preserve"> that is determined under this is to consider whether the evidence is admissible or not in the court. The evidence is not considered to be used in court if it is subject to exclusionary rules or obtained unlawfully </w:t>
      </w:r>
      <w:r w:rsidRPr="008F35CB">
        <w:rPr>
          <w:color w:val="222222"/>
          <w:shd w:val="clear" w:color="auto" w:fill="FFFFFF"/>
        </w:rPr>
        <w:t>(</w:t>
      </w:r>
      <w:proofErr w:type="spellStart"/>
      <w:r w:rsidRPr="008F35CB">
        <w:rPr>
          <w:color w:val="222222"/>
          <w:shd w:val="clear" w:color="auto" w:fill="FFFFFF"/>
        </w:rPr>
        <w:t>Sitompul</w:t>
      </w:r>
      <w:proofErr w:type="spellEnd"/>
      <w:r w:rsidRPr="008F35CB">
        <w:rPr>
          <w:color w:val="222222"/>
          <w:shd w:val="clear" w:color="auto" w:fill="FFFFFF"/>
        </w:rPr>
        <w:t xml:space="preserve"> and </w:t>
      </w:r>
      <w:proofErr w:type="spellStart"/>
      <w:r w:rsidRPr="008F35CB">
        <w:rPr>
          <w:color w:val="222222"/>
          <w:shd w:val="clear" w:color="auto" w:fill="FFFFFF"/>
        </w:rPr>
        <w:t>Hasibuan</w:t>
      </w:r>
      <w:proofErr w:type="spellEnd"/>
      <w:r w:rsidRPr="008F35CB">
        <w:rPr>
          <w:color w:val="222222"/>
          <w:shd w:val="clear" w:color="auto" w:fill="FFFFFF"/>
        </w:rPr>
        <w:t>, 2021)</w:t>
      </w:r>
      <w:r w:rsidRPr="008F35CB">
        <w:t xml:space="preserve">. </w:t>
      </w:r>
    </w:p>
    <w:p w14:paraId="5501E686" w14:textId="77777777" w:rsidR="005660F0" w:rsidRPr="008F35CB" w:rsidRDefault="005660F0" w:rsidP="008F35CB">
      <w:pPr>
        <w:pStyle w:val="NoSpacing"/>
      </w:pPr>
      <w:r w:rsidRPr="008F35CB">
        <w:t xml:space="preserve">In the prospect of criminal proceedings, it is noted that one important aspect is called witness credibility. The reliability and credibility of witnesses must need to be assessed by Crown Prosecutors so that the strength of their testimonies could be established. </w:t>
      </w:r>
    </w:p>
    <w:p w14:paraId="7CBBF6AB" w14:textId="6EE6E406" w:rsidR="005660F0" w:rsidRPr="008F35CB" w:rsidRDefault="005660F0" w:rsidP="008F35CB">
      <w:pPr>
        <w:pStyle w:val="NoSpacing"/>
      </w:pPr>
      <w:r w:rsidRPr="008F35CB">
        <w:t xml:space="preserve">Consideration of whether it is in the best interest of the public of prosecuting the accused is included in the context of the public interest test. It may be decided by Crown Prosecutors not </w:t>
      </w:r>
      <w:r w:rsidR="00AD0439" w:rsidRPr="008F35CB">
        <w:t>to proceed</w:t>
      </w:r>
      <w:r w:rsidRPr="008F35CB">
        <w:t xml:space="preserve"> with the charges even if sufficient evidence is there if it is not in the best interest of the public. Following are some key factors that are included in the public interest </w:t>
      </w:r>
      <w:r w:rsidRPr="008F35CB">
        <w:rPr>
          <w:color w:val="222222"/>
          <w:shd w:val="clear" w:color="auto" w:fill="FFFFFF"/>
        </w:rPr>
        <w:t>(</w:t>
      </w:r>
      <w:proofErr w:type="spellStart"/>
      <w:r w:rsidRPr="008F35CB">
        <w:rPr>
          <w:color w:val="222222"/>
          <w:shd w:val="clear" w:color="auto" w:fill="FFFFFF"/>
        </w:rPr>
        <w:t>Chuasanga</w:t>
      </w:r>
      <w:proofErr w:type="spellEnd"/>
      <w:r w:rsidRPr="008F35CB">
        <w:rPr>
          <w:color w:val="222222"/>
          <w:shd w:val="clear" w:color="auto" w:fill="FFFFFF"/>
        </w:rPr>
        <w:t xml:space="preserve"> and Victoria, 2019)</w:t>
      </w:r>
      <w:r w:rsidRPr="008F35CB">
        <w:t xml:space="preserve">. In the prospect of the public interest test, one of the key factors is called the gravity of the </w:t>
      </w:r>
      <w:r w:rsidR="00AD0439" w:rsidRPr="008F35CB">
        <w:t>offence</w:t>
      </w:r>
      <w:r w:rsidRPr="008F35CB">
        <w:t xml:space="preserve">. It is more likely of prosecuting more serious crimes. The impact of the </w:t>
      </w:r>
      <w:r w:rsidR="00AD0439" w:rsidRPr="008F35CB">
        <w:t>offence</w:t>
      </w:r>
      <w:r w:rsidRPr="008F35CB">
        <w:t xml:space="preserve"> on the victim is assessed by the prosecutors and it is based on consideration of financial, emotional, and physical harm caused. </w:t>
      </w:r>
    </w:p>
    <w:p w14:paraId="73D6D384" w14:textId="5D1FE7CF" w:rsidR="005660F0" w:rsidRPr="008F35CB" w:rsidRDefault="005660F0" w:rsidP="008F35CB">
      <w:pPr>
        <w:pStyle w:val="NoSpacing"/>
      </w:pPr>
      <w:r w:rsidRPr="008F35CB">
        <w:t xml:space="preserve">Consideration in this prospect is given to the personal and age circumstances in relation to the accused. The impact of the </w:t>
      </w:r>
      <w:r w:rsidR="00AD0439" w:rsidRPr="008F35CB">
        <w:t>offence</w:t>
      </w:r>
      <w:r w:rsidRPr="008F35CB">
        <w:t xml:space="preserve"> is also </w:t>
      </w:r>
      <w:r w:rsidR="00AD0439" w:rsidRPr="008F35CB">
        <w:t>analysed</w:t>
      </w:r>
      <w:r w:rsidRPr="008F35CB">
        <w:t xml:space="preserve"> by the prosecutor which could be resulted in the community and whether for maintaining public confidence in the justice system, the prosecution is important and necessary </w:t>
      </w:r>
      <w:r w:rsidRPr="008F35CB">
        <w:rPr>
          <w:color w:val="222222"/>
          <w:shd w:val="clear" w:color="auto" w:fill="FFFFFF"/>
        </w:rPr>
        <w:t>(Imran, 2021)</w:t>
      </w:r>
      <w:r w:rsidRPr="008F35CB">
        <w:t xml:space="preserve">. </w:t>
      </w:r>
    </w:p>
    <w:p w14:paraId="72BF955B" w14:textId="77777777" w:rsidR="005660F0" w:rsidRPr="008F35CB" w:rsidRDefault="005660F0" w:rsidP="008F35CB">
      <w:pPr>
        <w:pStyle w:val="NoSpacing"/>
      </w:pPr>
      <w:r w:rsidRPr="008F35CB">
        <w:lastRenderedPageBreak/>
        <w:t>Some significant level of implications could be made by charging decisions that are taken by Crown Prosecutors on all the parties that are included and involved in the criminal justice system. The impact is created on the following:</w:t>
      </w:r>
    </w:p>
    <w:p w14:paraId="3AD1AEFB" w14:textId="2C0CDCD9" w:rsidR="005660F0" w:rsidRPr="008F35CB" w:rsidRDefault="005660F0" w:rsidP="008F35CB">
      <w:pPr>
        <w:pStyle w:val="NoSpacing"/>
      </w:pPr>
      <w:r w:rsidRPr="008F35CB">
        <w:t xml:space="preserve">The lives of the accused are directly affected by charging decisions. Potential penalties and the prospect of a trial are faced by them if found guilty </w:t>
      </w:r>
      <w:r w:rsidRPr="008F35CB">
        <w:rPr>
          <w:color w:val="222222"/>
          <w:shd w:val="clear" w:color="auto" w:fill="FFFFFF"/>
        </w:rPr>
        <w:t>(</w:t>
      </w:r>
      <w:proofErr w:type="spellStart"/>
      <w:r w:rsidRPr="008F35CB">
        <w:rPr>
          <w:color w:val="222222"/>
          <w:shd w:val="clear" w:color="auto" w:fill="FFFFFF"/>
        </w:rPr>
        <w:t>Zauberman</w:t>
      </w:r>
      <w:proofErr w:type="spellEnd"/>
      <w:r w:rsidRPr="008F35CB">
        <w:rPr>
          <w:color w:val="222222"/>
          <w:shd w:val="clear" w:color="auto" w:fill="FFFFFF"/>
        </w:rPr>
        <w:t>, 2019)</w:t>
      </w:r>
      <w:r w:rsidRPr="008F35CB">
        <w:t xml:space="preserve">. </w:t>
      </w:r>
    </w:p>
    <w:p w14:paraId="1932B4D1" w14:textId="048132D9" w:rsidR="005660F0" w:rsidRPr="008F35CB" w:rsidRDefault="005660F0" w:rsidP="008F35CB">
      <w:pPr>
        <w:pStyle w:val="NoSpacing"/>
      </w:pPr>
      <w:r w:rsidRPr="008F35CB">
        <w:t xml:space="preserve">The perception of victims of the justice system is influenced by charging decisions. Accountability, restitution, or closure for the harm may seek by them. </w:t>
      </w:r>
    </w:p>
    <w:p w14:paraId="494F8367" w14:textId="271F5E61" w:rsidR="005660F0" w:rsidRPr="008F35CB" w:rsidRDefault="005660F0" w:rsidP="008F35CB">
      <w:pPr>
        <w:pStyle w:val="NoSpacing"/>
      </w:pPr>
      <w:r w:rsidRPr="008F35CB">
        <w:t>In terms of making fair and just decisions</w:t>
      </w:r>
      <w:r w:rsidR="00A83BF0">
        <w:t>,</w:t>
      </w:r>
      <w:r w:rsidRPr="008F35CB">
        <w:t xml:space="preserve"> it is identified that the public relies on Crown Prosecutors so there is a need of maintaining the confidence of the public in the justice system by taking transparent and consistent charging decisions. </w:t>
      </w:r>
    </w:p>
    <w:p w14:paraId="0A70D938" w14:textId="547CAA80" w:rsidR="005660F0" w:rsidRPr="008F35CB" w:rsidRDefault="005660F0" w:rsidP="008F35CB">
      <w:pPr>
        <w:pStyle w:val="NoSpacing"/>
      </w:pPr>
      <w:r w:rsidRPr="008F35CB">
        <w:t>Some challenges are also associated with the role of the Crown Prosecutor. Some of the complex aspects at this level include safeguarding the rights of the accused, protecting the public interest, and striking a balance between upholding justice</w:t>
      </w:r>
      <w:r w:rsidR="008F35CB" w:rsidRPr="008F35CB">
        <w:t>.</w:t>
      </w:r>
      <w:r w:rsidRPr="008F35CB">
        <w:t xml:space="preserve"> </w:t>
      </w:r>
      <w:r w:rsidRPr="008F35CB">
        <w:rPr>
          <w:color w:val="222222"/>
          <w:shd w:val="clear" w:color="auto" w:fill="FFFFFF"/>
        </w:rPr>
        <w:t>(</w:t>
      </w:r>
      <w:proofErr w:type="spellStart"/>
      <w:r w:rsidRPr="008F35CB">
        <w:rPr>
          <w:color w:val="222222"/>
          <w:shd w:val="clear" w:color="auto" w:fill="FFFFFF"/>
        </w:rPr>
        <w:t>Setjo</w:t>
      </w:r>
      <w:proofErr w:type="spellEnd"/>
      <w:r w:rsidRPr="008F35CB">
        <w:rPr>
          <w:color w:val="222222"/>
          <w:shd w:val="clear" w:color="auto" w:fill="FFFFFF"/>
        </w:rPr>
        <w:t xml:space="preserve"> and </w:t>
      </w:r>
      <w:proofErr w:type="spellStart"/>
      <w:r w:rsidRPr="008F35CB">
        <w:rPr>
          <w:color w:val="222222"/>
          <w:shd w:val="clear" w:color="auto" w:fill="FFFFFF"/>
        </w:rPr>
        <w:t>Ma’ruf</w:t>
      </w:r>
      <w:proofErr w:type="spellEnd"/>
      <w:r w:rsidRPr="008F35CB">
        <w:rPr>
          <w:color w:val="222222"/>
          <w:shd w:val="clear" w:color="auto" w:fill="FFFFFF"/>
        </w:rPr>
        <w:t>, 2020)</w:t>
      </w:r>
      <w:r w:rsidRPr="008F35CB">
        <w:t xml:space="preserve">. </w:t>
      </w:r>
    </w:p>
    <w:p w14:paraId="1C860520" w14:textId="77777777" w:rsidR="005660F0" w:rsidRPr="008F35CB" w:rsidRDefault="005660F0" w:rsidP="008F35CB">
      <w:pPr>
        <w:pStyle w:val="NoSpacing"/>
      </w:pPr>
    </w:p>
    <w:p w14:paraId="237DDF8D" w14:textId="3B072793" w:rsidR="005660F0" w:rsidRPr="008F35CB" w:rsidRDefault="005660F0" w:rsidP="008F35CB">
      <w:pPr>
        <w:pStyle w:val="NoSpacing"/>
      </w:pPr>
      <w:r w:rsidRPr="008F35CB">
        <w:t xml:space="preserve">It is concluded that in the prospect of the criminal justice system, one most important aspect is considered as the role of a Crown Prosecutor. In guiding Crown Prosecutors' decisions, an important role is played by the public interest test, the evidential test, and the charging decision tests. Careful evaluation of evidence is also required by the application of these tests and a broader level of social impact is also needed. To uphold the public confidence, integrity, and the principles of fairness in the justice system one important aspect is called a balance between justice and public interest. </w:t>
      </w:r>
    </w:p>
    <w:p w14:paraId="671CCA72" w14:textId="77777777" w:rsidR="008960A4" w:rsidRPr="005660F0" w:rsidRDefault="008960A4">
      <w:pPr>
        <w:rPr>
          <w:rFonts w:asciiTheme="majorHAnsi" w:hAnsiTheme="majorHAnsi" w:cstheme="majorHAnsi"/>
        </w:rPr>
      </w:pPr>
    </w:p>
    <w:p w14:paraId="63A96CC3" w14:textId="77777777" w:rsidR="005660F0" w:rsidRPr="005660F0" w:rsidRDefault="005660F0">
      <w:pPr>
        <w:rPr>
          <w:rFonts w:asciiTheme="majorHAnsi" w:hAnsiTheme="majorHAnsi" w:cstheme="majorHAnsi"/>
        </w:rPr>
      </w:pPr>
    </w:p>
    <w:p w14:paraId="22168CCA" w14:textId="77777777" w:rsidR="005660F0" w:rsidRPr="005660F0" w:rsidRDefault="005660F0">
      <w:pPr>
        <w:rPr>
          <w:rFonts w:asciiTheme="majorHAnsi" w:hAnsiTheme="majorHAnsi" w:cstheme="majorHAnsi"/>
        </w:rPr>
      </w:pPr>
    </w:p>
    <w:p w14:paraId="3947BAF9" w14:textId="77777777" w:rsidR="005660F0" w:rsidRPr="005660F0" w:rsidRDefault="005660F0">
      <w:pPr>
        <w:rPr>
          <w:rFonts w:asciiTheme="majorHAnsi" w:hAnsiTheme="majorHAnsi" w:cstheme="majorHAnsi"/>
        </w:rPr>
      </w:pPr>
    </w:p>
    <w:p w14:paraId="1F6D6119" w14:textId="77777777" w:rsidR="005660F0" w:rsidRPr="005660F0" w:rsidRDefault="005660F0">
      <w:pPr>
        <w:rPr>
          <w:rFonts w:asciiTheme="majorHAnsi" w:hAnsiTheme="majorHAnsi" w:cstheme="majorHAnsi"/>
        </w:rPr>
      </w:pPr>
    </w:p>
    <w:p w14:paraId="2FE73735" w14:textId="77777777" w:rsidR="005660F0" w:rsidRPr="005660F0" w:rsidRDefault="005660F0">
      <w:pPr>
        <w:rPr>
          <w:rFonts w:asciiTheme="majorHAnsi" w:hAnsiTheme="majorHAnsi" w:cstheme="majorHAnsi"/>
        </w:rPr>
      </w:pPr>
    </w:p>
    <w:p w14:paraId="5C61CC61" w14:textId="77777777" w:rsidR="005660F0" w:rsidRPr="005660F0" w:rsidRDefault="005660F0">
      <w:pPr>
        <w:rPr>
          <w:rFonts w:asciiTheme="majorHAnsi" w:hAnsiTheme="majorHAnsi" w:cstheme="majorHAnsi"/>
        </w:rPr>
      </w:pPr>
    </w:p>
    <w:p w14:paraId="7616E88E" w14:textId="77777777" w:rsidR="005660F0" w:rsidRPr="005660F0" w:rsidRDefault="005660F0">
      <w:pPr>
        <w:rPr>
          <w:rFonts w:asciiTheme="majorHAnsi" w:hAnsiTheme="majorHAnsi" w:cstheme="majorHAnsi"/>
        </w:rPr>
      </w:pPr>
    </w:p>
    <w:p w14:paraId="43C0E8E9" w14:textId="77777777" w:rsidR="005660F0" w:rsidRPr="005660F0" w:rsidRDefault="005660F0">
      <w:pPr>
        <w:rPr>
          <w:rFonts w:asciiTheme="majorHAnsi" w:hAnsiTheme="majorHAnsi" w:cstheme="majorHAnsi"/>
        </w:rPr>
      </w:pPr>
    </w:p>
    <w:p w14:paraId="46CBB42D" w14:textId="77777777" w:rsidR="005660F0" w:rsidRPr="005660F0" w:rsidRDefault="005660F0">
      <w:pPr>
        <w:rPr>
          <w:rFonts w:asciiTheme="majorHAnsi" w:hAnsiTheme="majorHAnsi" w:cstheme="majorHAnsi"/>
        </w:rPr>
      </w:pPr>
    </w:p>
    <w:p w14:paraId="22680EA7" w14:textId="77777777" w:rsidR="005660F0" w:rsidRPr="005660F0" w:rsidRDefault="005660F0">
      <w:pPr>
        <w:rPr>
          <w:rFonts w:asciiTheme="majorHAnsi" w:hAnsiTheme="majorHAnsi" w:cstheme="majorHAnsi"/>
        </w:rPr>
      </w:pPr>
    </w:p>
    <w:p w14:paraId="59914B6E" w14:textId="77777777" w:rsidR="005660F0" w:rsidRPr="005660F0" w:rsidRDefault="005660F0">
      <w:pPr>
        <w:rPr>
          <w:rFonts w:asciiTheme="majorHAnsi" w:hAnsiTheme="majorHAnsi" w:cstheme="majorHAnsi"/>
        </w:rPr>
      </w:pPr>
    </w:p>
    <w:p w14:paraId="55067397" w14:textId="77777777" w:rsidR="005660F0" w:rsidRPr="005660F0" w:rsidRDefault="005660F0">
      <w:pPr>
        <w:rPr>
          <w:rFonts w:asciiTheme="majorHAnsi" w:hAnsiTheme="majorHAnsi" w:cstheme="majorHAnsi"/>
        </w:rPr>
      </w:pPr>
    </w:p>
    <w:p w14:paraId="1D3A9AB5" w14:textId="4283484B"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r w:rsidRPr="005660F0">
        <w:rPr>
          <w:rFonts w:asciiTheme="majorHAnsi" w:hAnsiTheme="majorHAnsi" w:cstheme="majorHAnsi"/>
          <w:color w:val="222222"/>
          <w:shd w:val="clear" w:color="auto" w:fill="FFFFFF"/>
        </w:rPr>
        <w:t>Reference list:</w:t>
      </w:r>
    </w:p>
    <w:p w14:paraId="392DEE93" w14:textId="6B2C4AB3"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proofErr w:type="spellStart"/>
      <w:r w:rsidRPr="005660F0">
        <w:rPr>
          <w:rFonts w:asciiTheme="majorHAnsi" w:hAnsiTheme="majorHAnsi" w:cstheme="majorHAnsi"/>
          <w:color w:val="222222"/>
          <w:shd w:val="clear" w:color="auto" w:fill="FFFFFF"/>
        </w:rPr>
        <w:t>Baćak</w:t>
      </w:r>
      <w:proofErr w:type="spellEnd"/>
      <w:r w:rsidRPr="005660F0">
        <w:rPr>
          <w:rFonts w:asciiTheme="majorHAnsi" w:hAnsiTheme="majorHAnsi" w:cstheme="majorHAnsi"/>
          <w:color w:val="222222"/>
          <w:shd w:val="clear" w:color="auto" w:fill="FFFFFF"/>
        </w:rPr>
        <w:t xml:space="preserve">, V., </w:t>
      </w:r>
      <w:proofErr w:type="spellStart"/>
      <w:r w:rsidRPr="005660F0">
        <w:rPr>
          <w:rFonts w:asciiTheme="majorHAnsi" w:hAnsiTheme="majorHAnsi" w:cstheme="majorHAnsi"/>
          <w:color w:val="222222"/>
          <w:shd w:val="clear" w:color="auto" w:fill="FFFFFF"/>
        </w:rPr>
        <w:t>Lageson</w:t>
      </w:r>
      <w:proofErr w:type="spellEnd"/>
      <w:r w:rsidRPr="005660F0">
        <w:rPr>
          <w:rFonts w:asciiTheme="majorHAnsi" w:hAnsiTheme="majorHAnsi" w:cstheme="majorHAnsi"/>
          <w:color w:val="222222"/>
          <w:shd w:val="clear" w:color="auto" w:fill="FFFFFF"/>
        </w:rPr>
        <w:t xml:space="preserve">, S.E. and Powell, K., 2020. “Fighting the good fight”: Why do public defenders remain on the </w:t>
      </w:r>
      <w:proofErr w:type="gramStart"/>
      <w:r w:rsidRPr="005660F0">
        <w:rPr>
          <w:rFonts w:asciiTheme="majorHAnsi" w:hAnsiTheme="majorHAnsi" w:cstheme="majorHAnsi"/>
          <w:color w:val="222222"/>
          <w:shd w:val="clear" w:color="auto" w:fill="FFFFFF"/>
        </w:rPr>
        <w:t>job?.</w:t>
      </w:r>
      <w:proofErr w:type="gramEnd"/>
      <w:r w:rsidRPr="005660F0">
        <w:rPr>
          <w:rFonts w:asciiTheme="majorHAnsi" w:hAnsiTheme="majorHAnsi" w:cstheme="majorHAnsi"/>
          <w:color w:val="222222"/>
          <w:shd w:val="clear" w:color="auto" w:fill="FFFFFF"/>
        </w:rPr>
        <w:t> </w:t>
      </w:r>
      <w:r w:rsidRPr="005660F0">
        <w:rPr>
          <w:rFonts w:asciiTheme="majorHAnsi" w:hAnsiTheme="majorHAnsi" w:cstheme="majorHAnsi"/>
          <w:i/>
          <w:iCs/>
          <w:color w:val="222222"/>
          <w:shd w:val="clear" w:color="auto" w:fill="FFFFFF"/>
        </w:rPr>
        <w:t>Criminal justice policy review</w:t>
      </w:r>
      <w:r w:rsidRPr="005660F0">
        <w:rPr>
          <w:rFonts w:asciiTheme="majorHAnsi" w:hAnsiTheme="majorHAnsi" w:cstheme="majorHAnsi"/>
          <w:color w:val="222222"/>
          <w:shd w:val="clear" w:color="auto" w:fill="FFFFFF"/>
        </w:rPr>
        <w:t>, </w:t>
      </w:r>
      <w:r w:rsidRPr="005660F0">
        <w:rPr>
          <w:rFonts w:asciiTheme="majorHAnsi" w:hAnsiTheme="majorHAnsi" w:cstheme="majorHAnsi"/>
          <w:i/>
          <w:iCs/>
          <w:color w:val="222222"/>
          <w:shd w:val="clear" w:color="auto" w:fill="FFFFFF"/>
        </w:rPr>
        <w:t>31</w:t>
      </w:r>
      <w:r w:rsidRPr="005660F0">
        <w:rPr>
          <w:rFonts w:asciiTheme="majorHAnsi" w:hAnsiTheme="majorHAnsi" w:cstheme="majorHAnsi"/>
          <w:color w:val="222222"/>
          <w:shd w:val="clear" w:color="auto" w:fill="FFFFFF"/>
        </w:rPr>
        <w:t>(6), pp.939-961.</w:t>
      </w:r>
    </w:p>
    <w:p w14:paraId="3226476F"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r w:rsidRPr="005660F0">
        <w:rPr>
          <w:rFonts w:asciiTheme="majorHAnsi" w:hAnsiTheme="majorHAnsi" w:cstheme="majorHAnsi"/>
          <w:color w:val="222222"/>
          <w:shd w:val="clear" w:color="auto" w:fill="FFFFFF"/>
        </w:rPr>
        <w:t>Baker, J.H., 2020. Criminal courts and procedure at common law 1550–1800. In </w:t>
      </w:r>
      <w:r w:rsidRPr="005660F0">
        <w:rPr>
          <w:rFonts w:asciiTheme="majorHAnsi" w:hAnsiTheme="majorHAnsi" w:cstheme="majorHAnsi"/>
          <w:i/>
          <w:iCs/>
          <w:color w:val="222222"/>
          <w:shd w:val="clear" w:color="auto" w:fill="FFFFFF"/>
        </w:rPr>
        <w:t>Crime in England</w:t>
      </w:r>
      <w:r w:rsidRPr="005660F0">
        <w:rPr>
          <w:rFonts w:asciiTheme="majorHAnsi" w:hAnsiTheme="majorHAnsi" w:cstheme="majorHAnsi"/>
          <w:color w:val="222222"/>
          <w:shd w:val="clear" w:color="auto" w:fill="FFFFFF"/>
        </w:rPr>
        <w:t> (pp. 15-48). Routledge.</w:t>
      </w:r>
    </w:p>
    <w:p w14:paraId="018F327D"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r w:rsidRPr="005660F0">
        <w:rPr>
          <w:rFonts w:asciiTheme="majorHAnsi" w:hAnsiTheme="majorHAnsi" w:cstheme="majorHAnsi"/>
          <w:color w:val="222222"/>
          <w:shd w:val="clear" w:color="auto" w:fill="FFFFFF"/>
        </w:rPr>
        <w:t>Carroll, C.P., 2022. Accessing rights and mitigating revictimization: The role of the victim’s legal counsel in the Swedish criminal justice system. </w:t>
      </w:r>
      <w:r w:rsidRPr="005660F0">
        <w:rPr>
          <w:rFonts w:asciiTheme="majorHAnsi" w:hAnsiTheme="majorHAnsi" w:cstheme="majorHAnsi"/>
          <w:i/>
          <w:iCs/>
          <w:color w:val="222222"/>
          <w:shd w:val="clear" w:color="auto" w:fill="FFFFFF"/>
        </w:rPr>
        <w:t>Violence against women</w:t>
      </w:r>
      <w:r w:rsidRPr="005660F0">
        <w:rPr>
          <w:rFonts w:asciiTheme="majorHAnsi" w:hAnsiTheme="majorHAnsi" w:cstheme="majorHAnsi"/>
          <w:color w:val="222222"/>
          <w:shd w:val="clear" w:color="auto" w:fill="FFFFFF"/>
        </w:rPr>
        <w:t>, </w:t>
      </w:r>
      <w:r w:rsidRPr="005660F0">
        <w:rPr>
          <w:rFonts w:asciiTheme="majorHAnsi" w:hAnsiTheme="majorHAnsi" w:cstheme="majorHAnsi"/>
          <w:i/>
          <w:iCs/>
          <w:color w:val="222222"/>
          <w:shd w:val="clear" w:color="auto" w:fill="FFFFFF"/>
        </w:rPr>
        <w:t>28</w:t>
      </w:r>
      <w:r w:rsidRPr="005660F0">
        <w:rPr>
          <w:rFonts w:asciiTheme="majorHAnsi" w:hAnsiTheme="majorHAnsi" w:cstheme="majorHAnsi"/>
          <w:color w:val="222222"/>
          <w:shd w:val="clear" w:color="auto" w:fill="FFFFFF"/>
        </w:rPr>
        <w:t>(1), pp.255-276.</w:t>
      </w:r>
    </w:p>
    <w:p w14:paraId="6D908B9F"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proofErr w:type="spellStart"/>
      <w:r w:rsidRPr="005660F0">
        <w:rPr>
          <w:rFonts w:asciiTheme="majorHAnsi" w:hAnsiTheme="majorHAnsi" w:cstheme="majorHAnsi"/>
          <w:color w:val="222222"/>
          <w:shd w:val="clear" w:color="auto" w:fill="FFFFFF"/>
        </w:rPr>
        <w:t>Chuasanga</w:t>
      </w:r>
      <w:proofErr w:type="spellEnd"/>
      <w:r w:rsidRPr="005660F0">
        <w:rPr>
          <w:rFonts w:asciiTheme="majorHAnsi" w:hAnsiTheme="majorHAnsi" w:cstheme="majorHAnsi"/>
          <w:color w:val="222222"/>
          <w:shd w:val="clear" w:color="auto" w:fill="FFFFFF"/>
        </w:rPr>
        <w:t>, A. and Victoria, O.A., 2019. Legal Principles Under Criminal Law in Indonesia Dan Thailand. </w:t>
      </w:r>
      <w:proofErr w:type="spellStart"/>
      <w:r w:rsidRPr="005660F0">
        <w:rPr>
          <w:rFonts w:asciiTheme="majorHAnsi" w:hAnsiTheme="majorHAnsi" w:cstheme="majorHAnsi"/>
          <w:i/>
          <w:iCs/>
          <w:color w:val="222222"/>
          <w:shd w:val="clear" w:color="auto" w:fill="FFFFFF"/>
        </w:rPr>
        <w:t>Jurnal</w:t>
      </w:r>
      <w:proofErr w:type="spellEnd"/>
      <w:r w:rsidRPr="005660F0">
        <w:rPr>
          <w:rFonts w:asciiTheme="majorHAnsi" w:hAnsiTheme="majorHAnsi" w:cstheme="majorHAnsi"/>
          <w:i/>
          <w:iCs/>
          <w:color w:val="222222"/>
          <w:shd w:val="clear" w:color="auto" w:fill="FFFFFF"/>
        </w:rPr>
        <w:t xml:space="preserve"> Daulat Hukum</w:t>
      </w:r>
      <w:r w:rsidRPr="005660F0">
        <w:rPr>
          <w:rFonts w:asciiTheme="majorHAnsi" w:hAnsiTheme="majorHAnsi" w:cstheme="majorHAnsi"/>
          <w:color w:val="222222"/>
          <w:shd w:val="clear" w:color="auto" w:fill="FFFFFF"/>
        </w:rPr>
        <w:t>, </w:t>
      </w:r>
      <w:r w:rsidRPr="005660F0">
        <w:rPr>
          <w:rFonts w:asciiTheme="majorHAnsi" w:hAnsiTheme="majorHAnsi" w:cstheme="majorHAnsi"/>
          <w:i/>
          <w:iCs/>
          <w:color w:val="222222"/>
          <w:shd w:val="clear" w:color="auto" w:fill="FFFFFF"/>
        </w:rPr>
        <w:t>2</w:t>
      </w:r>
      <w:r w:rsidRPr="005660F0">
        <w:rPr>
          <w:rFonts w:asciiTheme="majorHAnsi" w:hAnsiTheme="majorHAnsi" w:cstheme="majorHAnsi"/>
          <w:color w:val="222222"/>
          <w:shd w:val="clear" w:color="auto" w:fill="FFFFFF"/>
        </w:rPr>
        <w:t>(1), pp.131-138.</w:t>
      </w:r>
    </w:p>
    <w:p w14:paraId="5D494507"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r w:rsidRPr="005660F0">
        <w:rPr>
          <w:rFonts w:asciiTheme="majorHAnsi" w:hAnsiTheme="majorHAnsi" w:cstheme="majorHAnsi"/>
          <w:color w:val="222222"/>
          <w:shd w:val="clear" w:color="auto" w:fill="FFFFFF"/>
        </w:rPr>
        <w:lastRenderedPageBreak/>
        <w:t>Green, B.A. and Roiphe, R., 2020. When prosecutors politick: Progressive law enforcers then and now. </w:t>
      </w:r>
      <w:r w:rsidRPr="005660F0">
        <w:rPr>
          <w:rFonts w:asciiTheme="majorHAnsi" w:hAnsiTheme="majorHAnsi" w:cstheme="majorHAnsi"/>
          <w:i/>
          <w:iCs/>
          <w:color w:val="222222"/>
          <w:shd w:val="clear" w:color="auto" w:fill="FFFFFF"/>
        </w:rPr>
        <w:t>J. Crim. L. &amp; Criminology</w:t>
      </w:r>
      <w:r w:rsidRPr="005660F0">
        <w:rPr>
          <w:rFonts w:asciiTheme="majorHAnsi" w:hAnsiTheme="majorHAnsi" w:cstheme="majorHAnsi"/>
          <w:color w:val="222222"/>
          <w:shd w:val="clear" w:color="auto" w:fill="FFFFFF"/>
        </w:rPr>
        <w:t>, </w:t>
      </w:r>
      <w:r w:rsidRPr="005660F0">
        <w:rPr>
          <w:rFonts w:asciiTheme="majorHAnsi" w:hAnsiTheme="majorHAnsi" w:cstheme="majorHAnsi"/>
          <w:i/>
          <w:iCs/>
          <w:color w:val="222222"/>
          <w:shd w:val="clear" w:color="auto" w:fill="FFFFFF"/>
        </w:rPr>
        <w:t>110</w:t>
      </w:r>
      <w:r w:rsidRPr="005660F0">
        <w:rPr>
          <w:rFonts w:asciiTheme="majorHAnsi" w:hAnsiTheme="majorHAnsi" w:cstheme="majorHAnsi"/>
          <w:color w:val="222222"/>
          <w:shd w:val="clear" w:color="auto" w:fill="FFFFFF"/>
        </w:rPr>
        <w:t>, p.719.</w:t>
      </w:r>
    </w:p>
    <w:p w14:paraId="5EEA0312"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r w:rsidRPr="005660F0">
        <w:rPr>
          <w:rFonts w:asciiTheme="majorHAnsi" w:hAnsiTheme="majorHAnsi" w:cstheme="majorHAnsi"/>
          <w:color w:val="222222"/>
          <w:shd w:val="clear" w:color="auto" w:fill="FFFFFF"/>
        </w:rPr>
        <w:t xml:space="preserve">Imran, S.Y., 2021. The Urgency of Regulation of the Ultra Qui </w:t>
      </w:r>
      <w:proofErr w:type="spellStart"/>
      <w:r w:rsidRPr="005660F0">
        <w:rPr>
          <w:rFonts w:asciiTheme="majorHAnsi" w:hAnsiTheme="majorHAnsi" w:cstheme="majorHAnsi"/>
          <w:color w:val="222222"/>
          <w:shd w:val="clear" w:color="auto" w:fill="FFFFFF"/>
        </w:rPr>
        <w:t>Judicat</w:t>
      </w:r>
      <w:proofErr w:type="spellEnd"/>
      <w:r w:rsidRPr="005660F0">
        <w:rPr>
          <w:rFonts w:asciiTheme="majorHAnsi" w:hAnsiTheme="majorHAnsi" w:cstheme="majorHAnsi"/>
          <w:color w:val="222222"/>
          <w:shd w:val="clear" w:color="auto" w:fill="FFFFFF"/>
        </w:rPr>
        <w:t xml:space="preserve"> Principle in Criminal Judgments. </w:t>
      </w:r>
      <w:proofErr w:type="spellStart"/>
      <w:r w:rsidRPr="005660F0">
        <w:rPr>
          <w:rFonts w:asciiTheme="majorHAnsi" w:hAnsiTheme="majorHAnsi" w:cstheme="majorHAnsi"/>
          <w:i/>
          <w:iCs/>
          <w:color w:val="222222"/>
          <w:shd w:val="clear" w:color="auto" w:fill="FFFFFF"/>
        </w:rPr>
        <w:t>Jambura</w:t>
      </w:r>
      <w:proofErr w:type="spellEnd"/>
      <w:r w:rsidRPr="005660F0">
        <w:rPr>
          <w:rFonts w:asciiTheme="majorHAnsi" w:hAnsiTheme="majorHAnsi" w:cstheme="majorHAnsi"/>
          <w:i/>
          <w:iCs/>
          <w:color w:val="222222"/>
          <w:shd w:val="clear" w:color="auto" w:fill="FFFFFF"/>
        </w:rPr>
        <w:t xml:space="preserve"> Law Review</w:t>
      </w:r>
      <w:r w:rsidRPr="005660F0">
        <w:rPr>
          <w:rFonts w:asciiTheme="majorHAnsi" w:hAnsiTheme="majorHAnsi" w:cstheme="majorHAnsi"/>
          <w:color w:val="222222"/>
          <w:shd w:val="clear" w:color="auto" w:fill="FFFFFF"/>
        </w:rPr>
        <w:t>, </w:t>
      </w:r>
      <w:r w:rsidRPr="005660F0">
        <w:rPr>
          <w:rFonts w:asciiTheme="majorHAnsi" w:hAnsiTheme="majorHAnsi" w:cstheme="majorHAnsi"/>
          <w:i/>
          <w:iCs/>
          <w:color w:val="222222"/>
          <w:shd w:val="clear" w:color="auto" w:fill="FFFFFF"/>
        </w:rPr>
        <w:t>3</w:t>
      </w:r>
      <w:r w:rsidRPr="005660F0">
        <w:rPr>
          <w:rFonts w:asciiTheme="majorHAnsi" w:hAnsiTheme="majorHAnsi" w:cstheme="majorHAnsi"/>
          <w:color w:val="222222"/>
          <w:shd w:val="clear" w:color="auto" w:fill="FFFFFF"/>
        </w:rPr>
        <w:t>(2), pp.395-410.</w:t>
      </w:r>
    </w:p>
    <w:p w14:paraId="5284A819"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proofErr w:type="spellStart"/>
      <w:r w:rsidRPr="005660F0">
        <w:rPr>
          <w:rFonts w:asciiTheme="majorHAnsi" w:hAnsiTheme="majorHAnsi" w:cstheme="majorHAnsi"/>
          <w:color w:val="222222"/>
          <w:shd w:val="clear" w:color="auto" w:fill="FFFFFF"/>
        </w:rPr>
        <w:t>Rofiq</w:t>
      </w:r>
      <w:proofErr w:type="spellEnd"/>
      <w:r w:rsidRPr="005660F0">
        <w:rPr>
          <w:rFonts w:asciiTheme="majorHAnsi" w:hAnsiTheme="majorHAnsi" w:cstheme="majorHAnsi"/>
          <w:color w:val="222222"/>
          <w:shd w:val="clear" w:color="auto" w:fill="FFFFFF"/>
        </w:rPr>
        <w:t xml:space="preserve">, A., </w:t>
      </w:r>
      <w:proofErr w:type="spellStart"/>
      <w:r w:rsidRPr="005660F0">
        <w:rPr>
          <w:rFonts w:asciiTheme="majorHAnsi" w:hAnsiTheme="majorHAnsi" w:cstheme="majorHAnsi"/>
          <w:color w:val="222222"/>
          <w:shd w:val="clear" w:color="auto" w:fill="FFFFFF"/>
        </w:rPr>
        <w:t>Disemadi</w:t>
      </w:r>
      <w:proofErr w:type="spellEnd"/>
      <w:r w:rsidRPr="005660F0">
        <w:rPr>
          <w:rFonts w:asciiTheme="majorHAnsi" w:hAnsiTheme="majorHAnsi" w:cstheme="majorHAnsi"/>
          <w:color w:val="222222"/>
          <w:shd w:val="clear" w:color="auto" w:fill="FFFFFF"/>
        </w:rPr>
        <w:t xml:space="preserve">, H.S. and Jaya, N.S.P., 2019, December. Criminal Objectives </w:t>
      </w:r>
      <w:proofErr w:type="spellStart"/>
      <w:r w:rsidRPr="005660F0">
        <w:rPr>
          <w:rFonts w:asciiTheme="majorHAnsi" w:hAnsiTheme="majorHAnsi" w:cstheme="majorHAnsi"/>
          <w:color w:val="222222"/>
          <w:shd w:val="clear" w:color="auto" w:fill="FFFFFF"/>
        </w:rPr>
        <w:t>Integrality</w:t>
      </w:r>
      <w:proofErr w:type="spellEnd"/>
      <w:r w:rsidRPr="005660F0">
        <w:rPr>
          <w:rFonts w:asciiTheme="majorHAnsi" w:hAnsiTheme="majorHAnsi" w:cstheme="majorHAnsi"/>
          <w:color w:val="222222"/>
          <w:shd w:val="clear" w:color="auto" w:fill="FFFFFF"/>
        </w:rPr>
        <w:t xml:space="preserve"> in the Indonesian Criminal Justice System. In </w:t>
      </w:r>
      <w:r w:rsidRPr="005660F0">
        <w:rPr>
          <w:rFonts w:asciiTheme="majorHAnsi" w:hAnsiTheme="majorHAnsi" w:cstheme="majorHAnsi"/>
          <w:i/>
          <w:iCs/>
          <w:color w:val="222222"/>
          <w:shd w:val="clear" w:color="auto" w:fill="FFFFFF"/>
        </w:rPr>
        <w:t>Al-</w:t>
      </w:r>
      <w:proofErr w:type="spellStart"/>
      <w:r w:rsidRPr="005660F0">
        <w:rPr>
          <w:rFonts w:asciiTheme="majorHAnsi" w:hAnsiTheme="majorHAnsi" w:cstheme="majorHAnsi"/>
          <w:i/>
          <w:iCs/>
          <w:color w:val="222222"/>
          <w:shd w:val="clear" w:color="auto" w:fill="FFFFFF"/>
        </w:rPr>
        <w:t>Risalah</w:t>
      </w:r>
      <w:proofErr w:type="spellEnd"/>
      <w:r w:rsidRPr="005660F0">
        <w:rPr>
          <w:rFonts w:asciiTheme="majorHAnsi" w:hAnsiTheme="majorHAnsi" w:cstheme="majorHAnsi"/>
          <w:i/>
          <w:iCs/>
          <w:color w:val="222222"/>
          <w:shd w:val="clear" w:color="auto" w:fill="FFFFFF"/>
        </w:rPr>
        <w:t xml:space="preserve">: Forum Kajian Hukum dan Sosial </w:t>
      </w:r>
      <w:proofErr w:type="spellStart"/>
      <w:r w:rsidRPr="005660F0">
        <w:rPr>
          <w:rFonts w:asciiTheme="majorHAnsi" w:hAnsiTheme="majorHAnsi" w:cstheme="majorHAnsi"/>
          <w:i/>
          <w:iCs/>
          <w:color w:val="222222"/>
          <w:shd w:val="clear" w:color="auto" w:fill="FFFFFF"/>
        </w:rPr>
        <w:t>Kemasyarakatan</w:t>
      </w:r>
      <w:proofErr w:type="spellEnd"/>
      <w:r w:rsidRPr="005660F0">
        <w:rPr>
          <w:rFonts w:asciiTheme="majorHAnsi" w:hAnsiTheme="majorHAnsi" w:cstheme="majorHAnsi"/>
          <w:color w:val="222222"/>
          <w:shd w:val="clear" w:color="auto" w:fill="FFFFFF"/>
        </w:rPr>
        <w:t> (Vol. 19, No. 2, pp. 179-190).</w:t>
      </w:r>
    </w:p>
    <w:p w14:paraId="4631A9C3"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r w:rsidRPr="005660F0">
        <w:rPr>
          <w:rFonts w:asciiTheme="majorHAnsi" w:hAnsiTheme="majorHAnsi" w:cstheme="majorHAnsi"/>
          <w:color w:val="222222"/>
          <w:shd w:val="clear" w:color="auto" w:fill="FFFFFF"/>
        </w:rPr>
        <w:t xml:space="preserve">Romero, M., 2020. Rural spaces, communities of </w:t>
      </w:r>
      <w:proofErr w:type="spellStart"/>
      <w:r w:rsidRPr="005660F0">
        <w:rPr>
          <w:rFonts w:asciiTheme="majorHAnsi" w:hAnsiTheme="majorHAnsi" w:cstheme="majorHAnsi"/>
          <w:color w:val="222222"/>
          <w:shd w:val="clear" w:color="auto" w:fill="FFFFFF"/>
        </w:rPr>
        <w:t>color</w:t>
      </w:r>
      <w:proofErr w:type="spellEnd"/>
      <w:r w:rsidRPr="005660F0">
        <w:rPr>
          <w:rFonts w:asciiTheme="majorHAnsi" w:hAnsiTheme="majorHAnsi" w:cstheme="majorHAnsi"/>
          <w:color w:val="222222"/>
          <w:shd w:val="clear" w:color="auto" w:fill="FFFFFF"/>
        </w:rPr>
        <w:t>, and the progressive prosecutor. </w:t>
      </w:r>
      <w:r w:rsidRPr="005660F0">
        <w:rPr>
          <w:rFonts w:asciiTheme="majorHAnsi" w:hAnsiTheme="majorHAnsi" w:cstheme="majorHAnsi"/>
          <w:i/>
          <w:iCs/>
          <w:color w:val="222222"/>
          <w:shd w:val="clear" w:color="auto" w:fill="FFFFFF"/>
        </w:rPr>
        <w:t>The Journal of Criminal Law and Criminology (1973-)</w:t>
      </w:r>
      <w:r w:rsidRPr="005660F0">
        <w:rPr>
          <w:rFonts w:asciiTheme="majorHAnsi" w:hAnsiTheme="majorHAnsi" w:cstheme="majorHAnsi"/>
          <w:color w:val="222222"/>
          <w:shd w:val="clear" w:color="auto" w:fill="FFFFFF"/>
        </w:rPr>
        <w:t>, </w:t>
      </w:r>
      <w:r w:rsidRPr="005660F0">
        <w:rPr>
          <w:rFonts w:asciiTheme="majorHAnsi" w:hAnsiTheme="majorHAnsi" w:cstheme="majorHAnsi"/>
          <w:i/>
          <w:iCs/>
          <w:color w:val="222222"/>
          <w:shd w:val="clear" w:color="auto" w:fill="FFFFFF"/>
        </w:rPr>
        <w:t>110</w:t>
      </w:r>
      <w:r w:rsidRPr="005660F0">
        <w:rPr>
          <w:rFonts w:asciiTheme="majorHAnsi" w:hAnsiTheme="majorHAnsi" w:cstheme="majorHAnsi"/>
          <w:color w:val="222222"/>
          <w:shd w:val="clear" w:color="auto" w:fill="FFFFFF"/>
        </w:rPr>
        <w:t>(4), pp.803-822.</w:t>
      </w:r>
    </w:p>
    <w:p w14:paraId="7A4A8024"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r w:rsidRPr="005660F0">
        <w:rPr>
          <w:rFonts w:asciiTheme="majorHAnsi" w:hAnsiTheme="majorHAnsi" w:cstheme="majorHAnsi"/>
          <w:color w:val="222222"/>
          <w:shd w:val="clear" w:color="auto" w:fill="FFFFFF"/>
        </w:rPr>
        <w:t xml:space="preserve">Schmidt, E.P., Rap, S.E. and </w:t>
      </w:r>
      <w:proofErr w:type="spellStart"/>
      <w:r w:rsidRPr="005660F0">
        <w:rPr>
          <w:rFonts w:asciiTheme="majorHAnsi" w:hAnsiTheme="majorHAnsi" w:cstheme="majorHAnsi"/>
          <w:color w:val="222222"/>
          <w:shd w:val="clear" w:color="auto" w:fill="FFFFFF"/>
        </w:rPr>
        <w:t>Liefaard</w:t>
      </w:r>
      <w:proofErr w:type="spellEnd"/>
      <w:r w:rsidRPr="005660F0">
        <w:rPr>
          <w:rFonts w:asciiTheme="majorHAnsi" w:hAnsiTheme="majorHAnsi" w:cstheme="majorHAnsi"/>
          <w:color w:val="222222"/>
          <w:shd w:val="clear" w:color="auto" w:fill="FFFFFF"/>
        </w:rPr>
        <w:t xml:space="preserve">, T., 2021. Young adults in the justice system: The interplay between scientific insights, legal </w:t>
      </w:r>
      <w:proofErr w:type="gramStart"/>
      <w:r w:rsidRPr="005660F0">
        <w:rPr>
          <w:rFonts w:asciiTheme="majorHAnsi" w:hAnsiTheme="majorHAnsi" w:cstheme="majorHAnsi"/>
          <w:color w:val="222222"/>
          <w:shd w:val="clear" w:color="auto" w:fill="FFFFFF"/>
        </w:rPr>
        <w:t>reform</w:t>
      </w:r>
      <w:proofErr w:type="gramEnd"/>
      <w:r w:rsidRPr="005660F0">
        <w:rPr>
          <w:rFonts w:asciiTheme="majorHAnsi" w:hAnsiTheme="majorHAnsi" w:cstheme="majorHAnsi"/>
          <w:color w:val="222222"/>
          <w:shd w:val="clear" w:color="auto" w:fill="FFFFFF"/>
        </w:rPr>
        <w:t xml:space="preserve"> and implementation in practice in the Netherlands. </w:t>
      </w:r>
      <w:r w:rsidRPr="005660F0">
        <w:rPr>
          <w:rFonts w:asciiTheme="majorHAnsi" w:hAnsiTheme="majorHAnsi" w:cstheme="majorHAnsi"/>
          <w:i/>
          <w:iCs/>
          <w:color w:val="222222"/>
          <w:shd w:val="clear" w:color="auto" w:fill="FFFFFF"/>
        </w:rPr>
        <w:t>Youth Justice</w:t>
      </w:r>
      <w:r w:rsidRPr="005660F0">
        <w:rPr>
          <w:rFonts w:asciiTheme="majorHAnsi" w:hAnsiTheme="majorHAnsi" w:cstheme="majorHAnsi"/>
          <w:color w:val="222222"/>
          <w:shd w:val="clear" w:color="auto" w:fill="FFFFFF"/>
        </w:rPr>
        <w:t>, </w:t>
      </w:r>
      <w:r w:rsidRPr="005660F0">
        <w:rPr>
          <w:rFonts w:asciiTheme="majorHAnsi" w:hAnsiTheme="majorHAnsi" w:cstheme="majorHAnsi"/>
          <w:i/>
          <w:iCs/>
          <w:color w:val="222222"/>
          <w:shd w:val="clear" w:color="auto" w:fill="FFFFFF"/>
        </w:rPr>
        <w:t>21</w:t>
      </w:r>
      <w:r w:rsidRPr="005660F0">
        <w:rPr>
          <w:rFonts w:asciiTheme="majorHAnsi" w:hAnsiTheme="majorHAnsi" w:cstheme="majorHAnsi"/>
          <w:color w:val="222222"/>
          <w:shd w:val="clear" w:color="auto" w:fill="FFFFFF"/>
        </w:rPr>
        <w:t>(2), pp.172-191.</w:t>
      </w:r>
    </w:p>
    <w:p w14:paraId="1722F146"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proofErr w:type="spellStart"/>
      <w:r w:rsidRPr="005660F0">
        <w:rPr>
          <w:rFonts w:asciiTheme="majorHAnsi" w:hAnsiTheme="majorHAnsi" w:cstheme="majorHAnsi"/>
          <w:color w:val="222222"/>
          <w:shd w:val="clear" w:color="auto" w:fill="FFFFFF"/>
        </w:rPr>
        <w:t>Seepma</w:t>
      </w:r>
      <w:proofErr w:type="spellEnd"/>
      <w:r w:rsidRPr="005660F0">
        <w:rPr>
          <w:rFonts w:asciiTheme="majorHAnsi" w:hAnsiTheme="majorHAnsi" w:cstheme="majorHAnsi"/>
          <w:color w:val="222222"/>
          <w:shd w:val="clear" w:color="auto" w:fill="FFFFFF"/>
        </w:rPr>
        <w:t xml:space="preserve">, A.P., de Blok, C. and Van </w:t>
      </w:r>
      <w:proofErr w:type="spellStart"/>
      <w:r w:rsidRPr="005660F0">
        <w:rPr>
          <w:rFonts w:asciiTheme="majorHAnsi" w:hAnsiTheme="majorHAnsi" w:cstheme="majorHAnsi"/>
          <w:color w:val="222222"/>
          <w:shd w:val="clear" w:color="auto" w:fill="FFFFFF"/>
        </w:rPr>
        <w:t>Donk</w:t>
      </w:r>
      <w:proofErr w:type="spellEnd"/>
      <w:r w:rsidRPr="005660F0">
        <w:rPr>
          <w:rFonts w:asciiTheme="majorHAnsi" w:hAnsiTheme="majorHAnsi" w:cstheme="majorHAnsi"/>
          <w:color w:val="222222"/>
          <w:shd w:val="clear" w:color="auto" w:fill="FFFFFF"/>
        </w:rPr>
        <w:t>, D.P., 2021. Designing digital public service supply chains: four country-based cases in criminal justice. </w:t>
      </w:r>
      <w:r w:rsidRPr="005660F0">
        <w:rPr>
          <w:rFonts w:asciiTheme="majorHAnsi" w:hAnsiTheme="majorHAnsi" w:cstheme="majorHAnsi"/>
          <w:i/>
          <w:iCs/>
          <w:color w:val="222222"/>
          <w:shd w:val="clear" w:color="auto" w:fill="FFFFFF"/>
        </w:rPr>
        <w:t>Supply Chain Management: An International Journal</w:t>
      </w:r>
      <w:r w:rsidRPr="005660F0">
        <w:rPr>
          <w:rFonts w:asciiTheme="majorHAnsi" w:hAnsiTheme="majorHAnsi" w:cstheme="majorHAnsi"/>
          <w:color w:val="222222"/>
          <w:shd w:val="clear" w:color="auto" w:fill="FFFFFF"/>
        </w:rPr>
        <w:t>, </w:t>
      </w:r>
      <w:r w:rsidRPr="005660F0">
        <w:rPr>
          <w:rFonts w:asciiTheme="majorHAnsi" w:hAnsiTheme="majorHAnsi" w:cstheme="majorHAnsi"/>
          <w:i/>
          <w:iCs/>
          <w:color w:val="222222"/>
          <w:shd w:val="clear" w:color="auto" w:fill="FFFFFF"/>
        </w:rPr>
        <w:t>26</w:t>
      </w:r>
      <w:r w:rsidRPr="005660F0">
        <w:rPr>
          <w:rFonts w:asciiTheme="majorHAnsi" w:hAnsiTheme="majorHAnsi" w:cstheme="majorHAnsi"/>
          <w:color w:val="222222"/>
          <w:shd w:val="clear" w:color="auto" w:fill="FFFFFF"/>
        </w:rPr>
        <w:t>(3), pp.418-446.</w:t>
      </w:r>
    </w:p>
    <w:p w14:paraId="328EB836"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proofErr w:type="spellStart"/>
      <w:r w:rsidRPr="005660F0">
        <w:rPr>
          <w:rFonts w:asciiTheme="majorHAnsi" w:hAnsiTheme="majorHAnsi" w:cstheme="majorHAnsi"/>
          <w:color w:val="222222"/>
          <w:shd w:val="clear" w:color="auto" w:fill="FFFFFF"/>
        </w:rPr>
        <w:t>Setjo</w:t>
      </w:r>
      <w:proofErr w:type="spellEnd"/>
      <w:r w:rsidRPr="005660F0">
        <w:rPr>
          <w:rFonts w:asciiTheme="majorHAnsi" w:hAnsiTheme="majorHAnsi" w:cstheme="majorHAnsi"/>
          <w:color w:val="222222"/>
          <w:shd w:val="clear" w:color="auto" w:fill="FFFFFF"/>
        </w:rPr>
        <w:t xml:space="preserve">, O.S. and </w:t>
      </w:r>
      <w:proofErr w:type="spellStart"/>
      <w:r w:rsidRPr="005660F0">
        <w:rPr>
          <w:rFonts w:asciiTheme="majorHAnsi" w:hAnsiTheme="majorHAnsi" w:cstheme="majorHAnsi"/>
          <w:color w:val="222222"/>
          <w:shd w:val="clear" w:color="auto" w:fill="FFFFFF"/>
        </w:rPr>
        <w:t>Ma’ruf</w:t>
      </w:r>
      <w:proofErr w:type="spellEnd"/>
      <w:r w:rsidRPr="005660F0">
        <w:rPr>
          <w:rFonts w:asciiTheme="majorHAnsi" w:hAnsiTheme="majorHAnsi" w:cstheme="majorHAnsi"/>
          <w:color w:val="222222"/>
          <w:shd w:val="clear" w:color="auto" w:fill="FFFFFF"/>
        </w:rPr>
        <w:t xml:space="preserve">, U., 2020. Investigation of Children Which Conflicting </w:t>
      </w:r>
      <w:proofErr w:type="gramStart"/>
      <w:r w:rsidRPr="005660F0">
        <w:rPr>
          <w:rFonts w:asciiTheme="majorHAnsi" w:hAnsiTheme="majorHAnsi" w:cstheme="majorHAnsi"/>
          <w:color w:val="222222"/>
          <w:shd w:val="clear" w:color="auto" w:fill="FFFFFF"/>
        </w:rPr>
        <w:t>With</w:t>
      </w:r>
      <w:proofErr w:type="gramEnd"/>
      <w:r w:rsidRPr="005660F0">
        <w:rPr>
          <w:rFonts w:asciiTheme="majorHAnsi" w:hAnsiTheme="majorHAnsi" w:cstheme="majorHAnsi"/>
          <w:color w:val="222222"/>
          <w:shd w:val="clear" w:color="auto" w:fill="FFFFFF"/>
        </w:rPr>
        <w:t xml:space="preserve"> Law in Narcotics Criminal Acts In Law Area of the Semarang City Police Jurisdiction. </w:t>
      </w:r>
      <w:proofErr w:type="spellStart"/>
      <w:r w:rsidRPr="005660F0">
        <w:rPr>
          <w:rFonts w:asciiTheme="majorHAnsi" w:hAnsiTheme="majorHAnsi" w:cstheme="majorHAnsi"/>
          <w:i/>
          <w:iCs/>
          <w:color w:val="222222"/>
          <w:shd w:val="clear" w:color="auto" w:fill="FFFFFF"/>
        </w:rPr>
        <w:t>Jurnal</w:t>
      </w:r>
      <w:proofErr w:type="spellEnd"/>
      <w:r w:rsidRPr="005660F0">
        <w:rPr>
          <w:rFonts w:asciiTheme="majorHAnsi" w:hAnsiTheme="majorHAnsi" w:cstheme="majorHAnsi"/>
          <w:i/>
          <w:iCs/>
          <w:color w:val="222222"/>
          <w:shd w:val="clear" w:color="auto" w:fill="FFFFFF"/>
        </w:rPr>
        <w:t xml:space="preserve"> Daulat Hukum</w:t>
      </w:r>
      <w:r w:rsidRPr="005660F0">
        <w:rPr>
          <w:rFonts w:asciiTheme="majorHAnsi" w:hAnsiTheme="majorHAnsi" w:cstheme="majorHAnsi"/>
          <w:color w:val="222222"/>
          <w:shd w:val="clear" w:color="auto" w:fill="FFFFFF"/>
        </w:rPr>
        <w:t>, </w:t>
      </w:r>
      <w:r w:rsidRPr="005660F0">
        <w:rPr>
          <w:rFonts w:asciiTheme="majorHAnsi" w:hAnsiTheme="majorHAnsi" w:cstheme="majorHAnsi"/>
          <w:i/>
          <w:iCs/>
          <w:color w:val="222222"/>
          <w:shd w:val="clear" w:color="auto" w:fill="FFFFFF"/>
        </w:rPr>
        <w:t>3</w:t>
      </w:r>
      <w:r w:rsidRPr="005660F0">
        <w:rPr>
          <w:rFonts w:asciiTheme="majorHAnsi" w:hAnsiTheme="majorHAnsi" w:cstheme="majorHAnsi"/>
          <w:color w:val="222222"/>
          <w:shd w:val="clear" w:color="auto" w:fill="FFFFFF"/>
        </w:rPr>
        <w:t>(2), pp.283-290.</w:t>
      </w:r>
    </w:p>
    <w:p w14:paraId="283DC8C9"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proofErr w:type="spellStart"/>
      <w:r w:rsidRPr="005660F0">
        <w:rPr>
          <w:rFonts w:asciiTheme="majorHAnsi" w:hAnsiTheme="majorHAnsi" w:cstheme="majorHAnsi"/>
          <w:color w:val="222222"/>
          <w:shd w:val="clear" w:color="auto" w:fill="FFFFFF"/>
        </w:rPr>
        <w:t>Shapland</w:t>
      </w:r>
      <w:proofErr w:type="spellEnd"/>
      <w:r w:rsidRPr="005660F0">
        <w:rPr>
          <w:rFonts w:asciiTheme="majorHAnsi" w:hAnsiTheme="majorHAnsi" w:cstheme="majorHAnsi"/>
          <w:color w:val="222222"/>
          <w:shd w:val="clear" w:color="auto" w:fill="FFFFFF"/>
        </w:rPr>
        <w:t>, J., 2019. Victims and criminal justice: Creating responsible criminal justice agencies. In </w:t>
      </w:r>
      <w:r w:rsidRPr="005660F0">
        <w:rPr>
          <w:rFonts w:asciiTheme="majorHAnsi" w:hAnsiTheme="majorHAnsi" w:cstheme="majorHAnsi"/>
          <w:i/>
          <w:iCs/>
          <w:color w:val="222222"/>
          <w:shd w:val="clear" w:color="auto" w:fill="FFFFFF"/>
        </w:rPr>
        <w:t>Integrating a victim perspective within criminal justice</w:t>
      </w:r>
      <w:r w:rsidRPr="005660F0">
        <w:rPr>
          <w:rFonts w:asciiTheme="majorHAnsi" w:hAnsiTheme="majorHAnsi" w:cstheme="majorHAnsi"/>
          <w:color w:val="222222"/>
          <w:shd w:val="clear" w:color="auto" w:fill="FFFFFF"/>
        </w:rPr>
        <w:t> (pp. 147-164). Routledge.</w:t>
      </w:r>
    </w:p>
    <w:p w14:paraId="654C8056"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proofErr w:type="spellStart"/>
      <w:r w:rsidRPr="005660F0">
        <w:rPr>
          <w:rFonts w:asciiTheme="majorHAnsi" w:hAnsiTheme="majorHAnsi" w:cstheme="majorHAnsi"/>
          <w:color w:val="222222"/>
          <w:shd w:val="clear" w:color="auto" w:fill="FFFFFF"/>
        </w:rPr>
        <w:t>Sitompul</w:t>
      </w:r>
      <w:proofErr w:type="spellEnd"/>
      <w:r w:rsidRPr="005660F0">
        <w:rPr>
          <w:rFonts w:asciiTheme="majorHAnsi" w:hAnsiTheme="majorHAnsi" w:cstheme="majorHAnsi"/>
          <w:color w:val="222222"/>
          <w:shd w:val="clear" w:color="auto" w:fill="FFFFFF"/>
        </w:rPr>
        <w:t xml:space="preserve">, A. and </w:t>
      </w:r>
      <w:proofErr w:type="spellStart"/>
      <w:r w:rsidRPr="005660F0">
        <w:rPr>
          <w:rFonts w:asciiTheme="majorHAnsi" w:hAnsiTheme="majorHAnsi" w:cstheme="majorHAnsi"/>
          <w:color w:val="222222"/>
          <w:shd w:val="clear" w:color="auto" w:fill="FFFFFF"/>
        </w:rPr>
        <w:t>Hasibuan</w:t>
      </w:r>
      <w:proofErr w:type="spellEnd"/>
      <w:r w:rsidRPr="005660F0">
        <w:rPr>
          <w:rFonts w:asciiTheme="majorHAnsi" w:hAnsiTheme="majorHAnsi" w:cstheme="majorHAnsi"/>
          <w:color w:val="222222"/>
          <w:shd w:val="clear" w:color="auto" w:fill="FFFFFF"/>
        </w:rPr>
        <w:t xml:space="preserve">, P., 2021. The Morality of Law Enforcement Agencies (Police, Prosecutor’s Office, KPK) in Money Laundering </w:t>
      </w:r>
      <w:proofErr w:type="gramStart"/>
      <w:r w:rsidRPr="005660F0">
        <w:rPr>
          <w:rFonts w:asciiTheme="majorHAnsi" w:hAnsiTheme="majorHAnsi" w:cstheme="majorHAnsi"/>
          <w:color w:val="222222"/>
          <w:shd w:val="clear" w:color="auto" w:fill="FFFFFF"/>
        </w:rPr>
        <w:t>With</w:t>
      </w:r>
      <w:proofErr w:type="gramEnd"/>
      <w:r w:rsidRPr="005660F0">
        <w:rPr>
          <w:rFonts w:asciiTheme="majorHAnsi" w:hAnsiTheme="majorHAnsi" w:cstheme="majorHAnsi"/>
          <w:color w:val="222222"/>
          <w:shd w:val="clear" w:color="auto" w:fill="FFFFFF"/>
        </w:rPr>
        <w:t xml:space="preserve"> the Origin of the Corruption. </w:t>
      </w:r>
      <w:r w:rsidRPr="005660F0">
        <w:rPr>
          <w:rFonts w:asciiTheme="majorHAnsi" w:hAnsiTheme="majorHAnsi" w:cstheme="majorHAnsi"/>
          <w:i/>
          <w:iCs/>
          <w:color w:val="222222"/>
          <w:shd w:val="clear" w:color="auto" w:fill="FFFFFF"/>
        </w:rPr>
        <w:t>European Science Review</w:t>
      </w:r>
      <w:r w:rsidRPr="005660F0">
        <w:rPr>
          <w:rFonts w:asciiTheme="majorHAnsi" w:hAnsiTheme="majorHAnsi" w:cstheme="majorHAnsi"/>
          <w:color w:val="222222"/>
          <w:shd w:val="clear" w:color="auto" w:fill="FFFFFF"/>
        </w:rPr>
        <w:t>, (9-10), pp.55-63.</w:t>
      </w:r>
    </w:p>
    <w:p w14:paraId="42E461B9" w14:textId="77777777" w:rsidR="005660F0" w:rsidRPr="005660F0" w:rsidRDefault="005660F0" w:rsidP="005660F0">
      <w:pPr>
        <w:spacing w:line="360" w:lineRule="auto"/>
        <w:ind w:left="720" w:hanging="720"/>
        <w:jc w:val="both"/>
        <w:rPr>
          <w:rFonts w:asciiTheme="majorHAnsi" w:hAnsiTheme="majorHAnsi" w:cstheme="majorHAnsi"/>
          <w:color w:val="222222"/>
          <w:shd w:val="clear" w:color="auto" w:fill="FFFFFF"/>
        </w:rPr>
      </w:pPr>
      <w:r w:rsidRPr="005660F0">
        <w:rPr>
          <w:rFonts w:asciiTheme="majorHAnsi" w:hAnsiTheme="majorHAnsi" w:cstheme="majorHAnsi"/>
          <w:color w:val="222222"/>
          <w:shd w:val="clear" w:color="auto" w:fill="FFFFFF"/>
        </w:rPr>
        <w:t>Young, R., 2019. Integrating a multi-victim perspective into criminal justice through restorative justice conferences. In </w:t>
      </w:r>
      <w:r w:rsidRPr="005660F0">
        <w:rPr>
          <w:rFonts w:asciiTheme="majorHAnsi" w:hAnsiTheme="majorHAnsi" w:cstheme="majorHAnsi"/>
          <w:i/>
          <w:iCs/>
          <w:color w:val="222222"/>
          <w:shd w:val="clear" w:color="auto" w:fill="FFFFFF"/>
        </w:rPr>
        <w:t>Integrating a victim perspective within criminal justice</w:t>
      </w:r>
      <w:r w:rsidRPr="005660F0">
        <w:rPr>
          <w:rFonts w:asciiTheme="majorHAnsi" w:hAnsiTheme="majorHAnsi" w:cstheme="majorHAnsi"/>
          <w:color w:val="222222"/>
          <w:shd w:val="clear" w:color="auto" w:fill="FFFFFF"/>
        </w:rPr>
        <w:t> (pp. 227-252). Routledge.</w:t>
      </w:r>
    </w:p>
    <w:p w14:paraId="0F1524B5" w14:textId="4E85C10F" w:rsidR="005660F0" w:rsidRPr="005660F0" w:rsidRDefault="005660F0" w:rsidP="005660F0">
      <w:pPr>
        <w:rPr>
          <w:rFonts w:asciiTheme="majorHAnsi" w:hAnsiTheme="majorHAnsi" w:cstheme="majorHAnsi"/>
        </w:rPr>
      </w:pPr>
      <w:proofErr w:type="spellStart"/>
      <w:r w:rsidRPr="005660F0">
        <w:rPr>
          <w:rFonts w:asciiTheme="majorHAnsi" w:hAnsiTheme="majorHAnsi" w:cstheme="majorHAnsi"/>
          <w:color w:val="222222"/>
          <w:shd w:val="clear" w:color="auto" w:fill="FFFFFF"/>
        </w:rPr>
        <w:t>Zauberman</w:t>
      </w:r>
      <w:proofErr w:type="spellEnd"/>
      <w:r w:rsidRPr="005660F0">
        <w:rPr>
          <w:rFonts w:asciiTheme="majorHAnsi" w:hAnsiTheme="majorHAnsi" w:cstheme="majorHAnsi"/>
          <w:color w:val="222222"/>
          <w:shd w:val="clear" w:color="auto" w:fill="FFFFFF"/>
        </w:rPr>
        <w:t xml:space="preserve">, R., 2019. Victims as consumers of the criminal justice </w:t>
      </w:r>
      <w:proofErr w:type="gramStart"/>
      <w:r w:rsidRPr="005660F0">
        <w:rPr>
          <w:rFonts w:asciiTheme="majorHAnsi" w:hAnsiTheme="majorHAnsi" w:cstheme="majorHAnsi"/>
          <w:color w:val="222222"/>
          <w:shd w:val="clear" w:color="auto" w:fill="FFFFFF"/>
        </w:rPr>
        <w:t>system?.</w:t>
      </w:r>
      <w:proofErr w:type="gramEnd"/>
      <w:r w:rsidRPr="005660F0">
        <w:rPr>
          <w:rFonts w:asciiTheme="majorHAnsi" w:hAnsiTheme="majorHAnsi" w:cstheme="majorHAnsi"/>
          <w:color w:val="222222"/>
          <w:shd w:val="clear" w:color="auto" w:fill="FFFFFF"/>
        </w:rPr>
        <w:t xml:space="preserve"> In </w:t>
      </w:r>
      <w:r w:rsidRPr="005660F0">
        <w:rPr>
          <w:rFonts w:asciiTheme="majorHAnsi" w:hAnsiTheme="majorHAnsi" w:cstheme="majorHAnsi"/>
          <w:i/>
          <w:iCs/>
          <w:color w:val="222222"/>
          <w:shd w:val="clear" w:color="auto" w:fill="FFFFFF"/>
        </w:rPr>
        <w:t>Integrating a victim perspective within criminal justice</w:t>
      </w:r>
      <w:r w:rsidRPr="005660F0">
        <w:rPr>
          <w:rFonts w:asciiTheme="majorHAnsi" w:hAnsiTheme="majorHAnsi" w:cstheme="majorHAnsi"/>
          <w:color w:val="222222"/>
          <w:shd w:val="clear" w:color="auto" w:fill="FFFFFF"/>
        </w:rPr>
        <w:t> (pp. 37-54). Routledge</w:t>
      </w:r>
    </w:p>
    <w:sectPr w:rsidR="005660F0" w:rsidRPr="00566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71485"/>
    <w:multiLevelType w:val="hybridMultilevel"/>
    <w:tmpl w:val="B8422B68"/>
    <w:lvl w:ilvl="0" w:tplc="08B6764A">
      <w:start w:val="1"/>
      <w:numFmt w:val="bullet"/>
      <w:lvlText w:val=""/>
      <w:lvlJc w:val="left"/>
      <w:pPr>
        <w:ind w:left="720" w:hanging="360"/>
      </w:pPr>
      <w:rPr>
        <w:rFonts w:ascii="Symbol" w:hAnsi="Symbol" w:hint="default"/>
      </w:rPr>
    </w:lvl>
    <w:lvl w:ilvl="1" w:tplc="629A44AC" w:tentative="1">
      <w:start w:val="1"/>
      <w:numFmt w:val="bullet"/>
      <w:lvlText w:val="o"/>
      <w:lvlJc w:val="left"/>
      <w:pPr>
        <w:ind w:left="1440" w:hanging="360"/>
      </w:pPr>
      <w:rPr>
        <w:rFonts w:ascii="Courier New" w:hAnsi="Courier New" w:cs="Courier New" w:hint="default"/>
      </w:rPr>
    </w:lvl>
    <w:lvl w:ilvl="2" w:tplc="C9CABEAE" w:tentative="1">
      <w:start w:val="1"/>
      <w:numFmt w:val="bullet"/>
      <w:lvlText w:val=""/>
      <w:lvlJc w:val="left"/>
      <w:pPr>
        <w:ind w:left="2160" w:hanging="360"/>
      </w:pPr>
      <w:rPr>
        <w:rFonts w:ascii="Wingdings" w:hAnsi="Wingdings" w:hint="default"/>
      </w:rPr>
    </w:lvl>
    <w:lvl w:ilvl="3" w:tplc="A7BED4DA" w:tentative="1">
      <w:start w:val="1"/>
      <w:numFmt w:val="bullet"/>
      <w:lvlText w:val=""/>
      <w:lvlJc w:val="left"/>
      <w:pPr>
        <w:ind w:left="2880" w:hanging="360"/>
      </w:pPr>
      <w:rPr>
        <w:rFonts w:ascii="Symbol" w:hAnsi="Symbol" w:hint="default"/>
      </w:rPr>
    </w:lvl>
    <w:lvl w:ilvl="4" w:tplc="36B2A6D6" w:tentative="1">
      <w:start w:val="1"/>
      <w:numFmt w:val="bullet"/>
      <w:lvlText w:val="o"/>
      <w:lvlJc w:val="left"/>
      <w:pPr>
        <w:ind w:left="3600" w:hanging="360"/>
      </w:pPr>
      <w:rPr>
        <w:rFonts w:ascii="Courier New" w:hAnsi="Courier New" w:cs="Courier New" w:hint="default"/>
      </w:rPr>
    </w:lvl>
    <w:lvl w:ilvl="5" w:tplc="EB163144" w:tentative="1">
      <w:start w:val="1"/>
      <w:numFmt w:val="bullet"/>
      <w:lvlText w:val=""/>
      <w:lvlJc w:val="left"/>
      <w:pPr>
        <w:ind w:left="4320" w:hanging="360"/>
      </w:pPr>
      <w:rPr>
        <w:rFonts w:ascii="Wingdings" w:hAnsi="Wingdings" w:hint="default"/>
      </w:rPr>
    </w:lvl>
    <w:lvl w:ilvl="6" w:tplc="6B60CA58" w:tentative="1">
      <w:start w:val="1"/>
      <w:numFmt w:val="bullet"/>
      <w:lvlText w:val=""/>
      <w:lvlJc w:val="left"/>
      <w:pPr>
        <w:ind w:left="5040" w:hanging="360"/>
      </w:pPr>
      <w:rPr>
        <w:rFonts w:ascii="Symbol" w:hAnsi="Symbol" w:hint="default"/>
      </w:rPr>
    </w:lvl>
    <w:lvl w:ilvl="7" w:tplc="4EB86EBE" w:tentative="1">
      <w:start w:val="1"/>
      <w:numFmt w:val="bullet"/>
      <w:lvlText w:val="o"/>
      <w:lvlJc w:val="left"/>
      <w:pPr>
        <w:ind w:left="5760" w:hanging="360"/>
      </w:pPr>
      <w:rPr>
        <w:rFonts w:ascii="Courier New" w:hAnsi="Courier New" w:cs="Courier New" w:hint="default"/>
      </w:rPr>
    </w:lvl>
    <w:lvl w:ilvl="8" w:tplc="F4C862F6" w:tentative="1">
      <w:start w:val="1"/>
      <w:numFmt w:val="bullet"/>
      <w:lvlText w:val=""/>
      <w:lvlJc w:val="left"/>
      <w:pPr>
        <w:ind w:left="6480" w:hanging="360"/>
      </w:pPr>
      <w:rPr>
        <w:rFonts w:ascii="Wingdings" w:hAnsi="Wingdings" w:hint="default"/>
      </w:rPr>
    </w:lvl>
  </w:abstractNum>
  <w:num w:numId="1" w16cid:durableId="830946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0F0"/>
    <w:rsid w:val="005660F0"/>
    <w:rsid w:val="00571472"/>
    <w:rsid w:val="00601963"/>
    <w:rsid w:val="008960A4"/>
    <w:rsid w:val="008F35CB"/>
    <w:rsid w:val="00A83BF0"/>
    <w:rsid w:val="00AD0439"/>
    <w:rsid w:val="00C02548"/>
    <w:rsid w:val="00C27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4EA12F"/>
  <w15:chartTrackingRefBased/>
  <w15:docId w15:val="{01C95492-4931-8B4D-A267-1A59E31A3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0F0"/>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60F0"/>
    <w:pPr>
      <w:spacing w:before="100" w:after="200" w:line="276" w:lineRule="auto"/>
      <w:ind w:left="720"/>
      <w:contextualSpacing/>
    </w:pPr>
    <w:rPr>
      <w:rFonts w:asciiTheme="minorHAnsi" w:eastAsiaTheme="minorEastAsia" w:hAnsiTheme="minorHAnsi" w:cstheme="minorBidi"/>
      <w:sz w:val="20"/>
      <w:szCs w:val="20"/>
      <w:lang w:val="en-US" w:eastAsia="en-US"/>
    </w:rPr>
  </w:style>
  <w:style w:type="paragraph" w:styleId="NoSpacing">
    <w:name w:val="No Spacing"/>
    <w:uiPriority w:val="1"/>
    <w:qFormat/>
    <w:rsid w:val="008F35CB"/>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4</Pages>
  <Words>1882</Words>
  <Characters>10729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 (2234498)</dc:creator>
  <cp:keywords/>
  <dc:description/>
  <cp:lastModifiedBy>Diana Man (2234498)</cp:lastModifiedBy>
  <cp:revision>2</cp:revision>
  <dcterms:created xsi:type="dcterms:W3CDTF">2023-07-31T19:29:00Z</dcterms:created>
  <dcterms:modified xsi:type="dcterms:W3CDTF">2023-08-14T10:11:00Z</dcterms:modified>
</cp:coreProperties>
</file>