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F5097" w:rsidRDefault="007F5097" w:rsidP="007F5097">
      <w:r w:rsidRPr="001D31E2">
        <w:rPr>
          <w:noProof/>
          <w:sz w:val="24"/>
          <w:szCs w:val="24"/>
          <w:lang w:eastAsia="en-GB"/>
        </w:rPr>
        <w:drawing>
          <wp:inline distT="0" distB="0" distL="0" distR="0" wp14:anchorId="071E6A6A" wp14:editId="34E525B2">
            <wp:extent cx="2288717" cy="766062"/>
            <wp:effectExtent l="0" t="0" r="0" b="0"/>
            <wp:docPr id="3" name="Picture 3"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94833" cy="768109"/>
                    </a:xfrm>
                    <a:prstGeom prst="rect">
                      <a:avLst/>
                    </a:prstGeom>
                    <a:noFill/>
                    <a:ln>
                      <a:noFill/>
                    </a:ln>
                  </pic:spPr>
                </pic:pic>
              </a:graphicData>
            </a:graphic>
          </wp:inline>
        </w:drawing>
      </w:r>
    </w:p>
    <w:p w:rsidR="007F5097" w:rsidRDefault="007F5097" w:rsidP="007F5097"/>
    <w:p w:rsidR="007F5097" w:rsidRDefault="007F5097" w:rsidP="007F5097"/>
    <w:p w:rsidR="007F5097" w:rsidRPr="00C62015" w:rsidRDefault="007F5097" w:rsidP="007F5097">
      <w:pPr>
        <w:jc w:val="center"/>
        <w:rPr>
          <w:b/>
          <w:i/>
          <w:sz w:val="28"/>
        </w:rPr>
      </w:pPr>
      <w:r w:rsidRPr="00C62015">
        <w:rPr>
          <w:b/>
          <w:i/>
          <w:sz w:val="28"/>
        </w:rPr>
        <w:t>University of Wales Modular M.A. (Ed.) Programme</w:t>
      </w:r>
    </w:p>
    <w:p w:rsidR="007F5097" w:rsidRDefault="007F5097" w:rsidP="007F5097">
      <w:pPr>
        <w:jc w:val="center"/>
      </w:pPr>
    </w:p>
    <w:p w:rsidR="007F5097" w:rsidRDefault="007F5097" w:rsidP="007F5097">
      <w:pPr>
        <w:jc w:val="center"/>
      </w:pPr>
    </w:p>
    <w:p w:rsidR="007F5097" w:rsidRDefault="007F5097" w:rsidP="007F5097">
      <w:pPr>
        <w:jc w:val="center"/>
      </w:pPr>
    </w:p>
    <w:p w:rsidR="007F5097" w:rsidRDefault="007F5097" w:rsidP="007F5097">
      <w:pPr>
        <w:jc w:val="center"/>
      </w:pPr>
    </w:p>
    <w:p w:rsidR="007F5097" w:rsidRPr="00C62015" w:rsidRDefault="007F5097" w:rsidP="007F5097">
      <w:pPr>
        <w:rPr>
          <w:b/>
          <w:sz w:val="24"/>
        </w:rPr>
      </w:pPr>
      <w:r w:rsidRPr="00C62015">
        <w:rPr>
          <w:b/>
          <w:sz w:val="24"/>
        </w:rPr>
        <w:t>Student Number……</w:t>
      </w:r>
      <w:r>
        <w:rPr>
          <w:b/>
          <w:sz w:val="24"/>
        </w:rPr>
        <w:t>1504683</w:t>
      </w:r>
      <w:r w:rsidRPr="00C62015">
        <w:rPr>
          <w:b/>
          <w:sz w:val="24"/>
        </w:rPr>
        <w:t>………………………………………………………………</w:t>
      </w:r>
    </w:p>
    <w:p w:rsidR="007F5097" w:rsidRDefault="007F5097" w:rsidP="007F5097"/>
    <w:p w:rsidR="007F5097" w:rsidRDefault="007F5097" w:rsidP="007F5097"/>
    <w:p w:rsidR="007F5097" w:rsidRDefault="007F5097" w:rsidP="007F5097">
      <w:r>
        <w:rPr>
          <w:noProof/>
          <w:lang w:eastAsia="en-GB"/>
        </w:rPr>
        <mc:AlternateContent>
          <mc:Choice Requires="wps">
            <w:drawing>
              <wp:anchor distT="0" distB="0" distL="114300" distR="114300" simplePos="0" relativeHeight="251659264" behindDoc="0" locked="0" layoutInCell="1" allowOverlap="1" wp14:anchorId="55E3F88D" wp14:editId="25C31FBA">
                <wp:simplePos x="0" y="0"/>
                <wp:positionH relativeFrom="column">
                  <wp:align>center</wp:align>
                </wp:positionH>
                <wp:positionV relativeFrom="paragraph">
                  <wp:posOffset>0</wp:posOffset>
                </wp:positionV>
                <wp:extent cx="4326194" cy="1403985"/>
                <wp:effectExtent l="0" t="0" r="17780" b="1714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6194" cy="140398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rsidR="007F5097" w:rsidRDefault="007F5097" w:rsidP="007F5097">
                            <w:pPr>
                              <w:jc w:val="center"/>
                              <w:rPr>
                                <w:b/>
                                <w:sz w:val="32"/>
                              </w:rPr>
                            </w:pPr>
                          </w:p>
                          <w:p w:rsidR="007F5097" w:rsidRDefault="007F5097" w:rsidP="007F5097">
                            <w:pPr>
                              <w:jc w:val="center"/>
                              <w:rPr>
                                <w:b/>
                                <w:sz w:val="32"/>
                              </w:rPr>
                            </w:pPr>
                            <w:r w:rsidRPr="00C62015">
                              <w:rPr>
                                <w:b/>
                                <w:sz w:val="32"/>
                              </w:rPr>
                              <w:t>Overcoming Educational Disadvantage in Wales</w:t>
                            </w:r>
                          </w:p>
                          <w:p w:rsidR="007F5097" w:rsidRPr="00C62015" w:rsidRDefault="007F5097" w:rsidP="007F5097">
                            <w:pPr>
                              <w:jc w:val="center"/>
                              <w:rPr>
                                <w:b/>
                                <w:sz w:val="3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E3F88D" id="_x0000_t202" coordsize="21600,21600" o:spt="202" path="m,l,21600r21600,l21600,xe">
                <v:stroke joinstyle="miter"/>
                <v:path gradientshapeok="t" o:connecttype="rect"/>
              </v:shapetype>
              <v:shape id="Text Box 2" o:spid="_x0000_s1026" type="#_x0000_t202" style="position:absolute;margin-left:0;margin-top:0;width:340.65pt;height:110.55pt;z-index:251659264;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" fillcolor="white [3201]" strokecolor="black [3200]" strokeweight="1pt">
                <v:textbox style="mso-fit-shape-to-text:t">
                  <w:txbxContent>
                    <w:p w:rsidR="007F5097" w:rsidRDefault="007F5097" w:rsidP="007F5097">
                      <w:pPr>
                        <w:jc w:val="center"/>
                        <w:rPr>
                          <w:b/>
                          <w:sz w:val="32"/>
                        </w:rPr>
                      </w:pPr>
                    </w:p>
                    <w:p w:rsidR="007F5097" w:rsidRDefault="007F5097" w:rsidP="007F5097">
                      <w:pPr>
                        <w:jc w:val="center"/>
                        <w:rPr>
                          <w:b/>
                          <w:sz w:val="32"/>
                        </w:rPr>
                      </w:pPr>
                      <w:r w:rsidRPr="00C62015">
                        <w:rPr>
                          <w:b/>
                          <w:sz w:val="32"/>
                        </w:rPr>
                        <w:t>Overcoming Educational Disadvantage in Wales</w:t>
                      </w:r>
                    </w:p>
                    <w:p w:rsidR="007F5097" w:rsidRPr="00C62015" w:rsidRDefault="007F5097" w:rsidP="007F5097">
                      <w:pPr>
                        <w:jc w:val="center"/>
                        <w:rPr>
                          <w:b/>
                          <w:sz w:val="32"/>
                        </w:rPr>
                      </w:pPr>
                    </w:p>
                  </w:txbxContent>
                </v:textbox>
              </v:shape>
            </w:pict>
          </mc:Fallback>
        </mc:AlternateContent>
      </w:r>
    </w:p>
    <w:p w:rsidR="007F5097" w:rsidRDefault="007F5097" w:rsidP="007F5097"/>
    <w:p w:rsidR="007F5097" w:rsidRDefault="007F5097" w:rsidP="007F5097"/>
    <w:p w:rsidR="007F5097" w:rsidRDefault="007F5097" w:rsidP="007F5097"/>
    <w:p w:rsidR="007F5097" w:rsidRDefault="007F5097" w:rsidP="007F5097"/>
    <w:p w:rsidR="007F5097" w:rsidRDefault="007F5097" w:rsidP="007F5097"/>
    <w:p w:rsidR="007F5097" w:rsidRDefault="007F5097" w:rsidP="007F5097"/>
    <w:p w:rsidR="007F5097" w:rsidRPr="00C62015" w:rsidRDefault="007F5097" w:rsidP="007F5097">
      <w:pPr>
        <w:rPr>
          <w:b/>
          <w:sz w:val="24"/>
        </w:rPr>
      </w:pPr>
      <w:r w:rsidRPr="00C62015">
        <w:rPr>
          <w:b/>
          <w:sz w:val="24"/>
        </w:rPr>
        <w:t xml:space="preserve">Level:  </w:t>
      </w:r>
      <w:r w:rsidRPr="00C62015">
        <w:rPr>
          <w:b/>
          <w:sz w:val="24"/>
        </w:rPr>
        <w:tab/>
      </w:r>
      <w:r w:rsidRPr="00C62015">
        <w:rPr>
          <w:b/>
          <w:sz w:val="24"/>
        </w:rPr>
        <w:tab/>
        <w:t>MA(Ed)</w:t>
      </w:r>
    </w:p>
    <w:p w:rsidR="007F5097" w:rsidRPr="00C62015" w:rsidRDefault="007F5097" w:rsidP="007F5097">
      <w:pPr>
        <w:rPr>
          <w:b/>
          <w:sz w:val="24"/>
        </w:rPr>
      </w:pPr>
    </w:p>
    <w:p w:rsidR="007F5097" w:rsidRPr="00C62015" w:rsidRDefault="007F5097" w:rsidP="007F5097">
      <w:pPr>
        <w:rPr>
          <w:b/>
          <w:sz w:val="24"/>
        </w:rPr>
      </w:pPr>
      <w:r w:rsidRPr="00C62015">
        <w:rPr>
          <w:b/>
          <w:sz w:val="24"/>
        </w:rPr>
        <w:t>Assignment Number:</w:t>
      </w:r>
      <w:r w:rsidRPr="00C62015">
        <w:rPr>
          <w:b/>
          <w:sz w:val="24"/>
        </w:rPr>
        <w:tab/>
      </w:r>
      <w:r w:rsidRPr="00C62015">
        <w:rPr>
          <w:b/>
          <w:sz w:val="24"/>
        </w:rPr>
        <w:tab/>
      </w:r>
      <w:r w:rsidRPr="007F5097">
        <w:rPr>
          <w:b/>
          <w:sz w:val="44"/>
        </w:rPr>
        <w:t>1</w:t>
      </w:r>
      <w:r w:rsidRPr="00C62015">
        <w:rPr>
          <w:b/>
          <w:sz w:val="24"/>
        </w:rPr>
        <w:tab/>
      </w:r>
      <w:r w:rsidRPr="007F5097">
        <w:rPr>
          <w:b/>
          <w:strike/>
          <w:sz w:val="24"/>
        </w:rPr>
        <w:t>2</w:t>
      </w:r>
      <w:r w:rsidRPr="007F5097">
        <w:rPr>
          <w:b/>
          <w:strike/>
          <w:sz w:val="24"/>
        </w:rPr>
        <w:tab/>
        <w:t>3</w:t>
      </w:r>
      <w:r w:rsidRPr="007F5097">
        <w:rPr>
          <w:b/>
          <w:strike/>
          <w:sz w:val="24"/>
        </w:rPr>
        <w:tab/>
        <w:t>4</w:t>
      </w:r>
    </w:p>
    <w:p w:rsidR="007F5097" w:rsidRPr="00C62015" w:rsidRDefault="007F5097" w:rsidP="007F5097">
      <w:pPr>
        <w:rPr>
          <w:b/>
          <w:sz w:val="24"/>
        </w:rPr>
      </w:pPr>
    </w:p>
    <w:p w:rsidR="007F5097" w:rsidRPr="00C62015" w:rsidRDefault="007F5097" w:rsidP="007F5097">
      <w:pPr>
        <w:rPr>
          <w:b/>
          <w:sz w:val="24"/>
        </w:rPr>
      </w:pPr>
      <w:r w:rsidRPr="00C62015">
        <w:rPr>
          <w:b/>
          <w:sz w:val="24"/>
        </w:rPr>
        <w:t>Tutor: Miriam Norton</w:t>
      </w:r>
    </w:p>
    <w:p w:rsidR="007F5097" w:rsidRDefault="007F5097" w:rsidP="00293451">
      <w:pPr>
        <w:jc w:val="center"/>
        <w:rPr>
          <w:b/>
          <w:sz w:val="28"/>
          <w:u w:val="single"/>
        </w:rPr>
      </w:pPr>
    </w:p>
    <w:p w:rsidR="007F5097" w:rsidRDefault="007F5097">
      <w:pPr>
        <w:rPr>
          <w:b/>
          <w:sz w:val="28"/>
          <w:u w:val="single"/>
        </w:rPr>
      </w:pPr>
      <w:r>
        <w:rPr>
          <w:b/>
          <w:sz w:val="28"/>
          <w:u w:val="single"/>
        </w:rPr>
        <w:br w:type="page"/>
      </w:r>
    </w:p>
    <w:p w:rsidR="00DE25E8" w:rsidRPr="00293451" w:rsidRDefault="00293451" w:rsidP="00293451">
      <w:pPr>
        <w:jc w:val="center"/>
        <w:rPr>
          <w:b/>
          <w:sz w:val="28"/>
          <w:u w:val="single"/>
        </w:rPr>
      </w:pPr>
      <w:r w:rsidRPr="00293451">
        <w:rPr>
          <w:b/>
          <w:sz w:val="28"/>
          <w:u w:val="single"/>
        </w:rPr>
        <w:lastRenderedPageBreak/>
        <w:t>A Report on Educational Disadvantage in Wales with Specific Reference</w:t>
      </w:r>
      <w:r w:rsidR="007C167A">
        <w:rPr>
          <w:b/>
          <w:sz w:val="28"/>
          <w:u w:val="single"/>
        </w:rPr>
        <w:t xml:space="preserve"> and Recommendations</w:t>
      </w:r>
      <w:r w:rsidRPr="00293451">
        <w:rPr>
          <w:b/>
          <w:sz w:val="28"/>
          <w:u w:val="single"/>
        </w:rPr>
        <w:t xml:space="preserve"> to Closing the </w:t>
      </w:r>
      <w:r w:rsidR="007536C3">
        <w:rPr>
          <w:b/>
          <w:sz w:val="28"/>
          <w:u w:val="single"/>
        </w:rPr>
        <w:t xml:space="preserve">Educational </w:t>
      </w:r>
      <w:r w:rsidRPr="00293451">
        <w:rPr>
          <w:b/>
          <w:sz w:val="28"/>
          <w:u w:val="single"/>
        </w:rPr>
        <w:t>Attainment Gap</w:t>
      </w:r>
      <w:r w:rsidR="007C167A">
        <w:rPr>
          <w:b/>
          <w:sz w:val="28"/>
          <w:u w:val="single"/>
        </w:rPr>
        <w:t xml:space="preserve"> within School X</w:t>
      </w:r>
      <w:r w:rsidRPr="00293451">
        <w:rPr>
          <w:b/>
          <w:sz w:val="28"/>
          <w:u w:val="single"/>
        </w:rPr>
        <w:t>.</w:t>
      </w:r>
    </w:p>
    <w:p w:rsidR="00DE25E8" w:rsidRDefault="00DE25E8"/>
    <w:p w:rsidR="00DE25E8" w:rsidRDefault="00DE25E8" w:rsidP="007C167A">
      <w:pPr>
        <w:jc w:val="center"/>
      </w:pPr>
      <w:bookmarkStart w:id="0" w:name="_GoBack"/>
      <w:bookmarkEnd w:id="0"/>
      <w:r>
        <w:t>Daniel Herbert</w:t>
      </w:r>
    </w:p>
    <w:p w:rsidR="00DE25E8" w:rsidRDefault="00DE25E8"/>
    <w:p w:rsidR="00DE25E8" w:rsidRDefault="00DE25E8">
      <w:r>
        <w:t>Submitted in partial fulfilment of the requirement of the MA Education course</w:t>
      </w:r>
    </w:p>
    <w:p w:rsidR="00DE25E8" w:rsidRDefault="00DE25E8"/>
    <w:p w:rsidR="00DE25E8" w:rsidRDefault="00DE25E8">
      <w:r>
        <w:t>07/04/18</w:t>
      </w:r>
    </w:p>
    <w:p w:rsidR="00DE25E8" w:rsidRDefault="00DE25E8"/>
    <w:p w:rsidR="00DE25E8" w:rsidRPr="006B734F" w:rsidRDefault="00DE25E8">
      <w:pPr>
        <w:rPr>
          <w:b/>
          <w:sz w:val="28"/>
          <w:szCs w:val="28"/>
        </w:rPr>
      </w:pPr>
      <w:r w:rsidRPr="006B734F">
        <w:rPr>
          <w:b/>
          <w:sz w:val="28"/>
          <w:szCs w:val="28"/>
        </w:rPr>
        <w:t>Acknowledgements</w:t>
      </w:r>
    </w:p>
    <w:p w:rsidR="006B734F" w:rsidRDefault="006B734F">
      <w:r>
        <w:t>I would like to than</w:t>
      </w:r>
      <w:r w:rsidR="00FD4CCC">
        <w:t>k</w:t>
      </w:r>
      <w:r>
        <w:t xml:space="preserve"> Miriam Norton, UWTSD, for the valuable support and advice she has given me in the preparation of this report. I would also like to the Senior and Middle Leadership Teams of School X who have taken the time to be part of the investigation this report has conducted. I would also like to thank those who have supported me in the preparation of this report, through carrying </w:t>
      </w:r>
      <w:r w:rsidR="00FD4CCC">
        <w:t>out investigations or suggesting</w:t>
      </w:r>
      <w:r>
        <w:t xml:space="preserve"> lines of enquiry. Thank you.</w:t>
      </w:r>
    </w:p>
    <w:p w:rsidR="00DE25E8" w:rsidRDefault="00DE25E8">
      <w:pPr>
        <w:rPr>
          <w:b/>
          <w:sz w:val="28"/>
          <w:szCs w:val="28"/>
        </w:rPr>
      </w:pPr>
      <w:r w:rsidRPr="006B734F">
        <w:rPr>
          <w:b/>
          <w:sz w:val="28"/>
          <w:szCs w:val="28"/>
        </w:rPr>
        <w:t>Abstract</w:t>
      </w:r>
    </w:p>
    <w:p w:rsidR="00925161" w:rsidRDefault="00925161" w:rsidP="00D27703">
      <w:pPr>
        <w:jc w:val="both"/>
      </w:pPr>
      <w:r>
        <w:t>This report aims to critically analyse how a case study school, School X, is attempting to close the educational attainment gap for those at the school who are deemed ‘educationally disadvantaged.</w:t>
      </w:r>
      <w:r w:rsidR="004A1438">
        <w:t xml:space="preserve"> School X is unique in Wales as it contains a high level of N2E and Roma learners.</w:t>
      </w:r>
      <w:r>
        <w:t xml:space="preserve"> This report has used an analytical methodology to explore the current debates in Wales surrounding educational disadvantage. Through a review of contemporary literature, this report has concluded that that there is no ‘quick fix’ or ‘magic bullet’ that can solve this national issue.</w:t>
      </w:r>
      <w:r w:rsidR="004A1438">
        <w:t xml:space="preserve"> In Wales, there is currently an attainment gap between learners who are e-FSM and n-FSM. </w:t>
      </w:r>
      <w:r>
        <w:t xml:space="preserve"> </w:t>
      </w:r>
      <w:r w:rsidR="004A1438">
        <w:t>Using the methodology of interviews and document analysis, this report had reached finding on how School X, with its unique cohort, has deployed resources through its PDG funding associated with its high level of e-FSM learners. However, it has been noted that the e-FSM indicator is not a one-size fits all solution to measuring educational disadvantage. On a case by case basis, this report has used current educational research and best practice to create recommendations on how School X may consider reviewing the impact of its resource deployment. This report has taken into consideration the financial constrains that school in Wales currently face.</w:t>
      </w:r>
    </w:p>
    <w:p w:rsidR="00D27703" w:rsidRDefault="00D27703" w:rsidP="00D27703">
      <w:pPr>
        <w:jc w:val="both"/>
      </w:pPr>
    </w:p>
    <w:p w:rsidR="00D27703" w:rsidRDefault="00D27703" w:rsidP="00D27703">
      <w:pPr>
        <w:jc w:val="both"/>
      </w:pPr>
      <w:r>
        <w:t>Key words:</w:t>
      </w:r>
    </w:p>
    <w:p w:rsidR="00D27703" w:rsidRPr="00925161" w:rsidRDefault="00D27703" w:rsidP="00D27703">
      <w:pPr>
        <w:jc w:val="both"/>
      </w:pPr>
      <w:r>
        <w:t>PDG; FSM; educational disadvantage; closing the gap; Roma; attainment gap; EAL; N2E; attainment</w:t>
      </w:r>
    </w:p>
    <w:p w:rsidR="004D1412" w:rsidRDefault="004D1412">
      <w:pPr>
        <w:rPr>
          <w:b/>
          <w:sz w:val="28"/>
          <w:szCs w:val="28"/>
        </w:rPr>
      </w:pPr>
    </w:p>
    <w:p w:rsidR="00BC5735" w:rsidRPr="006B734F" w:rsidRDefault="00BC5735">
      <w:pPr>
        <w:rPr>
          <w:b/>
          <w:sz w:val="28"/>
          <w:szCs w:val="28"/>
        </w:rPr>
      </w:pPr>
    </w:p>
    <w:p w:rsidR="004A7D1D" w:rsidRPr="006B734F" w:rsidRDefault="006B734F">
      <w:pPr>
        <w:rPr>
          <w:b/>
          <w:sz w:val="28"/>
          <w:szCs w:val="28"/>
        </w:rPr>
      </w:pPr>
      <w:r>
        <w:rPr>
          <w:b/>
          <w:sz w:val="28"/>
          <w:szCs w:val="28"/>
        </w:rPr>
        <w:lastRenderedPageBreak/>
        <w:t>Contents</w:t>
      </w:r>
    </w:p>
    <w:tbl>
      <w:tblPr>
        <w:tblStyle w:val="PlainTable2"/>
        <w:tblW w:w="0" w:type="auto"/>
        <w:tblLook w:val="04A0" w:firstRow="1" w:lastRow="0" w:firstColumn="1" w:lastColumn="0" w:noHBand="0" w:noVBand="1"/>
      </w:tblPr>
      <w:tblGrid>
        <w:gridCol w:w="2972"/>
        <w:gridCol w:w="709"/>
      </w:tblGrid>
      <w:tr w:rsidR="004A7D1D" w:rsidTr="001D64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Borders>
              <w:top w:val="nil"/>
              <w:bottom w:val="nil"/>
            </w:tcBorders>
          </w:tcPr>
          <w:p w:rsidR="004A7D1D" w:rsidRPr="004A7D1D" w:rsidRDefault="004A7D1D">
            <w:pPr>
              <w:rPr>
                <w:b w:val="0"/>
              </w:rPr>
            </w:pPr>
            <w:r w:rsidRPr="004A7D1D">
              <w:t>Introduction</w:t>
            </w:r>
          </w:p>
        </w:tc>
        <w:tc>
          <w:tcPr>
            <w:tcW w:w="709" w:type="dxa"/>
            <w:tcBorders>
              <w:top w:val="nil"/>
              <w:bottom w:val="nil"/>
            </w:tcBorders>
          </w:tcPr>
          <w:p w:rsidR="004A7D1D" w:rsidRDefault="004A7D1D">
            <w:pPr>
              <w:cnfStyle w:val="100000000000" w:firstRow="1" w:lastRow="0" w:firstColumn="0" w:lastColumn="0" w:oddVBand="0" w:evenVBand="0" w:oddHBand="0" w:evenHBand="0" w:firstRowFirstColumn="0" w:firstRowLastColumn="0" w:lastRowFirstColumn="0" w:lastRowLastColumn="0"/>
            </w:pPr>
          </w:p>
        </w:tc>
      </w:tr>
      <w:tr w:rsidR="004A7D1D" w:rsidTr="001D64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Borders>
              <w:top w:val="nil"/>
            </w:tcBorders>
          </w:tcPr>
          <w:p w:rsidR="004A7D1D" w:rsidRDefault="004A7D1D">
            <w:r>
              <w:t xml:space="preserve">    </w:t>
            </w:r>
            <w:r w:rsidRPr="001D6450">
              <w:rPr>
                <w:sz w:val="20"/>
              </w:rPr>
              <w:t>School X Profile and Context</w:t>
            </w:r>
          </w:p>
          <w:p w:rsidR="004A7D1D" w:rsidRDefault="004A7D1D"/>
        </w:tc>
        <w:tc>
          <w:tcPr>
            <w:tcW w:w="709" w:type="dxa"/>
            <w:tcBorders>
              <w:top w:val="nil"/>
            </w:tcBorders>
          </w:tcPr>
          <w:p w:rsidR="004A7D1D" w:rsidRDefault="004A7D1D">
            <w:pPr>
              <w:cnfStyle w:val="000000100000" w:firstRow="0" w:lastRow="0" w:firstColumn="0" w:lastColumn="0" w:oddVBand="0" w:evenVBand="0" w:oddHBand="1" w:evenHBand="0" w:firstRowFirstColumn="0" w:firstRowLastColumn="0" w:lastRowFirstColumn="0" w:lastRowLastColumn="0"/>
            </w:pPr>
          </w:p>
        </w:tc>
      </w:tr>
      <w:tr w:rsidR="004A7D1D" w:rsidTr="001D6450">
        <w:tc>
          <w:tcPr>
            <w:cnfStyle w:val="001000000000" w:firstRow="0" w:lastRow="0" w:firstColumn="1" w:lastColumn="0" w:oddVBand="0" w:evenVBand="0" w:oddHBand="0" w:evenHBand="0" w:firstRowFirstColumn="0" w:firstRowLastColumn="0" w:lastRowFirstColumn="0" w:lastRowLastColumn="0"/>
            <w:tcW w:w="2972" w:type="dxa"/>
          </w:tcPr>
          <w:p w:rsidR="004A7D1D" w:rsidRDefault="004A7D1D">
            <w:pPr>
              <w:rPr>
                <w:b w:val="0"/>
              </w:rPr>
            </w:pPr>
            <w:r w:rsidRPr="004A7D1D">
              <w:t>Literature Review</w:t>
            </w:r>
          </w:p>
          <w:p w:rsidR="004A7D1D" w:rsidRPr="004A7D1D" w:rsidRDefault="004A7D1D">
            <w:pPr>
              <w:rPr>
                <w:b w:val="0"/>
              </w:rPr>
            </w:pPr>
          </w:p>
        </w:tc>
        <w:tc>
          <w:tcPr>
            <w:tcW w:w="709" w:type="dxa"/>
          </w:tcPr>
          <w:p w:rsidR="004A7D1D" w:rsidRDefault="004A7D1D">
            <w:pPr>
              <w:cnfStyle w:val="000000000000" w:firstRow="0" w:lastRow="0" w:firstColumn="0" w:lastColumn="0" w:oddVBand="0" w:evenVBand="0" w:oddHBand="0" w:evenHBand="0" w:firstRowFirstColumn="0" w:firstRowLastColumn="0" w:lastRowFirstColumn="0" w:lastRowLastColumn="0"/>
            </w:pPr>
          </w:p>
        </w:tc>
      </w:tr>
      <w:tr w:rsidR="004A7D1D" w:rsidTr="001D64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rsidR="004A7D1D" w:rsidRDefault="004A7D1D">
            <w:pPr>
              <w:rPr>
                <w:b w:val="0"/>
              </w:rPr>
            </w:pPr>
            <w:r w:rsidRPr="004A7D1D">
              <w:t>Methodology</w:t>
            </w:r>
          </w:p>
          <w:p w:rsidR="004A7D1D" w:rsidRPr="004A7D1D" w:rsidRDefault="004A7D1D">
            <w:pPr>
              <w:rPr>
                <w:b w:val="0"/>
              </w:rPr>
            </w:pPr>
          </w:p>
        </w:tc>
        <w:tc>
          <w:tcPr>
            <w:tcW w:w="709" w:type="dxa"/>
          </w:tcPr>
          <w:p w:rsidR="004A7D1D" w:rsidRDefault="004A7D1D">
            <w:pPr>
              <w:cnfStyle w:val="000000100000" w:firstRow="0" w:lastRow="0" w:firstColumn="0" w:lastColumn="0" w:oddVBand="0" w:evenVBand="0" w:oddHBand="1" w:evenHBand="0" w:firstRowFirstColumn="0" w:firstRowLastColumn="0" w:lastRowFirstColumn="0" w:lastRowLastColumn="0"/>
            </w:pPr>
          </w:p>
        </w:tc>
      </w:tr>
      <w:tr w:rsidR="004A7D1D" w:rsidTr="001D6450">
        <w:tc>
          <w:tcPr>
            <w:cnfStyle w:val="001000000000" w:firstRow="0" w:lastRow="0" w:firstColumn="1" w:lastColumn="0" w:oddVBand="0" w:evenVBand="0" w:oddHBand="0" w:evenHBand="0" w:firstRowFirstColumn="0" w:firstRowLastColumn="0" w:lastRowFirstColumn="0" w:lastRowLastColumn="0"/>
            <w:tcW w:w="2972" w:type="dxa"/>
          </w:tcPr>
          <w:p w:rsidR="004A7D1D" w:rsidRDefault="004A7D1D">
            <w:pPr>
              <w:rPr>
                <w:b w:val="0"/>
              </w:rPr>
            </w:pPr>
            <w:r w:rsidRPr="004A7D1D">
              <w:t>Findings</w:t>
            </w:r>
          </w:p>
          <w:p w:rsidR="004A7D1D" w:rsidRPr="004A7D1D" w:rsidRDefault="004A7D1D">
            <w:pPr>
              <w:rPr>
                <w:b w:val="0"/>
              </w:rPr>
            </w:pPr>
          </w:p>
        </w:tc>
        <w:tc>
          <w:tcPr>
            <w:tcW w:w="709" w:type="dxa"/>
          </w:tcPr>
          <w:p w:rsidR="004A7D1D" w:rsidRDefault="004A7D1D">
            <w:pPr>
              <w:cnfStyle w:val="000000000000" w:firstRow="0" w:lastRow="0" w:firstColumn="0" w:lastColumn="0" w:oddVBand="0" w:evenVBand="0" w:oddHBand="0" w:evenHBand="0" w:firstRowFirstColumn="0" w:firstRowLastColumn="0" w:lastRowFirstColumn="0" w:lastRowLastColumn="0"/>
            </w:pPr>
          </w:p>
        </w:tc>
      </w:tr>
      <w:tr w:rsidR="004A7D1D" w:rsidTr="001D64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rsidR="004A7D1D" w:rsidRDefault="004A7D1D">
            <w:pPr>
              <w:rPr>
                <w:b w:val="0"/>
              </w:rPr>
            </w:pPr>
            <w:r w:rsidRPr="004A7D1D">
              <w:t>Conclusion</w:t>
            </w:r>
          </w:p>
          <w:p w:rsidR="004A7D1D" w:rsidRPr="004A7D1D" w:rsidRDefault="004A7D1D">
            <w:pPr>
              <w:rPr>
                <w:b w:val="0"/>
              </w:rPr>
            </w:pPr>
          </w:p>
        </w:tc>
        <w:tc>
          <w:tcPr>
            <w:tcW w:w="709" w:type="dxa"/>
          </w:tcPr>
          <w:p w:rsidR="004A7D1D" w:rsidRDefault="004A7D1D">
            <w:pPr>
              <w:cnfStyle w:val="000000100000" w:firstRow="0" w:lastRow="0" w:firstColumn="0" w:lastColumn="0" w:oddVBand="0" w:evenVBand="0" w:oddHBand="1" w:evenHBand="0" w:firstRowFirstColumn="0" w:firstRowLastColumn="0" w:lastRowFirstColumn="0" w:lastRowLastColumn="0"/>
            </w:pPr>
          </w:p>
        </w:tc>
      </w:tr>
      <w:tr w:rsidR="004A7D1D" w:rsidTr="001D6450">
        <w:tc>
          <w:tcPr>
            <w:cnfStyle w:val="001000000000" w:firstRow="0" w:lastRow="0" w:firstColumn="1" w:lastColumn="0" w:oddVBand="0" w:evenVBand="0" w:oddHBand="0" w:evenHBand="0" w:firstRowFirstColumn="0" w:firstRowLastColumn="0" w:lastRowFirstColumn="0" w:lastRowLastColumn="0"/>
            <w:tcW w:w="2972" w:type="dxa"/>
          </w:tcPr>
          <w:p w:rsidR="004A7D1D" w:rsidRDefault="004A7D1D">
            <w:pPr>
              <w:rPr>
                <w:b w:val="0"/>
              </w:rPr>
            </w:pPr>
            <w:r w:rsidRPr="004A7D1D">
              <w:t>Recommendations</w:t>
            </w:r>
          </w:p>
          <w:p w:rsidR="004A7D1D" w:rsidRPr="004A7D1D" w:rsidRDefault="004A7D1D">
            <w:pPr>
              <w:rPr>
                <w:b w:val="0"/>
              </w:rPr>
            </w:pPr>
          </w:p>
        </w:tc>
        <w:tc>
          <w:tcPr>
            <w:tcW w:w="709" w:type="dxa"/>
          </w:tcPr>
          <w:p w:rsidR="004A7D1D" w:rsidRDefault="004A7D1D">
            <w:pPr>
              <w:cnfStyle w:val="000000000000" w:firstRow="0" w:lastRow="0" w:firstColumn="0" w:lastColumn="0" w:oddVBand="0" w:evenVBand="0" w:oddHBand="0" w:evenHBand="0" w:firstRowFirstColumn="0" w:firstRowLastColumn="0" w:lastRowFirstColumn="0" w:lastRowLastColumn="0"/>
            </w:pPr>
          </w:p>
        </w:tc>
      </w:tr>
      <w:tr w:rsidR="006B734F" w:rsidTr="001D64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rsidR="006B734F" w:rsidRPr="00FD4CCC" w:rsidRDefault="006B734F">
            <w:r w:rsidRPr="00FD4CCC">
              <w:t xml:space="preserve">Appendices </w:t>
            </w:r>
          </w:p>
          <w:p w:rsidR="006B734F" w:rsidRPr="004A7D1D" w:rsidRDefault="006B734F">
            <w:pPr>
              <w:rPr>
                <w:b w:val="0"/>
              </w:rPr>
            </w:pPr>
          </w:p>
        </w:tc>
        <w:tc>
          <w:tcPr>
            <w:tcW w:w="709" w:type="dxa"/>
          </w:tcPr>
          <w:p w:rsidR="006B734F" w:rsidRDefault="006B734F">
            <w:pPr>
              <w:cnfStyle w:val="000000100000" w:firstRow="0" w:lastRow="0" w:firstColumn="0" w:lastColumn="0" w:oddVBand="0" w:evenVBand="0" w:oddHBand="1" w:evenHBand="0" w:firstRowFirstColumn="0" w:firstRowLastColumn="0" w:lastRowFirstColumn="0" w:lastRowLastColumn="0"/>
            </w:pPr>
          </w:p>
        </w:tc>
      </w:tr>
      <w:tr w:rsidR="004A7D1D" w:rsidTr="001D6450">
        <w:tc>
          <w:tcPr>
            <w:cnfStyle w:val="001000000000" w:firstRow="0" w:lastRow="0" w:firstColumn="1" w:lastColumn="0" w:oddVBand="0" w:evenVBand="0" w:oddHBand="0" w:evenHBand="0" w:firstRowFirstColumn="0" w:firstRowLastColumn="0" w:lastRowFirstColumn="0" w:lastRowLastColumn="0"/>
            <w:tcW w:w="2972" w:type="dxa"/>
          </w:tcPr>
          <w:p w:rsidR="004A7D1D" w:rsidRDefault="004A7D1D">
            <w:pPr>
              <w:rPr>
                <w:b w:val="0"/>
              </w:rPr>
            </w:pPr>
            <w:r w:rsidRPr="004A7D1D">
              <w:t>Bibliography</w:t>
            </w:r>
          </w:p>
          <w:p w:rsidR="004A7D1D" w:rsidRPr="004A7D1D" w:rsidRDefault="004A7D1D">
            <w:pPr>
              <w:rPr>
                <w:b w:val="0"/>
              </w:rPr>
            </w:pPr>
          </w:p>
        </w:tc>
        <w:tc>
          <w:tcPr>
            <w:tcW w:w="709" w:type="dxa"/>
          </w:tcPr>
          <w:p w:rsidR="004A7D1D" w:rsidRDefault="004A7D1D">
            <w:pPr>
              <w:cnfStyle w:val="000000000000" w:firstRow="0" w:lastRow="0" w:firstColumn="0" w:lastColumn="0" w:oddVBand="0" w:evenVBand="0" w:oddHBand="0" w:evenHBand="0" w:firstRowFirstColumn="0" w:firstRowLastColumn="0" w:lastRowFirstColumn="0" w:lastRowLastColumn="0"/>
            </w:pPr>
          </w:p>
        </w:tc>
      </w:tr>
    </w:tbl>
    <w:p w:rsidR="006B734F" w:rsidRDefault="006B734F"/>
    <w:p w:rsidR="004A7D1D" w:rsidRPr="006B734F" w:rsidRDefault="00925161">
      <w:pPr>
        <w:rPr>
          <w:b/>
        </w:rPr>
      </w:pPr>
      <w:r>
        <w:rPr>
          <w:b/>
        </w:rPr>
        <w:t>Word Count 5,915</w:t>
      </w:r>
      <w:r w:rsidR="004A7D1D" w:rsidRPr="006B734F">
        <w:rPr>
          <w:b/>
        </w:rPr>
        <w:br w:type="page"/>
      </w:r>
    </w:p>
    <w:p w:rsidR="00275862" w:rsidRPr="00723E69" w:rsidRDefault="00DE25E8">
      <w:pPr>
        <w:rPr>
          <w:b/>
          <w:sz w:val="28"/>
          <w:szCs w:val="28"/>
        </w:rPr>
      </w:pPr>
      <w:r w:rsidRPr="00723E69">
        <w:rPr>
          <w:b/>
          <w:sz w:val="28"/>
          <w:szCs w:val="28"/>
        </w:rPr>
        <w:lastRenderedPageBreak/>
        <w:t>Introduction</w:t>
      </w:r>
    </w:p>
    <w:p w:rsidR="00275862" w:rsidRDefault="00275862" w:rsidP="00723E69">
      <w:pPr>
        <w:jc w:val="both"/>
      </w:pPr>
      <w:r>
        <w:t xml:space="preserve">This report aims to critically examine and engage </w:t>
      </w:r>
      <w:r w:rsidR="00FD4CCC">
        <w:t xml:space="preserve">with </w:t>
      </w:r>
      <w:r>
        <w:t>the current evidence and debates relating to so</w:t>
      </w:r>
      <w:r w:rsidR="00723E69">
        <w:t>c</w:t>
      </w:r>
      <w:r>
        <w:t>io-economic disadvantage in Wales and its impact on educational achievement. During the course of this report, an examination of the current evidence and literature will develop an understanding of educational disadvantage nationally in Wales; however, it will also critically draw upon evidence of how poverty, socio-economic and cultural issues effect students experiences. This report will aim to draw upon the current literature and research whilst also pa</w:t>
      </w:r>
      <w:r w:rsidR="00FD4CCC">
        <w:t>i</w:t>
      </w:r>
      <w:r>
        <w:t>ring this with the reflective practice of its author. To do this, this report will examine how a specific school is tackling educational disadvantage with an aim to close the educational attainment gap. For the purposes of this report</w:t>
      </w:r>
      <w:r w:rsidR="00FD4CCC">
        <w:t>,</w:t>
      </w:r>
      <w:r>
        <w:t xml:space="preserve"> and to protect the identity of the school, the school (and all those interviewed for this report) will remain anonymous and will be identif</w:t>
      </w:r>
      <w:r w:rsidR="00FD4CCC">
        <w:t>ied by pseudonyms; the school in</w:t>
      </w:r>
      <w:r>
        <w:t xml:space="preserve"> question shall be known as School X</w:t>
      </w:r>
      <w:r w:rsidR="00843447">
        <w:t xml:space="preserve"> in line with BERA guidelines </w:t>
      </w:r>
      <w:sdt>
        <w:sdtPr>
          <w:id w:val="464086273"/>
          <w:citation/>
        </w:sdtPr>
        <w:sdtEndPr/>
        <w:sdtContent>
          <w:r w:rsidR="00843447">
            <w:fldChar w:fldCharType="begin"/>
          </w:r>
          <w:r w:rsidR="00843447">
            <w:instrText xml:space="preserve"> CITATION Bri11 \l 2057 </w:instrText>
          </w:r>
          <w:r w:rsidR="00843447">
            <w:fldChar w:fldCharType="separate"/>
          </w:r>
          <w:r w:rsidR="000C3EEC">
            <w:rPr>
              <w:noProof/>
            </w:rPr>
            <w:t>(British Educational Research Association BERA, 2011)</w:t>
          </w:r>
          <w:r w:rsidR="00843447">
            <w:fldChar w:fldCharType="end"/>
          </w:r>
        </w:sdtContent>
      </w:sdt>
      <w:r>
        <w:t>.</w:t>
      </w:r>
    </w:p>
    <w:p w:rsidR="00275862" w:rsidRDefault="00275862" w:rsidP="00723E69">
      <w:pPr>
        <w:jc w:val="both"/>
      </w:pPr>
    </w:p>
    <w:p w:rsidR="00275862" w:rsidRDefault="00275862" w:rsidP="00723E69">
      <w:pPr>
        <w:jc w:val="both"/>
      </w:pPr>
      <w:r>
        <w:t>This report will outline the current debates, as relevant to the context of school X, surrounding educational disadvantage in Wales. It will then go on to examine the strategies School X is using to ov</w:t>
      </w:r>
      <w:r w:rsidR="00723E69">
        <w:t>ercome educational disadvantage whilst critically analysing the impact of these strategies and interventions. Finally, this report will give recommendations for School X to consider to enable them in the</w:t>
      </w:r>
      <w:r w:rsidR="00FD4CCC">
        <w:t>ir</w:t>
      </w:r>
      <w:r w:rsidR="00723E69">
        <w:t xml:space="preserve"> journey on closing the gap in attainment. </w:t>
      </w:r>
      <w:r>
        <w:t xml:space="preserve">   </w:t>
      </w:r>
    </w:p>
    <w:p w:rsidR="00723E69" w:rsidRDefault="00723E69" w:rsidP="00723E69">
      <w:pPr>
        <w:jc w:val="both"/>
      </w:pPr>
    </w:p>
    <w:p w:rsidR="008E4464" w:rsidRDefault="008E4464" w:rsidP="00723E69">
      <w:pPr>
        <w:jc w:val="both"/>
        <w:rPr>
          <w:b/>
          <w:sz w:val="24"/>
        </w:rPr>
      </w:pPr>
      <w:r w:rsidRPr="008E4464">
        <w:rPr>
          <w:b/>
          <w:sz w:val="24"/>
        </w:rPr>
        <w:t>School Context</w:t>
      </w:r>
    </w:p>
    <w:p w:rsidR="008E4464" w:rsidRDefault="008E4464" w:rsidP="00723E69">
      <w:pPr>
        <w:jc w:val="both"/>
      </w:pPr>
      <w:r>
        <w:t>School X is located in south east Wales in the county of Newport. It is a</w:t>
      </w:r>
      <w:r w:rsidR="006855A7">
        <w:t>n</w:t>
      </w:r>
      <w:r>
        <w:t xml:space="preserve"> 11-18 co-educational comprehensive school serving an area of Newport with high levels of socio-economic deprivation. As of 2018, the school has a Free School Meals population of just over 30%; this is substantially</w:t>
      </w:r>
      <w:r w:rsidR="006855A7">
        <w:t xml:space="preserve"> higher than </w:t>
      </w:r>
      <w:proofErr w:type="gramStart"/>
      <w:r w:rsidR="006855A7">
        <w:t xml:space="preserve">the </w:t>
      </w:r>
      <w:r>
        <w:t>welsh</w:t>
      </w:r>
      <w:proofErr w:type="gramEnd"/>
      <w:r>
        <w:t xml:space="preserve"> national average. Many of the current learners are children of those who have previously attended the school. </w:t>
      </w:r>
      <w:r w:rsidR="009271C3">
        <w:t>The school has a tight knit community, in the sense that it is seen as the natural choice of school for those who live in the community or had parents attend the school. The school is currently undersubscribed and due to educational funding arrangements, share</w:t>
      </w:r>
      <w:r w:rsidR="00FD4CCC">
        <w:t>s</w:t>
      </w:r>
      <w:r w:rsidR="009271C3">
        <w:t xml:space="preserve"> some of its sixth form facilities and courses with other Newport providers. The school is unique, not only in Wales, but within the UK, for its cohort. Within School X’s cluster o</w:t>
      </w:r>
      <w:r w:rsidR="00FD4CCC">
        <w:t>f schools, 28% of all pupils have</w:t>
      </w:r>
      <w:r w:rsidR="009271C3">
        <w:t xml:space="preserve"> English as an additional language WAG stage</w:t>
      </w:r>
      <w:r w:rsidR="00FD4CCC">
        <w:t>s</w:t>
      </w:r>
      <w:r w:rsidR="009271C3">
        <w:t xml:space="preserve"> A and B. This shows the high level of learners who are considered very new to English and this brings the school challenges. What makes School X so different is the proportion of these learners who are of Roma heritage. This brings the school the unique challenge of a transient role. During the 2016-17 academic year, the school experienced a pupil mobility rate of 17%. Having a pupil mobility rate affects how the school receives funding and allocates resources as the makeup of the cohort will not be the same as reported in the previous January in the Pupil Level Annual School Census (PLASC).</w:t>
      </w:r>
    </w:p>
    <w:p w:rsidR="00E016BD" w:rsidRDefault="00E016BD" w:rsidP="00723E69">
      <w:pPr>
        <w:jc w:val="both"/>
      </w:pPr>
    </w:p>
    <w:p w:rsidR="00E016BD" w:rsidRPr="008E4464" w:rsidRDefault="00E016BD" w:rsidP="00723E69">
      <w:pPr>
        <w:jc w:val="both"/>
      </w:pPr>
      <w:r>
        <w:t xml:space="preserve">Within the context of this report, it is very important to understand what makes the definition of educational disadvantage. In Wales, it is very common to understand the terms of educational disadvantage as being on par, if the not the same, as those learners who are entitled to FSM. However, within the context of this report, </w:t>
      </w:r>
      <w:r w:rsidR="0081574C">
        <w:t xml:space="preserve">it should be noted that the term ‘educationally disadvantaged’ will take on a broader term than those who are deemed to be disadvantaged ion the education system because of their socio-economic background. Because of the uniqueness of the School X, the subject </w:t>
      </w:r>
      <w:r w:rsidR="0081574C">
        <w:lastRenderedPageBreak/>
        <w:t xml:space="preserve">of this report, the term ‘educationally disadvantaged’ will take on the definition of any learner who is at risk of not fulfilling their full potential because of socio-economic, cultural or language barriers which prevent access to the curriculum. </w:t>
      </w:r>
      <w:r w:rsidR="009E0E7C">
        <w:t>This will include, but not be limited to, those learners who are e-FSM, of Roma heritage and those who are New to English.</w:t>
      </w:r>
    </w:p>
    <w:p w:rsidR="008E4464" w:rsidRDefault="008E4464" w:rsidP="00723E69">
      <w:pPr>
        <w:jc w:val="both"/>
      </w:pPr>
    </w:p>
    <w:p w:rsidR="00DE25E8" w:rsidRPr="00CC2537" w:rsidRDefault="00DE25E8">
      <w:pPr>
        <w:rPr>
          <w:b/>
          <w:sz w:val="28"/>
        </w:rPr>
      </w:pPr>
      <w:r w:rsidRPr="00CC2537">
        <w:rPr>
          <w:b/>
          <w:sz w:val="28"/>
        </w:rPr>
        <w:t>Literature Review</w:t>
      </w:r>
    </w:p>
    <w:p w:rsidR="00CC2537" w:rsidRDefault="00501E5D" w:rsidP="00CC2537">
      <w:pPr>
        <w:jc w:val="both"/>
      </w:pPr>
      <w:r>
        <w:t>Closing the attainment gap between those learners who come from different socio-economic groups has been, and is currently, a major priority for the Welsh Assembly Government</w:t>
      </w:r>
      <w:sdt>
        <w:sdtPr>
          <w:id w:val="325706629"/>
          <w:citation/>
        </w:sdtPr>
        <w:sdtEndPr/>
        <w:sdtContent>
          <w:r>
            <w:fldChar w:fldCharType="begin"/>
          </w:r>
          <w:r>
            <w:instrText xml:space="preserve"> CITATION BBC17 \l 2057 </w:instrText>
          </w:r>
          <w:r>
            <w:fldChar w:fldCharType="separate"/>
          </w:r>
          <w:r w:rsidR="000C3EEC">
            <w:rPr>
              <w:noProof/>
            </w:rPr>
            <w:t xml:space="preserve"> (BBC News, 2017)</w:t>
          </w:r>
          <w:r>
            <w:fldChar w:fldCharType="end"/>
          </w:r>
        </w:sdtContent>
      </w:sdt>
      <w:r>
        <w:t xml:space="preserve">. Across Wales nationally, those learners who are in receipt </w:t>
      </w:r>
      <w:r w:rsidR="00035B58">
        <w:t>of Free School Meals (</w:t>
      </w:r>
      <w:r>
        <w:t>FSM) have lower rates of attainment at GCSE than their peers who are not in receipt of FSM. There has been wide spread agreement that socio-economic backgrounds and attainment are lin</w:t>
      </w:r>
      <w:r w:rsidR="00FD4CCC">
        <w:t>ked; however, there is still no</w:t>
      </w:r>
      <w:r>
        <w:t xml:space="preserve"> consensus on the explanation as to why. A review of this topic by the Joseph Rowntree Foundation stated that the literature and research surrounding this topic can be broken down into the following areas: the individual (micro level); </w:t>
      </w:r>
      <w:r w:rsidR="00CC2537">
        <w:t xml:space="preserve">the immediate social context, which might be located in the families, communities, schools and peer groups (the </w:t>
      </w:r>
      <w:proofErr w:type="spellStart"/>
      <w:r w:rsidR="00CC2537">
        <w:t>meso</w:t>
      </w:r>
      <w:proofErr w:type="spellEnd"/>
      <w:r w:rsidR="00CC2537">
        <w:t xml:space="preserve"> level); and social structures (the macro level) </w:t>
      </w:r>
      <w:sdt>
        <w:sdtPr>
          <w:id w:val="-781495915"/>
          <w:citation/>
        </w:sdtPr>
        <w:sdtEndPr/>
        <w:sdtContent>
          <w:r w:rsidR="00CC2537">
            <w:fldChar w:fldCharType="begin"/>
          </w:r>
          <w:r w:rsidR="00CC2537">
            <w:instrText xml:space="preserve"> CITATION Joe07 \l 2057 </w:instrText>
          </w:r>
          <w:r w:rsidR="00CC2537">
            <w:fldChar w:fldCharType="separate"/>
          </w:r>
          <w:r w:rsidR="000C3EEC">
            <w:rPr>
              <w:noProof/>
            </w:rPr>
            <w:t>(Joesph Rowntree Foundation, 2007)</w:t>
          </w:r>
          <w:r w:rsidR="00CC2537">
            <w:fldChar w:fldCharType="end"/>
          </w:r>
        </w:sdtContent>
      </w:sdt>
      <w:r w:rsidR="00CC2537">
        <w:t xml:space="preserve">. Although no consensus had been reached amongst teachers, policy makers and educationalist, there is clear agreement that the relationship between poverty and educational attainment is very complex. Because of this, there is an extensive field of literature which focuses on this issue. However, it must be understood that one of the key findings portrayed in most of the research is that there is not </w:t>
      </w:r>
      <w:r w:rsidR="00FD4CCC">
        <w:t xml:space="preserve">a </w:t>
      </w:r>
      <w:r w:rsidR="00CC2537">
        <w:t xml:space="preserve">‘magic bullet’ that can solve this problem. </w:t>
      </w:r>
    </w:p>
    <w:p w:rsidR="00CC2537" w:rsidRDefault="00CC2537" w:rsidP="00CC2537">
      <w:pPr>
        <w:jc w:val="both"/>
      </w:pPr>
    </w:p>
    <w:p w:rsidR="00FB1AE5" w:rsidRDefault="00CC2537" w:rsidP="00CC2537">
      <w:pPr>
        <w:jc w:val="both"/>
      </w:pPr>
      <w:r>
        <w:t>In a report on social inequality in schools, BERA states that schools have a vital role in the process of closing the gap in educational attainment</w:t>
      </w:r>
      <w:sdt>
        <w:sdtPr>
          <w:id w:val="-1295141634"/>
          <w:citation/>
        </w:sdtPr>
        <w:sdtEndPr/>
        <w:sdtContent>
          <w:r>
            <w:fldChar w:fldCharType="begin"/>
          </w:r>
          <w:r>
            <w:instrText xml:space="preserve"> CITATION BER10 \l 2057 </w:instrText>
          </w:r>
          <w:r>
            <w:fldChar w:fldCharType="separate"/>
          </w:r>
          <w:r w:rsidR="000C3EEC">
            <w:rPr>
              <w:noProof/>
            </w:rPr>
            <w:t xml:space="preserve"> (BERA, 2010)</w:t>
          </w:r>
          <w:r>
            <w:fldChar w:fldCharType="end"/>
          </w:r>
        </w:sdtContent>
      </w:sdt>
      <w:r>
        <w:t xml:space="preserve">. However, this must be fulfilled in line with the structures outlined by the </w:t>
      </w:r>
      <w:r w:rsidR="00FD4CCC">
        <w:t>Wales</w:t>
      </w:r>
      <w:r>
        <w:t xml:space="preserve"> Centre for Equity in Education: the school, policy and the home</w:t>
      </w:r>
      <w:sdt>
        <w:sdtPr>
          <w:id w:val="238527089"/>
          <w:citation/>
        </w:sdtPr>
        <w:sdtEndPr/>
        <w:sdtContent>
          <w:r>
            <w:fldChar w:fldCharType="begin"/>
          </w:r>
          <w:r w:rsidR="004F1305">
            <w:instrText xml:space="preserve">CITATION Wel14 \l 2057 </w:instrText>
          </w:r>
          <w:r>
            <w:fldChar w:fldCharType="separate"/>
          </w:r>
          <w:r w:rsidR="000C3EEC">
            <w:rPr>
              <w:noProof/>
            </w:rPr>
            <w:t xml:space="preserve"> (Wales Centre for Equity in Eduation, 2014)</w:t>
          </w:r>
          <w:r>
            <w:fldChar w:fldCharType="end"/>
          </w:r>
        </w:sdtContent>
      </w:sdt>
      <w:r w:rsidR="00035B58">
        <w:t>. Kerr and West, in their report, state that it is a proven fact that children from the poorest and most disadvantaged homes are most likely to attend the lowest performing schools and achieve the poorest academic outcomes</w:t>
      </w:r>
      <w:sdt>
        <w:sdtPr>
          <w:id w:val="253550780"/>
          <w:citation/>
        </w:sdtPr>
        <w:sdtEndPr/>
        <w:sdtContent>
          <w:r w:rsidR="00035B58">
            <w:fldChar w:fldCharType="begin"/>
          </w:r>
          <w:r w:rsidR="00035B58">
            <w:instrText xml:space="preserve"> CITATION BER10 \l 2057 </w:instrText>
          </w:r>
          <w:r w:rsidR="00035B58">
            <w:fldChar w:fldCharType="separate"/>
          </w:r>
          <w:r w:rsidR="000C3EEC">
            <w:rPr>
              <w:noProof/>
            </w:rPr>
            <w:t xml:space="preserve"> (BERA, 2010)</w:t>
          </w:r>
          <w:r w:rsidR="00035B58">
            <w:fldChar w:fldCharType="end"/>
          </w:r>
        </w:sdtContent>
      </w:sdt>
      <w:r w:rsidR="00035B58">
        <w:t xml:space="preserve">. This notion is important for understanding what true educational disadvantage looks like. Within the sphere of education in Wales, the only used indictor for measuring levels of disadvantage in education is the attainment of learners who are eligible to FSM (e-FSM) compared to their peers who are not (n-FSM). Although this is a measurable indictor of levels of disadvantage linked to the socio-economic background of learners, this indictor does have disadvantages. Learners may fall into the category of educational disadvantaged but do not qualify for the (e-FSM) category. For example, there is little attainment data available to reveal links for those learners who are of particular groups of children who are at risk of underachieving in schools. On the </w:t>
      </w:r>
      <w:proofErr w:type="spellStart"/>
      <w:r w:rsidR="00035B58">
        <w:t>meso</w:t>
      </w:r>
      <w:proofErr w:type="spellEnd"/>
      <w:r w:rsidR="00035B58">
        <w:t xml:space="preserve"> level, identified by the JRF, closing the gap for traveller children has often been overlooked as they, on a national level, comprise such a small majority of the learner population. This has brought about the controversial question </w:t>
      </w:r>
      <w:r w:rsidR="00FB1AE5">
        <w:t>‘will narrowing the gap for travellers help them to achieve anything they value or enhance their live chance?’</w:t>
      </w:r>
      <w:sdt>
        <w:sdtPr>
          <w:id w:val="344521036"/>
          <w:citation/>
        </w:sdtPr>
        <w:sdtEndPr/>
        <w:sdtContent>
          <w:r w:rsidR="00FB1AE5">
            <w:fldChar w:fldCharType="begin"/>
          </w:r>
          <w:r w:rsidR="00FB1AE5">
            <w:instrText xml:space="preserve"> CITATION BER10 \l 2057 </w:instrText>
          </w:r>
          <w:r w:rsidR="00FB1AE5">
            <w:fldChar w:fldCharType="separate"/>
          </w:r>
          <w:r w:rsidR="000C3EEC">
            <w:rPr>
              <w:noProof/>
            </w:rPr>
            <w:t xml:space="preserve"> (BERA, 2010)</w:t>
          </w:r>
          <w:r w:rsidR="00FB1AE5">
            <w:fldChar w:fldCharType="end"/>
          </w:r>
        </w:sdtContent>
      </w:sdt>
      <w:r w:rsidR="00FB1AE5">
        <w:t xml:space="preserve">. This controversial question, which goes against the current grain of thought in education policy, does raise some interesting issues. Does our current system of education and qualifications at Level 2 give learners the opportunity to succeed in line with their communities, cultures and backgrounds? This question, however, does bring about the issue of settling for a system in which we may deny the system of social inequality and, hence, end our current drive for social mobility. The recent development of the Donaldson Report in Wales has tried to address this question of closing the educational gap but also creating well rounded learners. One of the four purposes of the new </w:t>
      </w:r>
      <w:r w:rsidR="00FB1AE5">
        <w:lastRenderedPageBreak/>
        <w:t>curriculum in Wales</w:t>
      </w:r>
      <w:r w:rsidR="00FD4CCC">
        <w:t xml:space="preserve"> is to develop</w:t>
      </w:r>
      <w:r w:rsidR="00FB1AE5">
        <w:t xml:space="preserve"> ‘ambitious capable learners who are ready to learn their whole lives</w:t>
      </w:r>
      <w:sdt>
        <w:sdtPr>
          <w:id w:val="813764550"/>
          <w:citation/>
        </w:sdtPr>
        <w:sdtEndPr/>
        <w:sdtContent>
          <w:r w:rsidR="00FB1AE5">
            <w:fldChar w:fldCharType="begin"/>
          </w:r>
          <w:r w:rsidR="00FB1AE5">
            <w:instrText xml:space="preserve"> CITATION Gra15 \l 2057 </w:instrText>
          </w:r>
          <w:r w:rsidR="00FB1AE5">
            <w:fldChar w:fldCharType="separate"/>
          </w:r>
          <w:r w:rsidR="000C3EEC">
            <w:rPr>
              <w:noProof/>
            </w:rPr>
            <w:t xml:space="preserve"> (Donaldson, 2015)</w:t>
          </w:r>
          <w:r w:rsidR="00FB1AE5">
            <w:fldChar w:fldCharType="end"/>
          </w:r>
        </w:sdtContent>
      </w:sdt>
      <w:r w:rsidR="00FB1AE5">
        <w:t>.</w:t>
      </w:r>
    </w:p>
    <w:p w:rsidR="00A83A53" w:rsidRDefault="00A83A53" w:rsidP="00CC2537">
      <w:pPr>
        <w:jc w:val="both"/>
      </w:pPr>
    </w:p>
    <w:p w:rsidR="00A83A53" w:rsidRDefault="00A83A53" w:rsidP="00CC2537">
      <w:pPr>
        <w:jc w:val="both"/>
      </w:pPr>
      <w:r>
        <w:t xml:space="preserve">The immediate social context is a factor that affects the educational opportunities available to learners. </w:t>
      </w:r>
      <w:r w:rsidR="00B13933">
        <w:t>In the UK, there has been a history of trying to attain educational equality for everyone since the since the 1944 Education Act. This legal framework for equality in education has since been strengthened by subsequent legislation, such as Race Relation (Amendments) Act 2000, The Human Rights Act 1999 and The Equalities Act 2010</w:t>
      </w:r>
      <w:sdt>
        <w:sdtPr>
          <w:id w:val="-1502432499"/>
          <w:citation/>
        </w:sdtPr>
        <w:sdtEndPr/>
        <w:sdtContent>
          <w:r w:rsidR="00B13933">
            <w:fldChar w:fldCharType="begin"/>
          </w:r>
          <w:r w:rsidR="00B13933">
            <w:instrText xml:space="preserve"> CITATION Fos12 \l 2057 </w:instrText>
          </w:r>
          <w:r w:rsidR="00B13933">
            <w:fldChar w:fldCharType="separate"/>
          </w:r>
          <w:r w:rsidR="000C3EEC">
            <w:rPr>
              <w:noProof/>
            </w:rPr>
            <w:t xml:space="preserve"> (Foster &amp; Norton, 2012)</w:t>
          </w:r>
          <w:r w:rsidR="00B13933">
            <w:fldChar w:fldCharType="end"/>
          </w:r>
        </w:sdtContent>
      </w:sdt>
      <w:r w:rsidR="00B13933">
        <w:t>.</w:t>
      </w:r>
      <w:r>
        <w:t xml:space="preserve"> </w:t>
      </w:r>
      <w:r w:rsidR="00B13933">
        <w:t xml:space="preserve">Although this legal framework exists, many within the field of education have often stated, and shown with quantitative data, that those in certain ethic groups often experience unequal standards of education and as such, suffer from educational disadvantage compared to their peers. One group which is often the </w:t>
      </w:r>
      <w:r w:rsidR="00AA0B39">
        <w:t>highlighted in this category is Gypsy, Roma and Traveller children (GRT).</w:t>
      </w:r>
      <w:r w:rsidR="00B13933">
        <w:t xml:space="preserve"> </w:t>
      </w:r>
      <w:r w:rsidR="00AA0B39">
        <w:t>Learners from GRT backgrounds suffer disproportionately unequal outcomes. The ethnic status of Roma in Britain had been established in 1988 during a ruling by the Commission for Racial Equality that stated the term Gypsy could not wholly encompass a group of people who have such different heritages and cultures. From this point forward, Roma were deemed a distinct ethic group and, as such, entitled to the specific protections granted by the aforementioned legislation.  Foster and Norton (2012) have studied the educational disadvantage of GRT pupils across the United Kingdom and have found that there is compelling evidence to suggest reasons behind why GRT learners experience educational disadvantage. They state that GRT learners may have:</w:t>
      </w:r>
    </w:p>
    <w:p w:rsidR="00AA0B39" w:rsidRDefault="00AA0B39" w:rsidP="00AA0B39">
      <w:pPr>
        <w:pStyle w:val="ListParagraph"/>
        <w:numPr>
          <w:ilvl w:val="0"/>
          <w:numId w:val="1"/>
        </w:numPr>
        <w:jc w:val="both"/>
      </w:pPr>
      <w:r>
        <w:t>Disrupted educational experience</w:t>
      </w:r>
      <w:r w:rsidR="00FD4CCC">
        <w:t>s</w:t>
      </w:r>
      <w:r>
        <w:t>;</w:t>
      </w:r>
    </w:p>
    <w:p w:rsidR="00AA0B39" w:rsidRDefault="00AA0B39" w:rsidP="00AA0B39">
      <w:pPr>
        <w:pStyle w:val="ListParagraph"/>
        <w:numPr>
          <w:ilvl w:val="0"/>
          <w:numId w:val="1"/>
        </w:numPr>
        <w:jc w:val="both"/>
      </w:pPr>
      <w:r>
        <w:t xml:space="preserve">Different </w:t>
      </w:r>
      <w:r w:rsidR="00510577">
        <w:t>educational</w:t>
      </w:r>
      <w:r>
        <w:t xml:space="preserve"> experiences;</w:t>
      </w:r>
    </w:p>
    <w:p w:rsidR="00AA0B39" w:rsidRDefault="00AA0B39" w:rsidP="00AA0B39">
      <w:pPr>
        <w:pStyle w:val="ListParagraph"/>
        <w:numPr>
          <w:ilvl w:val="0"/>
          <w:numId w:val="1"/>
        </w:numPr>
        <w:jc w:val="both"/>
      </w:pPr>
      <w:r>
        <w:t>Educational disadvantage of their parents;</w:t>
      </w:r>
    </w:p>
    <w:p w:rsidR="00AA0B39" w:rsidRDefault="00AA0B39" w:rsidP="00AA0B39">
      <w:pPr>
        <w:pStyle w:val="ListParagraph"/>
        <w:numPr>
          <w:ilvl w:val="0"/>
          <w:numId w:val="1"/>
        </w:numPr>
        <w:jc w:val="both"/>
      </w:pPr>
      <w:r>
        <w:t>Social and economic reasons;</w:t>
      </w:r>
    </w:p>
    <w:p w:rsidR="00AA0B39" w:rsidRDefault="00AA0B39" w:rsidP="00AA0B39">
      <w:pPr>
        <w:pStyle w:val="ListParagraph"/>
        <w:numPr>
          <w:ilvl w:val="0"/>
          <w:numId w:val="1"/>
        </w:numPr>
        <w:jc w:val="both"/>
      </w:pPr>
      <w:r>
        <w:t>Health reasons;</w:t>
      </w:r>
    </w:p>
    <w:p w:rsidR="00AA0B39" w:rsidRDefault="00AA0B39" w:rsidP="00AA0B39">
      <w:pPr>
        <w:pStyle w:val="ListParagraph"/>
        <w:numPr>
          <w:ilvl w:val="0"/>
          <w:numId w:val="1"/>
        </w:numPr>
        <w:jc w:val="both"/>
      </w:pPr>
      <w:r>
        <w:t>Cultural reasons;</w:t>
      </w:r>
    </w:p>
    <w:p w:rsidR="00AA0B39" w:rsidRDefault="00AA0B39" w:rsidP="00AA0B39">
      <w:pPr>
        <w:pStyle w:val="ListParagraph"/>
        <w:numPr>
          <w:ilvl w:val="0"/>
          <w:numId w:val="1"/>
        </w:numPr>
        <w:jc w:val="both"/>
      </w:pPr>
      <w:r>
        <w:t>Dispersed extended family demands;</w:t>
      </w:r>
    </w:p>
    <w:p w:rsidR="00AA0B39" w:rsidRDefault="00AA0B39" w:rsidP="00AA0B39">
      <w:pPr>
        <w:pStyle w:val="ListParagraph"/>
        <w:numPr>
          <w:ilvl w:val="0"/>
          <w:numId w:val="1"/>
        </w:numPr>
        <w:jc w:val="both"/>
      </w:pPr>
      <w:r>
        <w:t>Lack of cultural diversity within the education system;</w:t>
      </w:r>
    </w:p>
    <w:p w:rsidR="00AA0B39" w:rsidRDefault="00AA0B39" w:rsidP="00AA0B39">
      <w:pPr>
        <w:pStyle w:val="ListParagraph"/>
        <w:numPr>
          <w:ilvl w:val="0"/>
          <w:numId w:val="1"/>
        </w:numPr>
        <w:jc w:val="both"/>
      </w:pPr>
      <w:r>
        <w:t>Racism in employment sector;</w:t>
      </w:r>
    </w:p>
    <w:p w:rsidR="00AA0B39" w:rsidRDefault="00AA0B39" w:rsidP="00AA0B39">
      <w:pPr>
        <w:pStyle w:val="ListParagraph"/>
        <w:numPr>
          <w:ilvl w:val="0"/>
          <w:numId w:val="1"/>
        </w:numPr>
        <w:jc w:val="both"/>
      </w:pPr>
      <w:r>
        <w:t>Lack of role models</w:t>
      </w:r>
    </w:p>
    <w:p w:rsidR="00AA0B39" w:rsidRDefault="00AA0B39" w:rsidP="00AA0B39">
      <w:pPr>
        <w:pStyle w:val="ListParagraph"/>
        <w:numPr>
          <w:ilvl w:val="0"/>
          <w:numId w:val="1"/>
        </w:numPr>
        <w:jc w:val="both"/>
      </w:pPr>
      <w:r>
        <w:t>English as an additional language issues;</w:t>
      </w:r>
    </w:p>
    <w:p w:rsidR="00AA0B39" w:rsidRDefault="00AA0B39" w:rsidP="00AA0B39">
      <w:pPr>
        <w:pStyle w:val="ListParagraph"/>
        <w:numPr>
          <w:ilvl w:val="0"/>
          <w:numId w:val="1"/>
        </w:numPr>
        <w:jc w:val="both"/>
      </w:pPr>
      <w:r>
        <w:t xml:space="preserve">Accommodation issues; and </w:t>
      </w:r>
    </w:p>
    <w:p w:rsidR="00AA0B39" w:rsidRDefault="00AA0B39" w:rsidP="00AA0B39">
      <w:pPr>
        <w:pStyle w:val="ListParagraph"/>
        <w:numPr>
          <w:ilvl w:val="0"/>
          <w:numId w:val="1"/>
        </w:numPr>
        <w:jc w:val="both"/>
      </w:pPr>
      <w:r>
        <w:t>Refugee and asylum seeker issues.</w:t>
      </w:r>
    </w:p>
    <w:p w:rsidR="00510577" w:rsidRDefault="00510577" w:rsidP="00510577">
      <w:pPr>
        <w:jc w:val="both"/>
      </w:pPr>
      <w:r>
        <w:t xml:space="preserve">Foster and Norton make it very clear that although these issues are not unique to the GRT community, most families experience a number of them which often undermines the ability of GRT learners to fulfil their potential in the current education system. </w:t>
      </w:r>
    </w:p>
    <w:p w:rsidR="00510577" w:rsidRDefault="00510577" w:rsidP="00510577">
      <w:pPr>
        <w:jc w:val="both"/>
      </w:pPr>
    </w:p>
    <w:p w:rsidR="00510577" w:rsidRDefault="00510577" w:rsidP="00510577">
      <w:pPr>
        <w:jc w:val="both"/>
      </w:pPr>
      <w:r>
        <w:t xml:space="preserve">As already mentioned, in Wales, the main indicator for socio-economic educational disadvantage in Wales is the eligibility of learners for FSM. This indictor relies of learners who experience socio-financial hardship to be eligible and apply for qualifying benefits. This hurdle can affect those who are just on the threshold or not eligible for them. For example, a household entitled to Child Tax Credits with annual gross income of no more than £16,190 would be entitled and receive FSM. However, a family with a household income of £16,191 would not. This does not truly highlight the socio-economic hardships that these two families face in the same community and, therefore, is not the most accurate </w:t>
      </w:r>
      <w:r>
        <w:lastRenderedPageBreak/>
        <w:t>of indictors. This is also something that is very prevalent in the GRT community. Due to the transient nature of migrant work, GRT households are often not eligible to supplement sel</w:t>
      </w:r>
      <w:r w:rsidR="00FD4CCC">
        <w:t>f</w:t>
      </w:r>
      <w:r>
        <w:t xml:space="preserve">-employed income with FSM eligible benefits </w:t>
      </w:r>
      <w:sdt>
        <w:sdtPr>
          <w:id w:val="287248345"/>
          <w:citation/>
        </w:sdtPr>
        <w:sdtEndPr/>
        <w:sdtContent>
          <w:r>
            <w:fldChar w:fldCharType="begin"/>
          </w:r>
          <w:r>
            <w:instrText xml:space="preserve"> CITATION Fos12 \l 2057 </w:instrText>
          </w:r>
          <w:r>
            <w:fldChar w:fldCharType="separate"/>
          </w:r>
          <w:r w:rsidR="000C3EEC">
            <w:rPr>
              <w:noProof/>
            </w:rPr>
            <w:t>(Foster &amp; Norton, 2012)</w:t>
          </w:r>
          <w:r>
            <w:fldChar w:fldCharType="end"/>
          </w:r>
        </w:sdtContent>
      </w:sdt>
      <w:r>
        <w:t xml:space="preserve">. These GRT learners, therefore, get no support towards </w:t>
      </w:r>
      <w:r w:rsidR="001A17E3">
        <w:t xml:space="preserve">school uniform costs, footwear, school meals or (in the case of Wales) access to the Pupil Development Grant for the school. </w:t>
      </w:r>
      <w:r w:rsidR="00AD07B2">
        <w:t xml:space="preserve">Although there is much anecdotal evidence of these experiences, the written policy research is sparse as GRT learners make up such a small minority of learners in England and Wales. </w:t>
      </w:r>
      <w:r w:rsidR="006F6842">
        <w:t>This difficulty in accessing funding available for GRT learners, specifically, Roma learners, was highlighted in a report commissioned by OFSTED in 2014. In this report, Head teachers reported that there had been no adverse effects on the achievement of learners already settled at the school but due the sudden increase in Roma learners joining the cohort of schools in Sheffield, the schools struggled with two very important things: accessing funding for new pupils quickly enough; and fin</w:t>
      </w:r>
      <w:r w:rsidR="00FD4CCC">
        <w:t>d</w:t>
      </w:r>
      <w:r w:rsidR="006F6842">
        <w:t>ing staff that had the relevant experience of</w:t>
      </w:r>
      <w:r w:rsidR="00FD4CCC">
        <w:t>,</w:t>
      </w:r>
      <w:r w:rsidR="006F6842">
        <w:t xml:space="preserve"> and expertise to provide effective support to</w:t>
      </w:r>
      <w:r w:rsidR="00FD4CCC">
        <w:t>,</w:t>
      </w:r>
      <w:r w:rsidR="006F6842">
        <w:t xml:space="preserve"> Roma learners</w:t>
      </w:r>
      <w:sdt>
        <w:sdtPr>
          <w:id w:val="229355600"/>
          <w:citation/>
        </w:sdtPr>
        <w:sdtEndPr/>
        <w:sdtContent>
          <w:r w:rsidR="006F6842">
            <w:fldChar w:fldCharType="begin"/>
          </w:r>
          <w:r w:rsidR="006F6842">
            <w:instrText xml:space="preserve"> CITATION OFS14 \l 2057 </w:instrText>
          </w:r>
          <w:r w:rsidR="006F6842">
            <w:fldChar w:fldCharType="separate"/>
          </w:r>
          <w:r w:rsidR="000C3EEC">
            <w:rPr>
              <w:noProof/>
            </w:rPr>
            <w:t xml:space="preserve"> (OFSTED, 2014)</w:t>
          </w:r>
          <w:r w:rsidR="006F6842">
            <w:fldChar w:fldCharType="end"/>
          </w:r>
        </w:sdtContent>
      </w:sdt>
      <w:r w:rsidR="006F6842">
        <w:t xml:space="preserve">. </w:t>
      </w:r>
    </w:p>
    <w:p w:rsidR="00510577" w:rsidRDefault="006F6842" w:rsidP="00510577">
      <w:pPr>
        <w:jc w:val="both"/>
      </w:pPr>
      <w:r>
        <w:t>Within Wales,</w:t>
      </w:r>
      <w:r w:rsidR="00EA0143">
        <w:t xml:space="preserve"> the Welsh Assembly Government (WAG) launched the Pupil Deprivation Grant in 2012. The aim of this grant was to provide extra funding for schools depending on the level of learners who were registered as in receipt of FSM. In 2017, WAG changed the name of the grant to the Pupil Development Grant in recognition of proposed changes to funding. In a report commissioned by the WAG in 2017, they concluded that the PDG now constitutes a significant amount of funding for school with high levels of educational disadvantage and has also raised the profile of schools with unique levels of challenge and disadvantage. However, another key finding of this report was how the profile of disadvantaged schools </w:t>
      </w:r>
      <w:r w:rsidR="00FD4CCC">
        <w:t>had</w:t>
      </w:r>
      <w:r w:rsidR="00EA0143">
        <w:t xml:space="preserve"> risen and there is now an active discussion in the education community of how best to deploy this funding effectively to ensure it is as impactful on closing the educational attainment gap</w:t>
      </w:r>
      <w:r w:rsidR="00FD4CCC">
        <w:t xml:space="preserve"> as it can be</w:t>
      </w:r>
      <w:sdt>
        <w:sdtPr>
          <w:id w:val="1020125765"/>
          <w:citation/>
        </w:sdtPr>
        <w:sdtEndPr/>
        <w:sdtContent>
          <w:r w:rsidR="00EA0143">
            <w:fldChar w:fldCharType="begin"/>
          </w:r>
          <w:r w:rsidR="00EA0143">
            <w:instrText xml:space="preserve"> CITATION Wel17 \l 2057 </w:instrText>
          </w:r>
          <w:r w:rsidR="00EA0143">
            <w:fldChar w:fldCharType="separate"/>
          </w:r>
          <w:r w:rsidR="000C3EEC">
            <w:rPr>
              <w:noProof/>
            </w:rPr>
            <w:t xml:space="preserve"> (Welsh Assembly Government, 2017)</w:t>
          </w:r>
          <w:r w:rsidR="00EA0143">
            <w:fldChar w:fldCharType="end"/>
          </w:r>
        </w:sdtContent>
      </w:sdt>
      <w:r w:rsidR="00EA0143">
        <w:t xml:space="preserve">. Schools only receive the PDG grant funding for learners who are currently </w:t>
      </w:r>
      <w:r w:rsidR="00FD4CCC">
        <w:t>registered</w:t>
      </w:r>
      <w:r w:rsidR="00EA0143">
        <w:t xml:space="preserve"> as e-FSM or who are a looked after child (LAC). In contrast, the approach taken in England differs for a very similar funding called the Pupil Premium (PP). The PP is allocated on the same principle as the PDG in Wales; learners who are from so</w:t>
      </w:r>
      <w:r w:rsidR="004A7D1D">
        <w:t>c</w:t>
      </w:r>
      <w:r w:rsidR="00EA0143">
        <w:t xml:space="preserve">io-economically disadvantaged backgrounds </w:t>
      </w:r>
      <w:r w:rsidR="004A7D1D">
        <w:t xml:space="preserve">and are in receipt of FSM allow the school to access extra funding. However, the eligibility is slightly different in England. As opposed to learners having to currently be in receipt of FSM in Wales for the PDG, a rule called Ever 6 applies in England for the PP. This means that learners who been register as entitled for FSM at any time in the previous  6 years will see the school eligible for PP funding. In some cases, this has dramatically increased the source of funding for some schools that serve the most disadvantaged communities </w:t>
      </w:r>
      <w:sdt>
        <w:sdtPr>
          <w:id w:val="784769924"/>
          <w:citation/>
        </w:sdtPr>
        <w:sdtEndPr/>
        <w:sdtContent>
          <w:r w:rsidR="004A7D1D">
            <w:fldChar w:fldCharType="begin"/>
          </w:r>
          <w:r w:rsidR="004A7D1D">
            <w:instrText xml:space="preserve"> CITATION Edu16 \l 2057 </w:instrText>
          </w:r>
          <w:r w:rsidR="004A7D1D">
            <w:fldChar w:fldCharType="separate"/>
          </w:r>
          <w:r w:rsidR="000C3EEC">
            <w:rPr>
              <w:noProof/>
            </w:rPr>
            <w:t>(Education Funding Agency, 2016)</w:t>
          </w:r>
          <w:r w:rsidR="004A7D1D">
            <w:fldChar w:fldCharType="end"/>
          </w:r>
        </w:sdtContent>
      </w:sdt>
      <w:r w:rsidR="004A7D1D">
        <w:t>.</w:t>
      </w:r>
    </w:p>
    <w:p w:rsidR="00501E5D" w:rsidRDefault="00501E5D"/>
    <w:p w:rsidR="00501E5D" w:rsidRDefault="00FD04B5" w:rsidP="002C294C">
      <w:pPr>
        <w:jc w:val="both"/>
      </w:pPr>
      <w:r>
        <w:t>Throughout the United Kingdom, there has always been a push to eradicate educational disadvantage especially that associated with socio-economic factors. On a national level, successive governments across the United Kingdom have focused on strategies to raise the bar and close the educational attainment gap. Over the p</w:t>
      </w:r>
      <w:r w:rsidR="00FD4CCC">
        <w:t>ast 20 years, strategies include:</w:t>
      </w:r>
      <w:r>
        <w:t xml:space="preserve"> </w:t>
      </w:r>
      <w:r w:rsidRPr="00FD04B5">
        <w:rPr>
          <w:i/>
        </w:rPr>
        <w:t>Getting it Right</w:t>
      </w:r>
      <w:r>
        <w:t xml:space="preserve"> in Scotland; </w:t>
      </w:r>
      <w:r w:rsidRPr="00FD04B5">
        <w:rPr>
          <w:i/>
        </w:rPr>
        <w:t xml:space="preserve">Every Child Matters </w:t>
      </w:r>
      <w:r>
        <w:t xml:space="preserve">in England; </w:t>
      </w:r>
      <w:r w:rsidRPr="00FD04B5">
        <w:rPr>
          <w:i/>
        </w:rPr>
        <w:t>Higher Standards</w:t>
      </w:r>
      <w:r>
        <w:t xml:space="preserve"> and </w:t>
      </w:r>
      <w:r w:rsidRPr="00FD04B5">
        <w:rPr>
          <w:i/>
        </w:rPr>
        <w:t>Better Schools for All</w:t>
      </w:r>
      <w:r>
        <w:t xml:space="preserve"> in Northern Ireland; and </w:t>
      </w:r>
      <w:r w:rsidRPr="00FD04B5">
        <w:rPr>
          <w:i/>
        </w:rPr>
        <w:t>Extending Entitlement of all Learners</w:t>
      </w:r>
      <w:r>
        <w:t xml:space="preserve"> in Wales.</w:t>
      </w:r>
      <w:r w:rsidR="000B3243">
        <w:t xml:space="preserve"> Most of these strategies have come in the form of initiatives to </w:t>
      </w:r>
      <w:r w:rsidR="00E20722">
        <w:t xml:space="preserve">improve the quality and performance of individual schools </w:t>
      </w:r>
      <w:sdt>
        <w:sdtPr>
          <w:id w:val="462618004"/>
          <w:citation/>
        </w:sdtPr>
        <w:sdtEndPr/>
        <w:sdtContent>
          <w:r w:rsidR="00E20722">
            <w:fldChar w:fldCharType="begin"/>
          </w:r>
          <w:r w:rsidR="00E20722">
            <w:instrText xml:space="preserve"> CITATION BER10 \l 2057 </w:instrText>
          </w:r>
          <w:r w:rsidR="00E20722">
            <w:fldChar w:fldCharType="separate"/>
          </w:r>
          <w:r w:rsidR="000C3EEC">
            <w:rPr>
              <w:noProof/>
            </w:rPr>
            <w:t>(BERA, 2010)</w:t>
          </w:r>
          <w:r w:rsidR="00E20722">
            <w:fldChar w:fldCharType="end"/>
          </w:r>
        </w:sdtContent>
      </w:sdt>
      <w:r w:rsidR="00E20722">
        <w:t>. However, in recent years in Wales there has seen a new development with guidance on how the Pupil Development Fund should be spent. Professor Davi</w:t>
      </w:r>
      <w:r w:rsidR="00FD4CCC">
        <w:t>d Egan and his team at the Wales</w:t>
      </w:r>
      <w:r w:rsidR="00E20722">
        <w:t xml:space="preserve"> Centre for Equity in Education have highlighted that, although effective learning and teaching is the best approach for low-achieving learners, strategies should be focused on a three-fold approach: whole school approaches that focus on leadership, effective learning and teaching, and pupil wellbeing; engaging parents and families; and </w:t>
      </w:r>
      <w:r w:rsidR="00E20722">
        <w:lastRenderedPageBreak/>
        <w:t xml:space="preserve">strengthening links with their communities, particularly though out-of-hours learning ad mentoring interventions as a way of supporting aspirations </w:t>
      </w:r>
      <w:sdt>
        <w:sdtPr>
          <w:id w:val="-2127996053"/>
          <w:citation/>
        </w:sdtPr>
        <w:sdtEndPr/>
        <w:sdtContent>
          <w:r w:rsidR="00E20722">
            <w:fldChar w:fldCharType="begin"/>
          </w:r>
          <w:r w:rsidR="004F1305">
            <w:instrText xml:space="preserve">CITATION Wel14 \l 2057 </w:instrText>
          </w:r>
          <w:r w:rsidR="00E20722">
            <w:fldChar w:fldCharType="separate"/>
          </w:r>
          <w:r w:rsidR="000C3EEC">
            <w:rPr>
              <w:noProof/>
            </w:rPr>
            <w:t>(Wales Centre for Equity in Eduation, 2014)</w:t>
          </w:r>
          <w:r w:rsidR="00E20722">
            <w:fldChar w:fldCharType="end"/>
          </w:r>
        </w:sdtContent>
      </w:sdt>
      <w:r w:rsidR="00E20722">
        <w:t>.</w:t>
      </w:r>
    </w:p>
    <w:p w:rsidR="00501E5D" w:rsidRPr="002C294C" w:rsidRDefault="00501E5D">
      <w:pPr>
        <w:rPr>
          <w:b/>
          <w:sz w:val="28"/>
          <w:szCs w:val="28"/>
        </w:rPr>
      </w:pPr>
    </w:p>
    <w:p w:rsidR="00DE25E8" w:rsidRDefault="00DE25E8">
      <w:pPr>
        <w:rPr>
          <w:b/>
          <w:sz w:val="28"/>
          <w:szCs w:val="28"/>
        </w:rPr>
      </w:pPr>
      <w:r w:rsidRPr="002C294C">
        <w:rPr>
          <w:b/>
          <w:sz w:val="28"/>
          <w:szCs w:val="28"/>
        </w:rPr>
        <w:t>Methodology</w:t>
      </w:r>
    </w:p>
    <w:p w:rsidR="002C294C" w:rsidRDefault="002C294C" w:rsidP="00706D2B">
      <w:pPr>
        <w:jc w:val="both"/>
      </w:pPr>
      <w:r>
        <w:t xml:space="preserve">The methodology for this piece of research followed in the analytical convention of interpretative methods. The purpose for this method of research was to gain a comprehensive understanding of the phenomena of educational disadvantage in a holistic way. According to the University of Southern California, the benefit of using this method allows the researcher to recognise your connection to the phenomena under investigation </w:t>
      </w:r>
      <w:sdt>
        <w:sdtPr>
          <w:id w:val="-109514529"/>
          <w:citation/>
        </w:sdtPr>
        <w:sdtEndPr/>
        <w:sdtContent>
          <w:r>
            <w:fldChar w:fldCharType="begin"/>
          </w:r>
          <w:r>
            <w:instrText xml:space="preserve"> CITATION USC18 \l 2057 </w:instrText>
          </w:r>
          <w:r>
            <w:fldChar w:fldCharType="separate"/>
          </w:r>
          <w:r w:rsidR="000C3EEC">
            <w:rPr>
              <w:noProof/>
            </w:rPr>
            <w:t>(USC, 2018)</w:t>
          </w:r>
          <w:r>
            <w:fldChar w:fldCharType="end"/>
          </w:r>
        </w:sdtContent>
      </w:sdt>
      <w:r>
        <w:t xml:space="preserve">. </w:t>
      </w:r>
      <w:r w:rsidR="00706D2B">
        <w:t>From the outset, the purpose of this report was to understand the contemporary issues surrounding educational disadvantage in Wales and examining critically how schools, policymakers and the community were trying to close the attainment gap. Because of this, the methodology used would need to incorporate a system of allowing the report’s</w:t>
      </w:r>
      <w:r w:rsidR="00FD4CCC">
        <w:t xml:space="preserve"> author to critically reflect on</w:t>
      </w:r>
      <w:r w:rsidR="00706D2B">
        <w:t xml:space="preserve"> their own practice and the practice of School X – the school b</w:t>
      </w:r>
      <w:r w:rsidR="00FD4CCC">
        <w:t>eing used as a case study in this</w:t>
      </w:r>
      <w:r w:rsidR="00706D2B">
        <w:t xml:space="preserve"> report.</w:t>
      </w:r>
    </w:p>
    <w:p w:rsidR="00706D2B" w:rsidRDefault="00706D2B" w:rsidP="00706D2B">
      <w:pPr>
        <w:jc w:val="both"/>
      </w:pPr>
    </w:p>
    <w:p w:rsidR="00706D2B" w:rsidRDefault="00706D2B" w:rsidP="00706D2B">
      <w:pPr>
        <w:jc w:val="both"/>
      </w:pPr>
      <w:r>
        <w:t>From the outset, a critical examination of the current literature surrounding educational disadvantage in Wales was undertaken. This ranged from discussions and research on the broad, national issues to the literature that was more specific and concerned the context of School X. The purpose of this was to allow conclusions and recommendations to be based in active and current research and best practice that is specific to the unique context of the school. Following on from this, critical examination</w:t>
      </w:r>
      <w:r w:rsidR="00FD4CCC">
        <w:t xml:space="preserve"> was carried out</w:t>
      </w:r>
      <w:r>
        <w:t xml:space="preserve"> of the documents related to School X’s strategic priorities and the role of funding. Documents examined during this section of investigation included, but were not limited to: School Improvement Plan (SIP); various Team Improvement Plans (TIP); Pastoral Improvement Plans (PIP); PDG Allocation; All Wales Core Data Set; consortium school target report; internal targeting data and tracking; </w:t>
      </w:r>
      <w:r w:rsidR="001C4F94">
        <w:t>and internal analysis of pupil mobility rates. Following an examination of these documents, qualitative, semi-structured interviews were carried out with members of the Senior Leadership Team (SLT) and Middle Leaders (ML) to clarify and drill down on the reasoning and justification for certain decisions and strategic priorities. Once these interviews had been conducted, an analysis of the data began and conclusion and recommendations were drawn from the findings.</w:t>
      </w:r>
    </w:p>
    <w:p w:rsidR="002C294C" w:rsidRPr="002C294C" w:rsidRDefault="002C294C"/>
    <w:p w:rsidR="00DE25E8" w:rsidRDefault="00DE25E8">
      <w:pPr>
        <w:rPr>
          <w:b/>
          <w:sz w:val="28"/>
          <w:szCs w:val="28"/>
        </w:rPr>
      </w:pPr>
      <w:r w:rsidRPr="009C3B61">
        <w:rPr>
          <w:b/>
          <w:sz w:val="28"/>
          <w:szCs w:val="28"/>
        </w:rPr>
        <w:t>Findings</w:t>
      </w:r>
    </w:p>
    <w:p w:rsidR="009C3B61" w:rsidRDefault="009C3B61" w:rsidP="00336B90">
      <w:pPr>
        <w:jc w:val="both"/>
      </w:pPr>
      <w:r>
        <w:t>For this report, findings were drawn from an analysis of data that gave a comprehensive and holistic view of how School X is trying to close the educational attainment gap.</w:t>
      </w:r>
      <w:r w:rsidR="00413ADB">
        <w:t xml:space="preserve"> One key finding from this investigation was the challenges faced by School X with its very high pupil mobility rate. </w:t>
      </w:r>
      <w:r w:rsidR="00336B90">
        <w:t>From the analysis of internal documents related to pupil mobility, it became very apparent that, when planning the schools strategic priorities and resource allocation, the pupils on role, and hence the needs of the cohort at this time, may not always be reflected on the pupils on role come three months’ time</w:t>
      </w:r>
      <w:sdt>
        <w:sdtPr>
          <w:id w:val="-1640801875"/>
          <w:citation/>
        </w:sdtPr>
        <w:sdtEndPr/>
        <w:sdtContent>
          <w:r w:rsidR="00336B90">
            <w:fldChar w:fldCharType="begin"/>
          </w:r>
          <w:r w:rsidR="00336B90">
            <w:instrText xml:space="preserve"> CITATION Sch18 \l 2057 </w:instrText>
          </w:r>
          <w:r w:rsidR="00336B90">
            <w:fldChar w:fldCharType="separate"/>
          </w:r>
          <w:r w:rsidR="000C3EEC">
            <w:rPr>
              <w:noProof/>
            </w:rPr>
            <w:t xml:space="preserve"> (School X, 2018)</w:t>
          </w:r>
          <w:r w:rsidR="00336B90">
            <w:fldChar w:fldCharType="end"/>
          </w:r>
        </w:sdtContent>
      </w:sdt>
      <w:r w:rsidR="00336B90">
        <w:t xml:space="preserve">. During the academic year 2017-18, the school had a pupil mobility rate of 17% and as of December 2017, the schools pupil mobility rate stood at 10%. From internal data, it became very clear that the transient nature and culture of some of these pupils was a contributing factor in the high mobility. As already mentioned, School X has a high proportion of Roma learners who, culturally, are transient; this is reflected in learners who come on and off roll. One example discussed with a member of SLT highlights the problem this has for the allocation of school resources to help close the </w:t>
      </w:r>
      <w:r w:rsidR="00336B90">
        <w:lastRenderedPageBreak/>
        <w:t>educational attainment gap. A year 9 learners, towards the end of the academic year, was removed from roll as she was returning to Slovakia with her family. This lear</w:t>
      </w:r>
      <w:r w:rsidR="009972AE">
        <w:t>ner</w:t>
      </w:r>
      <w:r w:rsidR="00336B90">
        <w:t xml:space="preserve">, at this stage, was entitled to FSM and as such, the school was in receipt of the PDG funding for her. The next academic year begun and she was not on roll at the school. Following the February Half-Term, and after the submission of PLASC data, this learner returned to the school and was admitted to roll. At this time, she had not be submitted as part of the PLASC data and was not now in receipt of FSM. This meant, due to the restriction of the PDG allocation, the school would not receive any PDG funding for this learner. She is not a lone case for School X; anecdotal and quantitative evidence supports this problem within the school. </w:t>
      </w:r>
    </w:p>
    <w:p w:rsidR="004F1305" w:rsidRDefault="004F1305" w:rsidP="00336B90">
      <w:pPr>
        <w:jc w:val="both"/>
      </w:pPr>
    </w:p>
    <w:p w:rsidR="004F1305" w:rsidRDefault="004F1305" w:rsidP="007B2EC2">
      <w:pPr>
        <w:tabs>
          <w:tab w:val="left" w:pos="8222"/>
        </w:tabs>
        <w:jc w:val="both"/>
      </w:pPr>
      <w:r>
        <w:t xml:space="preserve">From looking at the School Improvement Plan and the PDG Allocation Plan, it has become very clear that School X uses a substantial portion of its PDG funding towards staffing costs; these range from in class support to support staff working on areas such as attendance. Firstly, there is consensus that low attendance is an issue that disproportionately effects those who are from lower socio-economic backgrounds. This has been highlighted by the Wales Centre for Equity on Education </w:t>
      </w:r>
      <w:sdt>
        <w:sdtPr>
          <w:id w:val="735204355"/>
          <w:citation/>
        </w:sdtPr>
        <w:sdtEndPr/>
        <w:sdtContent>
          <w:r>
            <w:fldChar w:fldCharType="begin"/>
          </w:r>
          <w:r>
            <w:instrText xml:space="preserve">CITATION Wel14 \l 2057 </w:instrText>
          </w:r>
          <w:r>
            <w:fldChar w:fldCharType="separate"/>
          </w:r>
          <w:r w:rsidR="000C3EEC">
            <w:rPr>
              <w:noProof/>
            </w:rPr>
            <w:t>(Wales Centre for Equity in Eduation, 2014)</w:t>
          </w:r>
          <w:r>
            <w:fldChar w:fldCharType="end"/>
          </w:r>
        </w:sdtContent>
      </w:sdt>
      <w:r>
        <w:t>. It is clear that attendance is a huge issue and cannot be overlooked when aiming to close the educational attainment gap. As one member of SLT put it in an interview: “if learners are not in school, how can they learn anything?”</w:t>
      </w:r>
      <w:r w:rsidR="009A2AFA">
        <w:t xml:space="preserve"> One way in which School X has tried to improve the rate of all learners’ attendance is by employing two members of staff (one of which is an Attendance Officer). These roles are paid for annually out of the PDG and cost the school £21,031 and £29,019 respectively</w:t>
      </w:r>
      <w:sdt>
        <w:sdtPr>
          <w:id w:val="-609120786"/>
          <w:citation/>
        </w:sdtPr>
        <w:sdtEndPr/>
        <w:sdtContent>
          <w:r w:rsidR="009A2AFA">
            <w:fldChar w:fldCharType="begin"/>
          </w:r>
          <w:r w:rsidR="009A2AFA">
            <w:instrText xml:space="preserve"> CITATION Sch181 \l 2057 </w:instrText>
          </w:r>
          <w:r w:rsidR="009A2AFA">
            <w:fldChar w:fldCharType="separate"/>
          </w:r>
          <w:r w:rsidR="000C3EEC">
            <w:rPr>
              <w:noProof/>
            </w:rPr>
            <w:t xml:space="preserve"> (School X, 2017-18)</w:t>
          </w:r>
          <w:r w:rsidR="009A2AFA">
            <w:fldChar w:fldCharType="end"/>
          </w:r>
        </w:sdtContent>
      </w:sdt>
      <w:r w:rsidR="009A2AFA">
        <w:t xml:space="preserve">. There is clear evidence that learner’s attendance has improved and is being rigorously tackled. In 2016-17, when these two roles were also in place, School X exceeded its attendance target of 93.2% and FSM learners </w:t>
      </w:r>
      <w:r w:rsidR="00FD4CCC">
        <w:t>reached</w:t>
      </w:r>
      <w:r w:rsidR="009A2AFA">
        <w:t xml:space="preserve"> 91.0%. This was 1.9% higher</w:t>
      </w:r>
      <w:r w:rsidR="00FD4CCC">
        <w:t xml:space="preserve"> than the average</w:t>
      </w:r>
      <w:r w:rsidR="009A2AFA">
        <w:t xml:space="preserve"> for School X family of school</w:t>
      </w:r>
      <w:r w:rsidR="00FD4CCC">
        <w:t>s</w:t>
      </w:r>
      <w:r w:rsidR="009A2AFA">
        <w:t xml:space="preserve"> and 0.9% higher than the Welsh national average for FSM learners</w:t>
      </w:r>
      <w:r w:rsidR="00CB6303">
        <w:t xml:space="preserve"> (see appendix I)</w:t>
      </w:r>
      <w:r w:rsidR="009A2AFA">
        <w:t>.</w:t>
      </w:r>
      <w:r w:rsidR="00CB6303">
        <w:t xml:space="preserve"> The continued rise in attendance has coincided with a rise in outcomes at level 2 for both e-FSM and n-FSM learners. As it stands, it is hard to measure how the improvements in attendance has had an effect on the outcomes at level 2 but it would be hard to discount this as a contributing factor. Attendance, however, is now no longer the domain of support staff; attendance has become one of the main agenda topics for pastoral meetings. With data collated by the attendance officer, those with pastoral roles in the school (Heads of Year and Form Tutors) discuss concerns and strategies to ensure learners are always in school, on time, ready to learn. This approach of a whole school strategy was recommended by Estyn in its 2012 report into tackling poverty and disadvantage in schools </w:t>
      </w:r>
      <w:sdt>
        <w:sdtPr>
          <w:id w:val="1293018302"/>
          <w:citation/>
        </w:sdtPr>
        <w:sdtEndPr/>
        <w:sdtContent>
          <w:r w:rsidR="00CB6303">
            <w:fldChar w:fldCharType="begin"/>
          </w:r>
          <w:r w:rsidR="00CB6303">
            <w:instrText xml:space="preserve"> CITATION Est12 \l 2057 </w:instrText>
          </w:r>
          <w:r w:rsidR="00CB6303">
            <w:fldChar w:fldCharType="separate"/>
          </w:r>
          <w:r w:rsidR="000C3EEC">
            <w:rPr>
              <w:noProof/>
            </w:rPr>
            <w:t>(Estyn, 2012)</w:t>
          </w:r>
          <w:r w:rsidR="00CB6303">
            <w:fldChar w:fldCharType="end"/>
          </w:r>
        </w:sdtContent>
      </w:sdt>
      <w:r w:rsidR="00CB6303">
        <w:t>.</w:t>
      </w:r>
    </w:p>
    <w:p w:rsidR="00886813" w:rsidRDefault="00886813" w:rsidP="007B2EC2">
      <w:pPr>
        <w:tabs>
          <w:tab w:val="left" w:pos="8222"/>
        </w:tabs>
        <w:jc w:val="both"/>
      </w:pPr>
    </w:p>
    <w:p w:rsidR="00886813" w:rsidRDefault="00886813" w:rsidP="007B2EC2">
      <w:pPr>
        <w:tabs>
          <w:tab w:val="left" w:pos="8222"/>
        </w:tabs>
        <w:jc w:val="both"/>
      </w:pPr>
      <w:r>
        <w:t>On</w:t>
      </w:r>
      <w:r w:rsidR="00FD4CCC">
        <w:t>e of the</w:t>
      </w:r>
      <w:r>
        <w:t xml:space="preserve"> biggest challenges that School X faces is the level of New to English (N2E) learners at the school. This has meant that the school has placed considerable resources and time into the design and allocation of curriculum to ensure that all learners in the school have access to the curriculum. As already mentioned in this report, educational disadvantage at School X is not as easy as measuring the gap that exist between e-FSM and n-FSM learners. As such, the school has used a portion of its PDG funding to deploy bilingual teaching assistants (BTA) across the school with a priority on ensuring N2E learners have the support required to access the curriculum in the core level 2 subjects (English and Maths). Although the Education Endowment Fund commissioned research states that teaching assistants have a very low estimated impact on learners’ progression whilst having a high cost base, the unique cohort of School X means that this investment in staff with the required language skills is, in anecdotal evidence, an invaluable resource</w:t>
      </w:r>
      <w:sdt>
        <w:sdtPr>
          <w:id w:val="-1192767903"/>
          <w:citation/>
        </w:sdtPr>
        <w:sdtEndPr/>
        <w:sdtContent>
          <w:r w:rsidR="0093520A">
            <w:fldChar w:fldCharType="begin"/>
          </w:r>
          <w:r w:rsidR="0093520A">
            <w:instrText xml:space="preserve"> CITATION Edu12 \l 2057 </w:instrText>
          </w:r>
          <w:r w:rsidR="0093520A">
            <w:fldChar w:fldCharType="separate"/>
          </w:r>
          <w:r w:rsidR="000C3EEC">
            <w:rPr>
              <w:noProof/>
            </w:rPr>
            <w:t xml:space="preserve"> (Education Endownment Fund, 2012)</w:t>
          </w:r>
          <w:r w:rsidR="0093520A">
            <w:fldChar w:fldCharType="end"/>
          </w:r>
        </w:sdtContent>
      </w:sdt>
      <w:r>
        <w:t xml:space="preserve">. Throughout interview with SLT and informal </w:t>
      </w:r>
      <w:r w:rsidR="0093520A">
        <w:t>conversations</w:t>
      </w:r>
      <w:r>
        <w:t xml:space="preserve"> with members of the teaching staff at School X, it has </w:t>
      </w:r>
      <w:r>
        <w:lastRenderedPageBreak/>
        <w:t xml:space="preserve">become very apparent that the contribution that the BTA team have in lessons is deemed by staff as substantial; they not only provide the support for learners to access the curriculum but liaise with teaching </w:t>
      </w:r>
      <w:r w:rsidR="00FD4CCC">
        <w:t xml:space="preserve">staff </w:t>
      </w:r>
      <w:r>
        <w:t>to ensure that</w:t>
      </w:r>
      <w:r w:rsidR="0093520A">
        <w:t xml:space="preserve"> the pedagogy in lesson is suitable for effective differentiation. However, it is difficult to measure the impact of BTA</w:t>
      </w:r>
      <w:r w:rsidR="00FD4CCC">
        <w:t>s</w:t>
      </w:r>
      <w:r w:rsidR="0093520A">
        <w:t xml:space="preserve"> in a quantitative manner; all evidence that has been collected for the purposes of this report on the effectiveness of BTAs has come from anecdotal or qualitative evidence. To ensure the effectiveness of BTA</w:t>
      </w:r>
      <w:r w:rsidR="00FD4CCC">
        <w:t>s</w:t>
      </w:r>
      <w:r w:rsidR="0093520A">
        <w:t xml:space="preserve"> in closing the educational attainment gap for those in th</w:t>
      </w:r>
      <w:r w:rsidR="009E0E7C">
        <w:t>e disadvantage</w:t>
      </w:r>
      <w:r w:rsidR="00FD4CCC">
        <w:t>d</w:t>
      </w:r>
      <w:r w:rsidR="009E0E7C">
        <w:t xml:space="preserve"> Roma community, S</w:t>
      </w:r>
      <w:r w:rsidR="0093520A">
        <w:t xml:space="preserve">chool X should consider developing a quantitative tracking system of progression in the level 2 subjects supported by BTAs.  </w:t>
      </w:r>
    </w:p>
    <w:p w:rsidR="00717467" w:rsidRDefault="00717467" w:rsidP="007B2EC2">
      <w:pPr>
        <w:tabs>
          <w:tab w:val="left" w:pos="8222"/>
        </w:tabs>
        <w:jc w:val="both"/>
      </w:pPr>
    </w:p>
    <w:p w:rsidR="00717467" w:rsidRDefault="00717467" w:rsidP="007B2EC2">
      <w:pPr>
        <w:tabs>
          <w:tab w:val="left" w:pos="8222"/>
        </w:tabs>
        <w:jc w:val="both"/>
      </w:pPr>
      <w:r>
        <w:t>However, quantitative evidence for the effectiveness of BTAs is available for their role in increasing the attendance of N2E learners at School X. Within the SIP, BTAs (who are funded from the PDG) are also tasked with raising the level of attendance amongst N2E learners and engaging parents of communities who have often been sceptical of authority figures and institutions. School X does have internal quantitative data available to measure the impact and effectiveness of this. A Department for Education report commissioned in 2014 stated that GRT families and learners are often those most at risk of falling below attendance targets due to poor community relations, school engagement with families and an historical mistrust of authority</w:t>
      </w:r>
      <w:sdt>
        <w:sdtPr>
          <w:id w:val="-1340844722"/>
          <w:citation/>
        </w:sdtPr>
        <w:sdtEndPr/>
        <w:sdtContent>
          <w:r>
            <w:fldChar w:fldCharType="begin"/>
          </w:r>
          <w:r>
            <w:instrText xml:space="preserve"> CITATION Dep14 \l 2057 </w:instrText>
          </w:r>
          <w:r>
            <w:fldChar w:fldCharType="separate"/>
          </w:r>
          <w:r w:rsidR="000C3EEC">
            <w:rPr>
              <w:noProof/>
            </w:rPr>
            <w:t xml:space="preserve"> (Department for Education, 2014)</w:t>
          </w:r>
          <w:r>
            <w:fldChar w:fldCharType="end"/>
          </w:r>
        </w:sdtContent>
      </w:sdt>
      <w:r>
        <w:t>. Over the course of the last 3 years, community out</w:t>
      </w:r>
      <w:r w:rsidR="00FD4CCC">
        <w:t>reach amongst Roma families at S</w:t>
      </w:r>
      <w:r>
        <w:t xml:space="preserve">chool X has increased drastically and this has been aided by the use of BTAs. As already mentioned, attendance has become a top priority </w:t>
      </w:r>
      <w:r w:rsidR="0078658F">
        <w:t xml:space="preserve">across the school, from SLT to </w:t>
      </w:r>
      <w:r>
        <w:t xml:space="preserve">the pastoral team, however, the contribution of BTAs in facilitating parental and community engagement has been fundamental when communicating with families of those who are N2E. This has been reflected in the three year trend of increased attendance for N2E learners and attendance right across the whole school. </w:t>
      </w:r>
      <w:r w:rsidR="00405FD3">
        <w:t>As one member of staff put it in an interview conducted for this report, “it is a slow process of engaging families; it is about building trust.”</w:t>
      </w:r>
      <w:r w:rsidR="00285073">
        <w:t xml:space="preserve"> This notion of building trust was reflected in a Department of Education report which highlighted the importance of developing ‘soft outcomes’ with GRT learners and families</w:t>
      </w:r>
      <w:sdt>
        <w:sdtPr>
          <w:id w:val="356783482"/>
          <w:citation/>
        </w:sdtPr>
        <w:sdtEndPr/>
        <w:sdtContent>
          <w:r w:rsidR="00285073">
            <w:fldChar w:fldCharType="begin"/>
          </w:r>
          <w:r w:rsidR="00285073">
            <w:instrText xml:space="preserve"> CITATION Dep10 \l 2057 </w:instrText>
          </w:r>
          <w:r w:rsidR="00285073">
            <w:fldChar w:fldCharType="separate"/>
          </w:r>
          <w:r w:rsidR="000C3EEC">
            <w:rPr>
              <w:noProof/>
            </w:rPr>
            <w:t xml:space="preserve"> (Department for Education, 2010)</w:t>
          </w:r>
          <w:r w:rsidR="00285073">
            <w:fldChar w:fldCharType="end"/>
          </w:r>
        </w:sdtContent>
      </w:sdt>
      <w:r w:rsidR="00285073">
        <w:t>.</w:t>
      </w:r>
      <w:r w:rsidR="002B1CC5">
        <w:t xml:space="preserve"> These soft outcomes were defined as having a focus on health and wellbeing; focusing on attitudes, motivation, engagement and emotional literacy. As already noted, it has widely been acknowledged that GRT communities face a range of educational, social, cultural and economic barriers to fulfilling their potential in the current education system. School </w:t>
      </w:r>
      <w:proofErr w:type="spellStart"/>
      <w:r w:rsidR="002B1CC5">
        <w:t>Xs</w:t>
      </w:r>
      <w:proofErr w:type="spellEnd"/>
      <w:r w:rsidR="002B1CC5">
        <w:t xml:space="preserve"> approach has, with success, not only managed to increase measurable outcomes in attendance and academic outcomes for GRT learners, it has also</w:t>
      </w:r>
      <w:r w:rsidR="00FD4CCC">
        <w:t xml:space="preserve"> worked to improve</w:t>
      </w:r>
      <w:r w:rsidR="002B1CC5">
        <w:t xml:space="preserve"> these ‘soft outcomes’ of engagement, trust and a change in attitude towards education. It must be noted that this approach is not with</w:t>
      </w:r>
      <w:r w:rsidR="00FD4CCC">
        <w:t>out</w:t>
      </w:r>
      <w:r w:rsidR="002B1CC5">
        <w:t xml:space="preserve"> academic backing. Both the Joseph Rowntree Foundation and the Centre for Excellence and Outcomes in Children and Young People’s services have stated that emotional resilience and attitudes towards education </w:t>
      </w:r>
      <w:r w:rsidR="00FD4CCC">
        <w:t>has</w:t>
      </w:r>
      <w:r w:rsidR="002B1CC5">
        <w:t xml:space="preserve"> a significant impact on closing the educational attainment gap in schools</w:t>
      </w:r>
      <w:sdt>
        <w:sdtPr>
          <w:id w:val="-608736701"/>
          <w:citation/>
        </w:sdtPr>
        <w:sdtEndPr/>
        <w:sdtContent>
          <w:r w:rsidR="002B1CC5">
            <w:fldChar w:fldCharType="begin"/>
          </w:r>
          <w:r w:rsidR="002B1CC5">
            <w:instrText xml:space="preserve"> CITATION Joe12 \l 2057 </w:instrText>
          </w:r>
          <w:r w:rsidR="002B1CC5">
            <w:fldChar w:fldCharType="separate"/>
          </w:r>
          <w:r w:rsidR="000C3EEC">
            <w:rPr>
              <w:noProof/>
            </w:rPr>
            <w:t xml:space="preserve"> (Joesph Rowntree Foundation, 2012)</w:t>
          </w:r>
          <w:r w:rsidR="002B1CC5">
            <w:fldChar w:fldCharType="end"/>
          </w:r>
        </w:sdtContent>
      </w:sdt>
      <w:sdt>
        <w:sdtPr>
          <w:id w:val="1711616331"/>
          <w:citation/>
        </w:sdtPr>
        <w:sdtEndPr/>
        <w:sdtContent>
          <w:r w:rsidR="002B1CC5">
            <w:fldChar w:fldCharType="begin"/>
          </w:r>
          <w:r w:rsidR="002B1CC5">
            <w:instrText xml:space="preserve"> CITATION Cen10 \l 2057 </w:instrText>
          </w:r>
          <w:r w:rsidR="002B1CC5">
            <w:fldChar w:fldCharType="separate"/>
          </w:r>
          <w:r w:rsidR="000C3EEC">
            <w:rPr>
              <w:noProof/>
            </w:rPr>
            <w:t xml:space="preserve"> (Centre for Excellence and Outcomes in Children and Young People's Services, 2010)</w:t>
          </w:r>
          <w:r w:rsidR="002B1CC5">
            <w:fldChar w:fldCharType="end"/>
          </w:r>
        </w:sdtContent>
      </w:sdt>
      <w:r w:rsidR="002B1CC5">
        <w:t>.</w:t>
      </w:r>
    </w:p>
    <w:p w:rsidR="00333D30" w:rsidRDefault="00333D30" w:rsidP="007B2EC2">
      <w:pPr>
        <w:tabs>
          <w:tab w:val="left" w:pos="8222"/>
        </w:tabs>
        <w:jc w:val="both"/>
      </w:pPr>
    </w:p>
    <w:p w:rsidR="00333D30" w:rsidRDefault="00333D30" w:rsidP="007B2EC2">
      <w:pPr>
        <w:tabs>
          <w:tab w:val="left" w:pos="8222"/>
        </w:tabs>
        <w:jc w:val="both"/>
      </w:pPr>
      <w:r>
        <w:t xml:space="preserve">School X has dedicated a portion of its PDG funding to the development of the three core skills that take priority in the new curriculum for Wales: digital competency, literacy and numeracy </w:t>
      </w:r>
      <w:sdt>
        <w:sdtPr>
          <w:id w:val="783929031"/>
          <w:citation/>
        </w:sdtPr>
        <w:sdtEndPr/>
        <w:sdtContent>
          <w:r>
            <w:fldChar w:fldCharType="begin"/>
          </w:r>
          <w:r>
            <w:instrText xml:space="preserve"> CITATION Gra15 \l 2057 </w:instrText>
          </w:r>
          <w:r>
            <w:fldChar w:fldCharType="separate"/>
          </w:r>
          <w:r w:rsidR="000C3EEC">
            <w:rPr>
              <w:noProof/>
            </w:rPr>
            <w:t>(Donaldson, 2015)</w:t>
          </w:r>
          <w:r>
            <w:fldChar w:fldCharType="end"/>
          </w:r>
        </w:sdtContent>
      </w:sdt>
      <w:r>
        <w:t xml:space="preserve">. Statistically, e-FSM learners are likely to have a deficit in these core skills and are more likely to have problems with literacy and numeracy </w:t>
      </w:r>
      <w:sdt>
        <w:sdtPr>
          <w:id w:val="478501119"/>
          <w:citation/>
        </w:sdtPr>
        <w:sdtEndPr/>
        <w:sdtContent>
          <w:r>
            <w:fldChar w:fldCharType="begin"/>
          </w:r>
          <w:r>
            <w:instrText xml:space="preserve"> CITATION Wel14 \l 2057 </w:instrText>
          </w:r>
          <w:r>
            <w:fldChar w:fldCharType="separate"/>
          </w:r>
          <w:r w:rsidR="000C3EEC">
            <w:rPr>
              <w:noProof/>
            </w:rPr>
            <w:t>(Wales Centre for Equity in Eduation, 2014)</w:t>
          </w:r>
          <w:r>
            <w:fldChar w:fldCharType="end"/>
          </w:r>
        </w:sdtContent>
      </w:sdt>
      <w:r>
        <w:t>. One example of how School X uses its PDG funding to tackle the deficit in these skills is funding and remitted time given for the improvement of numeracy standards for all learners; this involves both tracking and numeracy strategies.</w:t>
      </w:r>
      <w:r w:rsidR="00151BD7">
        <w:t xml:space="preserve"> Once identified by the Maths team as requiring extra support, a programme of </w:t>
      </w:r>
      <w:r w:rsidR="00151BD7">
        <w:lastRenderedPageBreak/>
        <w:t xml:space="preserve">numeracy acceleration is put in place to help target learners who are at risk of falling behind with these essential skills. This programme is tracked through a system of quantitative measures. Learners are tested and given a baseline score at the start of the intervention and </w:t>
      </w:r>
      <w:r w:rsidR="00FD4CCC">
        <w:t>then</w:t>
      </w:r>
      <w:r w:rsidR="00151BD7">
        <w:t xml:space="preserve"> put on an intervention programme of numeracy acceleration and tested afterwards to assess the extent to which progress has been made. This programme of intervention and tracking is embedded with</w:t>
      </w:r>
      <w:r w:rsidR="00FD4CCC">
        <w:t>in</w:t>
      </w:r>
      <w:r w:rsidR="00151BD7">
        <w:t xml:space="preserve"> the maths team and the school. However, with the growing importance of digital competency in the new curriculum in Wales, this raise</w:t>
      </w:r>
      <w:r w:rsidR="00FD4CCC">
        <w:t>s question as to how schools can</w:t>
      </w:r>
      <w:r w:rsidR="00151BD7">
        <w:t xml:space="preserve"> </w:t>
      </w:r>
      <w:r w:rsidR="00FD4CCC">
        <w:t>develop similar strategies for</w:t>
      </w:r>
      <w:r w:rsidR="00151BD7">
        <w:t xml:space="preserve"> skill</w:t>
      </w:r>
      <w:r w:rsidR="00FD4CCC">
        <w:t>s that are</w:t>
      </w:r>
      <w:r w:rsidR="00151BD7">
        <w:t xml:space="preserve"> not </w:t>
      </w:r>
      <w:r w:rsidR="00FD4CCC">
        <w:t>as</w:t>
      </w:r>
      <w:r w:rsidR="00151BD7">
        <w:t xml:space="preserve"> easy to measure as numeracy and literacy. School X has decided to </w:t>
      </w:r>
      <w:r w:rsidR="00746B97">
        <w:t>allocate</w:t>
      </w:r>
      <w:r w:rsidR="00151BD7">
        <w:t xml:space="preserve"> funding from its PDG to investigate methods to measure ICT skills. </w:t>
      </w:r>
      <w:r w:rsidR="00746B97">
        <w:t xml:space="preserve">This is an important step in preparing for the changes coming with the implementation of </w:t>
      </w:r>
      <w:r w:rsidR="00746B97" w:rsidRPr="00746B97">
        <w:rPr>
          <w:i/>
        </w:rPr>
        <w:t>Successful Futures</w:t>
      </w:r>
      <w:r w:rsidR="00746B97">
        <w:t>. It is important to notice that School X has taken the decision to implement these interventions towards a whole school approach. Even though the funding for the interventions come from a specific grant awarded for learners who are e-FSM, School X has taken a whole school approach. In an interview with a member of SLT at School X, the rationale behind this decision was give</w:t>
      </w:r>
      <w:r w:rsidR="00FD4CCC">
        <w:t>n</w:t>
      </w:r>
      <w:r w:rsidR="00746B97">
        <w:t>. It was suggested that the School, in certain interventions, takes the approach that a ‘rising tide carries everyone’. This is very important to note. It has often been argued that when allocating resources to close the education</w:t>
      </w:r>
      <w:r w:rsidR="00FD4CCC">
        <w:t>al</w:t>
      </w:r>
      <w:r w:rsidR="00746B97">
        <w:t xml:space="preserve"> attainment gap of disadvantaged learners, it must not have a negative impact on ‘advantaged’ learners </w:t>
      </w:r>
      <w:sdt>
        <w:sdtPr>
          <w:id w:val="-2026706560"/>
          <w:citation/>
        </w:sdtPr>
        <w:sdtEndPr/>
        <w:sdtContent>
          <w:r w:rsidR="00746B97">
            <w:fldChar w:fldCharType="begin"/>
          </w:r>
          <w:r w:rsidR="00746B97">
            <w:instrText xml:space="preserve"> CITATION BER10 \l 2057 </w:instrText>
          </w:r>
          <w:r w:rsidR="00746B97">
            <w:fldChar w:fldCharType="separate"/>
          </w:r>
          <w:r w:rsidR="000C3EEC">
            <w:rPr>
              <w:noProof/>
            </w:rPr>
            <w:t>(BERA, 2010)</w:t>
          </w:r>
          <w:r w:rsidR="00746B97">
            <w:fldChar w:fldCharType="end"/>
          </w:r>
        </w:sdtContent>
      </w:sdt>
      <w:r w:rsidR="00746B97">
        <w:t xml:space="preserve">. </w:t>
      </w:r>
      <w:r w:rsidR="00284494">
        <w:t xml:space="preserve">It has been argued that PDG funding should be targeted solely at those who are the learners who are entitled it, however, this is much easier in theory than in practice. Certain interventions can, and should, be targeted at those who are e-FSM (breakfast clubs etc.). On the other hand, interventions such as in-class support, after school revision and </w:t>
      </w:r>
      <w:r w:rsidR="005D475E">
        <w:t xml:space="preserve">skills acceleration are much harder to target directly at just e-FSM learners. This has </w:t>
      </w:r>
      <w:r w:rsidR="006D2EDF">
        <w:t>brought</w:t>
      </w:r>
      <w:r w:rsidR="005D475E">
        <w:t xml:space="preserve"> about an area of research which is currently a field of contention in education and school funding policy.</w:t>
      </w:r>
      <w:r w:rsidR="00EB66F5">
        <w:t xml:space="preserve"> Estyn has stated that schools should be tacking a whole-school strategic approach to </w:t>
      </w:r>
      <w:r w:rsidR="00FD4CCC">
        <w:t>eradicating</w:t>
      </w:r>
      <w:r w:rsidR="00EB66F5">
        <w:t xml:space="preserve"> disadvantage, including improving all disadvantaged learner’s literacy and learning skills </w:t>
      </w:r>
      <w:sdt>
        <w:sdtPr>
          <w:id w:val="817849737"/>
          <w:citation/>
        </w:sdtPr>
        <w:sdtEndPr/>
        <w:sdtContent>
          <w:r w:rsidR="00EB66F5">
            <w:fldChar w:fldCharType="begin"/>
          </w:r>
          <w:r w:rsidR="00EB66F5">
            <w:instrText xml:space="preserve"> CITATION Wel171 \l 2057 </w:instrText>
          </w:r>
          <w:r w:rsidR="00EB66F5">
            <w:fldChar w:fldCharType="separate"/>
          </w:r>
          <w:r w:rsidR="000C3EEC">
            <w:rPr>
              <w:noProof/>
            </w:rPr>
            <w:t>(Welsh Assembly Government , 2017)</w:t>
          </w:r>
          <w:r w:rsidR="00EB66F5">
            <w:fldChar w:fldCharType="end"/>
          </w:r>
        </w:sdtContent>
      </w:sdt>
      <w:r w:rsidR="00EB66F5">
        <w:t>. This is the approach School X seems to be taking.</w:t>
      </w:r>
    </w:p>
    <w:p w:rsidR="009E0E7C" w:rsidRDefault="009E0E7C" w:rsidP="007B2EC2">
      <w:pPr>
        <w:tabs>
          <w:tab w:val="left" w:pos="8222"/>
        </w:tabs>
        <w:jc w:val="both"/>
      </w:pPr>
    </w:p>
    <w:p w:rsidR="009E0E7C" w:rsidRPr="009C3B61" w:rsidRDefault="009E0E7C" w:rsidP="007B2EC2">
      <w:pPr>
        <w:tabs>
          <w:tab w:val="left" w:pos="8222"/>
        </w:tabs>
        <w:jc w:val="both"/>
      </w:pPr>
      <w:r>
        <w:t>In the core subjects, School X has used a portion of its PDG to provide in class support for e-FSM learners in target class.</w:t>
      </w:r>
      <w:r w:rsidR="00002DC4">
        <w:t xml:space="preserve"> Previously, funding for these three positions had come from a separate grant in which School X was eligible: Schools Challenge </w:t>
      </w:r>
      <w:proofErr w:type="spellStart"/>
      <w:r w:rsidR="00002DC4">
        <w:t>Cymru</w:t>
      </w:r>
      <w:proofErr w:type="spellEnd"/>
      <w:r w:rsidR="00002DC4">
        <w:t xml:space="preserve">. In 2017, the Welsh Government scrapped this programme </w:t>
      </w:r>
      <w:sdt>
        <w:sdtPr>
          <w:id w:val="-1915925267"/>
          <w:citation/>
        </w:sdtPr>
        <w:sdtEndPr/>
        <w:sdtContent>
          <w:r w:rsidR="00002DC4">
            <w:fldChar w:fldCharType="begin"/>
          </w:r>
          <w:r w:rsidR="00002DC4">
            <w:instrText xml:space="preserve"> CITATION BBC171 \l 2057 </w:instrText>
          </w:r>
          <w:r w:rsidR="00002DC4">
            <w:fldChar w:fldCharType="separate"/>
          </w:r>
          <w:r w:rsidR="000C3EEC">
            <w:rPr>
              <w:noProof/>
            </w:rPr>
            <w:t>(BBC News, 2017)</w:t>
          </w:r>
          <w:r w:rsidR="00002DC4">
            <w:fldChar w:fldCharType="end"/>
          </w:r>
        </w:sdtContent>
      </w:sdt>
      <w:r w:rsidR="00002DC4">
        <w:t xml:space="preserve">. As already mentioned, the Education Endowment Fund research has statistically shown that teaching assistants have one of the highest cost, in the form of financial commitment, for the gain in months of progress for learners. This raised the question, during interviews undertaken for this report, of the rationale behind this decision at a strategic priority level. The key strategic priority for School X </w:t>
      </w:r>
      <w:r w:rsidR="00502368">
        <w:t>is to raise the l</w:t>
      </w:r>
      <w:r w:rsidR="00002DC4">
        <w:t>evel 2+ threshold across the school for all learners. Within terms of financing, the cost of the extra support placed into English, Maths and Science was less than hiring a teacher in these departments. In an interview with a member of SLT, it was mentioned that the rationale behind</w:t>
      </w:r>
      <w:r w:rsidR="00502368">
        <w:t xml:space="preserve"> these appointments were made in</w:t>
      </w:r>
      <w:r w:rsidR="00002DC4">
        <w:t xml:space="preserve"> a cost-benefit analysis. By providing in class support to these subjects, support could be spread around for the least value. </w:t>
      </w:r>
      <w:r w:rsidR="00306071">
        <w:t xml:space="preserve">Alongside supporting in target classes, these </w:t>
      </w:r>
      <w:r w:rsidR="00002DC4">
        <w:t>level 3 teaching assistants also provide the intervention programmes for the numer</w:t>
      </w:r>
      <w:r w:rsidR="00306071">
        <w:t>acy and literacy accelerations. It is difficult to pin any progress made by learners specifically on the support given by these teaching assistants in the classes they support as many of these learners will benefit from more than one of the intervention programmes that School X puts in place for learners who are deemed to be at risk of not meeting targets. However, in the climate of financial constraints on schools, it is increasingly difficult for school to match the requirements of the school with the financial resources available to them. Therefore, decisions made must be measure</w:t>
      </w:r>
      <w:r w:rsidR="00502368">
        <w:t>d</w:t>
      </w:r>
      <w:r w:rsidR="00306071">
        <w:t xml:space="preserve"> and cost-benefit analysis must show that the benefits of these decisions must outweigh the cost to the school. In this case, the school has made this decision, therefore, this has led </w:t>
      </w:r>
      <w:r w:rsidR="00306071">
        <w:lastRenderedPageBreak/>
        <w:t xml:space="preserve">to recommendation number 6: ensure a robust programme of professional learning is made available to ensure that the staffing from PDG funding is most impactful and has the best value for money.   </w:t>
      </w:r>
    </w:p>
    <w:p w:rsidR="009C3B61" w:rsidRPr="009C3B61" w:rsidRDefault="009C3B61">
      <w:pPr>
        <w:rPr>
          <w:b/>
        </w:rPr>
      </w:pPr>
    </w:p>
    <w:p w:rsidR="00DE25E8" w:rsidRDefault="00BE24FD">
      <w:pPr>
        <w:rPr>
          <w:b/>
          <w:sz w:val="28"/>
          <w:szCs w:val="28"/>
        </w:rPr>
      </w:pPr>
      <w:r>
        <w:rPr>
          <w:b/>
          <w:sz w:val="28"/>
          <w:szCs w:val="28"/>
        </w:rPr>
        <w:t>Conclusion</w:t>
      </w:r>
    </w:p>
    <w:p w:rsidR="00077A08" w:rsidRDefault="00306071" w:rsidP="00306071">
      <w:pPr>
        <w:jc w:val="both"/>
      </w:pPr>
      <w:r>
        <w:t xml:space="preserve">During the course of this investigation into educational disadvantage, it has become very clear that schools across Wales face ever more increasing challenges when allocating resources in the harsh financial climates that public services find themselves in today. Schools funding has always been at the discretion of the political climate of the time and over the past twenty years, closing the educational attainment gap for those who experience educational disadvantage is a key national priority. </w:t>
      </w:r>
      <w:r w:rsidR="00077A08">
        <w:t xml:space="preserve">Those schools in Wales today who have high levels of e-FSM learners are eligible for extra funding in the form of the PDG. School X – a school which has a unique cohort – is an example of a school which faces </w:t>
      </w:r>
      <w:r w:rsidR="00502368">
        <w:t>these</w:t>
      </w:r>
      <w:r w:rsidR="00077A08">
        <w:t xml:space="preserve"> challenges. Most research within the field of closing the educational attainment gap </w:t>
      </w:r>
      <w:r w:rsidR="00502368">
        <w:t>has</w:t>
      </w:r>
      <w:r w:rsidR="00077A08">
        <w:t xml:space="preserve"> agreed that for interventions to be value for money, they must be impactful. Interventions must follow this flow:</w:t>
      </w:r>
    </w:p>
    <w:p w:rsidR="00306071" w:rsidRPr="00306071" w:rsidRDefault="00077A08" w:rsidP="00306071">
      <w:pPr>
        <w:jc w:val="both"/>
      </w:pPr>
      <w:r>
        <w:rPr>
          <w:noProof/>
          <w:lang w:eastAsia="en-GB"/>
        </w:rPr>
        <w:drawing>
          <wp:inline distT="0" distB="0" distL="0" distR="0">
            <wp:extent cx="5486400" cy="818776"/>
            <wp:effectExtent l="0" t="0" r="19050" b="1968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306071">
        <w:t xml:space="preserve"> </w:t>
      </w:r>
    </w:p>
    <w:p w:rsidR="00306071" w:rsidRDefault="00077A08">
      <w:r>
        <w:t xml:space="preserve">Adapted from </w:t>
      </w:r>
      <w:sdt>
        <w:sdtPr>
          <w:id w:val="42332309"/>
          <w:citation/>
        </w:sdtPr>
        <w:sdtEndPr/>
        <w:sdtContent>
          <w:r>
            <w:fldChar w:fldCharType="begin"/>
          </w:r>
          <w:r>
            <w:instrText xml:space="preserve"> CITATION Joe12 \l 2057 </w:instrText>
          </w:r>
          <w:r>
            <w:fldChar w:fldCharType="separate"/>
          </w:r>
          <w:r w:rsidR="000C3EEC">
            <w:rPr>
              <w:noProof/>
            </w:rPr>
            <w:t>(Joesph Rowntree Foundation, 2012)</w:t>
          </w:r>
          <w:r>
            <w:fldChar w:fldCharType="end"/>
          </w:r>
        </w:sdtContent>
      </w:sdt>
    </w:p>
    <w:p w:rsidR="00077A08" w:rsidRPr="000551C0" w:rsidRDefault="00077A08" w:rsidP="00077A08">
      <w:pPr>
        <w:jc w:val="both"/>
        <w:rPr>
          <w:b/>
          <w:sz w:val="28"/>
          <w:szCs w:val="28"/>
        </w:rPr>
      </w:pPr>
      <w:r>
        <w:t xml:space="preserve">School X, using its PDG funding, has taken the mixed approach to how it deploys funding. Two schools of thought exist on how funding is deployed: specifically targeting e-FSM learners, or a whole school approach. School X has used a hybrid system in which certain interventions target solely e-FSM learners while other interventions target on a whole-school approach. This is reflective of what educational disadvantage looks like at School X. High pupil mobility rates and cultural factors mean that the deployment of resources, in line with the PLASC statement of learners, is not always reflective of the needs of those who are at risk of </w:t>
      </w:r>
      <w:r w:rsidR="00C45AAE">
        <w:t>suffering the impact of educational disadvantage at the end of the academic year. This has made allocating resources a cha</w:t>
      </w:r>
      <w:r w:rsidR="00502368">
        <w:t>llenging</w:t>
      </w:r>
      <w:r w:rsidR="00C45AAE">
        <w:t xml:space="preserve"> but</w:t>
      </w:r>
      <w:r w:rsidR="00502368">
        <w:t xml:space="preserve"> an</w:t>
      </w:r>
      <w:r w:rsidR="00C45AAE">
        <w:t xml:space="preserve"> important issue for the SLT at School X. After analysing the way PDG funding has been deployed to close the educational achievement gap, this report gives six recommendations. The first recommendation is on a national level concerning how PDG funding is designated; however, the remaining five recommendations concern how School X may wish to review and measure the impact of its deployment of PDG funding.</w:t>
      </w:r>
    </w:p>
    <w:p w:rsidR="006B734F" w:rsidRDefault="006B734F">
      <w:pPr>
        <w:rPr>
          <w:b/>
          <w:sz w:val="28"/>
          <w:szCs w:val="28"/>
        </w:rPr>
      </w:pPr>
    </w:p>
    <w:p w:rsidR="00DE25E8" w:rsidRDefault="00DE25E8">
      <w:pPr>
        <w:rPr>
          <w:b/>
          <w:sz w:val="28"/>
          <w:szCs w:val="28"/>
        </w:rPr>
      </w:pPr>
      <w:r w:rsidRPr="000551C0">
        <w:rPr>
          <w:b/>
          <w:sz w:val="28"/>
          <w:szCs w:val="28"/>
        </w:rPr>
        <w:t>Recommendations</w:t>
      </w:r>
    </w:p>
    <w:p w:rsidR="000551C0" w:rsidRDefault="000551C0">
      <w:pPr>
        <w:rPr>
          <w:b/>
          <w:sz w:val="28"/>
          <w:szCs w:val="28"/>
        </w:rPr>
      </w:pPr>
    </w:p>
    <w:p w:rsidR="000551C0" w:rsidRPr="00F127FB" w:rsidRDefault="000551C0" w:rsidP="000551C0">
      <w:pPr>
        <w:ind w:left="1440" w:hanging="720"/>
        <w:jc w:val="both"/>
      </w:pPr>
      <w:r w:rsidRPr="00F127FB">
        <w:rPr>
          <w:b/>
        </w:rPr>
        <w:t>R1</w:t>
      </w:r>
      <w:r w:rsidRPr="00F127FB">
        <w:rPr>
          <w:b/>
        </w:rPr>
        <w:tab/>
      </w:r>
      <w:r w:rsidRPr="00F127FB">
        <w:t xml:space="preserve">The Welsh Assembly Government should consider introducing a system similar to DoE </w:t>
      </w:r>
      <w:r w:rsidRPr="00F127FB">
        <w:rPr>
          <w:i/>
        </w:rPr>
        <w:t>Ever 6</w:t>
      </w:r>
      <w:r w:rsidRPr="00F127FB">
        <w:t xml:space="preserve"> policy to ensure schools with high pupil mobility rates or </w:t>
      </w:r>
      <w:r w:rsidRPr="00F127FB">
        <w:rPr>
          <w:i/>
        </w:rPr>
        <w:t>Just About Managing</w:t>
      </w:r>
      <w:r w:rsidR="009972AE" w:rsidRPr="00F127FB">
        <w:rPr>
          <w:rStyle w:val="FootnoteReference"/>
          <w:i/>
        </w:rPr>
        <w:footnoteReference w:id="1"/>
      </w:r>
      <w:r w:rsidRPr="00F127FB">
        <w:t xml:space="preserve"> families are also eligible for PDG funding.</w:t>
      </w:r>
    </w:p>
    <w:p w:rsidR="00CB6303" w:rsidRDefault="00CB6303" w:rsidP="000551C0">
      <w:pPr>
        <w:ind w:left="1440" w:hanging="720"/>
        <w:jc w:val="both"/>
      </w:pPr>
      <w:r w:rsidRPr="00F127FB">
        <w:rPr>
          <w:b/>
        </w:rPr>
        <w:lastRenderedPageBreak/>
        <w:t>R2</w:t>
      </w:r>
      <w:r w:rsidRPr="00F127FB">
        <w:rPr>
          <w:b/>
        </w:rPr>
        <w:tab/>
      </w:r>
      <w:r w:rsidRPr="00F127FB">
        <w:t>School X should continue funding the role of</w:t>
      </w:r>
      <w:r w:rsidR="00AB6F75" w:rsidRPr="00F127FB">
        <w:t xml:space="preserve"> an</w:t>
      </w:r>
      <w:r w:rsidRPr="00F127FB">
        <w:t xml:space="preserve"> attendance officer through PDG funding to ensure that all attendance increase</w:t>
      </w:r>
      <w:r w:rsidR="00502368">
        <w:t>s</w:t>
      </w:r>
      <w:r w:rsidRPr="00F127FB">
        <w:t xml:space="preserve">, but more specifically, e-FSM attendance continues to rise to match that of n-FSM attendance. </w:t>
      </w:r>
    </w:p>
    <w:p w:rsidR="0093520A" w:rsidRDefault="0093520A" w:rsidP="000551C0">
      <w:pPr>
        <w:ind w:left="1440" w:hanging="720"/>
        <w:jc w:val="both"/>
        <w:rPr>
          <w:b/>
        </w:rPr>
      </w:pPr>
      <w:r>
        <w:rPr>
          <w:b/>
        </w:rPr>
        <w:t xml:space="preserve">R3 </w:t>
      </w:r>
      <w:r>
        <w:rPr>
          <w:b/>
        </w:rPr>
        <w:tab/>
      </w:r>
      <w:r w:rsidRPr="0093520A">
        <w:t>Develop a quantitative system of tracking to monitor the effective use of BTA</w:t>
      </w:r>
      <w:r w:rsidR="00502368">
        <w:t>s</w:t>
      </w:r>
      <w:r w:rsidRPr="0093520A">
        <w:t xml:space="preserve"> and their deployment to target classes; ensure that anecdotal evidence of effectiveness of BTAs in supporting N2E learners is supported with quantitative data to ensure best deployment for value for money.</w:t>
      </w:r>
      <w:r>
        <w:rPr>
          <w:b/>
        </w:rPr>
        <w:t xml:space="preserve"> </w:t>
      </w:r>
    </w:p>
    <w:p w:rsidR="004D085E" w:rsidRDefault="004D085E" w:rsidP="000551C0">
      <w:pPr>
        <w:ind w:left="1440" w:hanging="720"/>
        <w:jc w:val="both"/>
      </w:pPr>
      <w:r>
        <w:rPr>
          <w:b/>
        </w:rPr>
        <w:t>R4</w:t>
      </w:r>
      <w:r>
        <w:rPr>
          <w:b/>
        </w:rPr>
        <w:tab/>
      </w:r>
      <w:r w:rsidRPr="004D085E">
        <w:t>Develop more positive community links to ensure parental engagem</w:t>
      </w:r>
      <w:r>
        <w:t>ent can have a positive impact o</w:t>
      </w:r>
      <w:r w:rsidRPr="004D085E">
        <w:t>n learning and can be utilised to close the educational attainment gap for those learners who are at most risk of not achieving their full potential.</w:t>
      </w:r>
    </w:p>
    <w:p w:rsidR="009E0E7C" w:rsidRDefault="00EF2C0D" w:rsidP="009E0E7C">
      <w:pPr>
        <w:ind w:left="1440" w:hanging="720"/>
        <w:jc w:val="both"/>
        <w:rPr>
          <w:b/>
        </w:rPr>
      </w:pPr>
      <w:r>
        <w:rPr>
          <w:b/>
        </w:rPr>
        <w:t>R5</w:t>
      </w:r>
      <w:r>
        <w:rPr>
          <w:b/>
        </w:rPr>
        <w:tab/>
      </w:r>
      <w:r>
        <w:t>Continue to investigate</w:t>
      </w:r>
      <w:r w:rsidRPr="00EF2C0D">
        <w:t xml:space="preserve"> system</w:t>
      </w:r>
      <w:r>
        <w:t>s for measuring</w:t>
      </w:r>
      <w:r w:rsidRPr="00EF2C0D">
        <w:t xml:space="preserve"> skills related to digital competency and develop a system to identify and track those learners who lack the essential digital skills to fulfil their potential in line w</w:t>
      </w:r>
      <w:r w:rsidR="00502368">
        <w:t>ith the recommendations outlined</w:t>
      </w:r>
      <w:r w:rsidRPr="00EF2C0D">
        <w:t xml:space="preserve"> in the </w:t>
      </w:r>
      <w:r w:rsidRPr="00EF2C0D">
        <w:rPr>
          <w:i/>
        </w:rPr>
        <w:t>Digital Competency</w:t>
      </w:r>
      <w:r w:rsidRPr="00EF2C0D">
        <w:t xml:space="preserve"> </w:t>
      </w:r>
      <w:r w:rsidRPr="00EF2C0D">
        <w:rPr>
          <w:i/>
        </w:rPr>
        <w:t>Framework</w:t>
      </w:r>
      <w:r w:rsidRPr="00EF2C0D">
        <w:t xml:space="preserve"> and </w:t>
      </w:r>
      <w:r w:rsidRPr="00EF2C0D">
        <w:rPr>
          <w:i/>
        </w:rPr>
        <w:t>Success Futures</w:t>
      </w:r>
      <w:r w:rsidRPr="00EF2C0D">
        <w:t>.</w:t>
      </w:r>
      <w:r>
        <w:rPr>
          <w:b/>
        </w:rPr>
        <w:t xml:space="preserve"> </w:t>
      </w:r>
    </w:p>
    <w:p w:rsidR="009E0E7C" w:rsidRPr="009E0E7C" w:rsidRDefault="009E0E7C" w:rsidP="009E0E7C">
      <w:pPr>
        <w:ind w:left="1440" w:hanging="720"/>
        <w:jc w:val="both"/>
      </w:pPr>
      <w:r>
        <w:rPr>
          <w:b/>
        </w:rPr>
        <w:t>R6</w:t>
      </w:r>
      <w:r>
        <w:rPr>
          <w:b/>
        </w:rPr>
        <w:tab/>
      </w:r>
      <w:r w:rsidRPr="009E0E7C">
        <w:t>Ensure that a robust programme of professional learning is made available for</w:t>
      </w:r>
      <w:r w:rsidR="00685114">
        <w:t xml:space="preserve"> all</w:t>
      </w:r>
      <w:r w:rsidRPr="009E0E7C">
        <w:t xml:space="preserve"> in class support teaching assistant</w:t>
      </w:r>
      <w:r w:rsidR="00685114">
        <w:t>s</w:t>
      </w:r>
      <w:r w:rsidRPr="009E0E7C">
        <w:t xml:space="preserve"> to ensure that their deployment is as impactful on closing the educational attainment gap for e-FSM learners</w:t>
      </w:r>
      <w:r w:rsidR="00685114">
        <w:t xml:space="preserve"> as possible</w:t>
      </w:r>
      <w:r w:rsidRPr="009E0E7C">
        <w:t xml:space="preserve">. Develop the culture of collaboration that exists between some language support and in class support assistants to </w:t>
      </w:r>
      <w:r w:rsidR="00502368">
        <w:t>ensure the most value for money and effective use of specialist skills.</w:t>
      </w:r>
    </w:p>
    <w:p w:rsidR="009A2AFA" w:rsidRPr="009A2AFA" w:rsidRDefault="009A2AFA" w:rsidP="009A2AFA">
      <w:pPr>
        <w:rPr>
          <w:b/>
          <w:sz w:val="28"/>
          <w:szCs w:val="28"/>
        </w:rPr>
      </w:pPr>
      <w:r>
        <w:rPr>
          <w:b/>
          <w:sz w:val="28"/>
          <w:szCs w:val="28"/>
        </w:rPr>
        <w:br w:type="page"/>
      </w:r>
    </w:p>
    <w:p w:rsidR="00DE25E8" w:rsidRDefault="00DE25E8">
      <w:pPr>
        <w:rPr>
          <w:b/>
          <w:sz w:val="28"/>
          <w:szCs w:val="28"/>
        </w:rPr>
      </w:pPr>
      <w:r w:rsidRPr="000551C0">
        <w:rPr>
          <w:b/>
          <w:sz w:val="28"/>
          <w:szCs w:val="28"/>
        </w:rPr>
        <w:lastRenderedPageBreak/>
        <w:t>Appendices</w:t>
      </w:r>
    </w:p>
    <w:p w:rsidR="009A2AFA" w:rsidRDefault="009A2AFA">
      <w:pPr>
        <w:rPr>
          <w:b/>
          <w:sz w:val="28"/>
          <w:szCs w:val="28"/>
        </w:rPr>
      </w:pPr>
      <w:r>
        <w:rPr>
          <w:b/>
          <w:sz w:val="28"/>
          <w:szCs w:val="28"/>
        </w:rPr>
        <w:t>Appendix I</w:t>
      </w:r>
    </w:p>
    <w:p w:rsidR="009A2AFA" w:rsidRDefault="009A2AFA">
      <w:pPr>
        <w:rPr>
          <w:b/>
          <w:sz w:val="28"/>
          <w:szCs w:val="28"/>
        </w:rPr>
      </w:pPr>
      <w:r>
        <w:rPr>
          <w:b/>
          <w:sz w:val="28"/>
          <w:szCs w:val="28"/>
        </w:rPr>
        <w:t xml:space="preserve">Graph showing attendance </w:t>
      </w:r>
      <w:r w:rsidR="00CB6303">
        <w:rPr>
          <w:b/>
          <w:sz w:val="28"/>
          <w:szCs w:val="28"/>
        </w:rPr>
        <w:t>by FSM learners in School X</w:t>
      </w:r>
    </w:p>
    <w:p w:rsidR="009A2AFA" w:rsidRPr="000551C0" w:rsidRDefault="009A2AFA">
      <w:pPr>
        <w:rPr>
          <w:b/>
          <w:sz w:val="28"/>
          <w:szCs w:val="28"/>
        </w:rPr>
      </w:pPr>
      <w:r>
        <w:rPr>
          <w:noProof/>
          <w:lang w:eastAsia="en-GB"/>
        </w:rPr>
        <w:drawing>
          <wp:inline distT="0" distB="0" distL="0" distR="0" wp14:anchorId="72AFACC7" wp14:editId="2D4940B3">
            <wp:extent cx="5731510" cy="38169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16985"/>
                    </a:xfrm>
                    <a:prstGeom prst="rect">
                      <a:avLst/>
                    </a:prstGeom>
                  </pic:spPr>
                </pic:pic>
              </a:graphicData>
            </a:graphic>
          </wp:inline>
        </w:drawing>
      </w:r>
    </w:p>
    <w:p w:rsidR="004A7D1D" w:rsidRDefault="00843447">
      <w:r>
        <w:t>School X Attendance 2016-17</w:t>
      </w:r>
      <w:sdt>
        <w:sdtPr>
          <w:id w:val="1789844622"/>
          <w:citation/>
        </w:sdtPr>
        <w:sdtEndPr/>
        <w:sdtContent>
          <w:r>
            <w:fldChar w:fldCharType="begin"/>
          </w:r>
          <w:r>
            <w:instrText xml:space="preserve"> CITATION All17 \l 2057 </w:instrText>
          </w:r>
          <w:r>
            <w:fldChar w:fldCharType="separate"/>
          </w:r>
          <w:r w:rsidR="000C3EEC">
            <w:rPr>
              <w:noProof/>
            </w:rPr>
            <w:t xml:space="preserve"> (All Wales Core Data Set, 2016-17)</w:t>
          </w:r>
          <w:r>
            <w:fldChar w:fldCharType="end"/>
          </w:r>
        </w:sdtContent>
      </w:sdt>
      <w:r w:rsidR="004A7D1D">
        <w:br w:type="page"/>
      </w:r>
    </w:p>
    <w:sdt>
      <w:sdtPr>
        <w:rPr>
          <w:rFonts w:asciiTheme="minorHAnsi" w:eastAsiaTheme="minorHAnsi" w:hAnsiTheme="minorHAnsi" w:cstheme="minorBidi"/>
          <w:color w:val="auto"/>
          <w:sz w:val="22"/>
          <w:szCs w:val="22"/>
          <w:lang w:val="en-GB"/>
        </w:rPr>
        <w:id w:val="-1951156359"/>
        <w:docPartObj>
          <w:docPartGallery w:val="Bibliographies"/>
          <w:docPartUnique/>
        </w:docPartObj>
      </w:sdtPr>
      <w:sdtEndPr/>
      <w:sdtContent>
        <w:p w:rsidR="004A7D1D" w:rsidRDefault="004A7D1D" w:rsidP="004A7D1D">
          <w:pPr>
            <w:pStyle w:val="Heading1"/>
          </w:pPr>
          <w:r>
            <w:t>Bibliography</w:t>
          </w:r>
        </w:p>
        <w:sdt>
          <w:sdtPr>
            <w:id w:val="111145805"/>
            <w:bibliography/>
          </w:sdtPr>
          <w:sdtEndPr/>
          <w:sdtContent>
            <w:p w:rsidR="000C3EEC" w:rsidRDefault="004A7D1D" w:rsidP="000C3EEC">
              <w:pPr>
                <w:pStyle w:val="Bibliography"/>
                <w:ind w:left="720" w:hanging="720"/>
                <w:rPr>
                  <w:noProof/>
                  <w:sz w:val="24"/>
                  <w:szCs w:val="24"/>
                  <w:lang w:val="en-US"/>
                </w:rPr>
              </w:pPr>
              <w:r>
                <w:fldChar w:fldCharType="begin"/>
              </w:r>
              <w:r>
                <w:instrText xml:space="preserve"> BIBLIOGRAPHY </w:instrText>
              </w:r>
              <w:r>
                <w:fldChar w:fldCharType="separate"/>
              </w:r>
              <w:r w:rsidR="000C3EEC">
                <w:rPr>
                  <w:noProof/>
                  <w:lang w:val="en-US"/>
                </w:rPr>
                <w:t xml:space="preserve">All Wales Core Data Set. (2016-17). </w:t>
              </w:r>
              <w:r w:rsidR="000C3EEC">
                <w:rPr>
                  <w:i/>
                  <w:iCs/>
                  <w:noProof/>
                  <w:lang w:val="en-US"/>
                </w:rPr>
                <w:t>School X Attendence.</w:t>
              </w:r>
              <w:r w:rsidR="000C3EEC">
                <w:rPr>
                  <w:noProof/>
                  <w:lang w:val="en-US"/>
                </w:rPr>
                <w:t xml:space="preserve"> WAG.</w:t>
              </w:r>
            </w:p>
            <w:p w:rsidR="000C3EEC" w:rsidRDefault="000C3EEC" w:rsidP="000C3EEC">
              <w:pPr>
                <w:pStyle w:val="Bibliography"/>
                <w:ind w:left="720" w:hanging="720"/>
                <w:rPr>
                  <w:noProof/>
                  <w:lang w:val="en-US"/>
                </w:rPr>
              </w:pPr>
              <w:r>
                <w:rPr>
                  <w:noProof/>
                  <w:lang w:val="en-US"/>
                </w:rPr>
                <w:t xml:space="preserve">BBC News. (2017). </w:t>
              </w:r>
              <w:r>
                <w:rPr>
                  <w:i/>
                  <w:iCs/>
                  <w:noProof/>
                  <w:lang w:val="en-US"/>
                </w:rPr>
                <w:t>BBC News</w:t>
              </w:r>
              <w:r>
                <w:rPr>
                  <w:noProof/>
                  <w:lang w:val="en-US"/>
                </w:rPr>
                <w:t>. Retrieved 4 8, 2018, from http://www.bbc.co.uk/news/uk-wales-politics-42152383</w:t>
              </w:r>
            </w:p>
            <w:p w:rsidR="000C3EEC" w:rsidRDefault="000C3EEC" w:rsidP="000C3EEC">
              <w:pPr>
                <w:pStyle w:val="Bibliography"/>
                <w:ind w:left="720" w:hanging="720"/>
                <w:rPr>
                  <w:noProof/>
                  <w:lang w:val="en-US"/>
                </w:rPr>
              </w:pPr>
              <w:r>
                <w:rPr>
                  <w:noProof/>
                  <w:lang w:val="en-US"/>
                </w:rPr>
                <w:t xml:space="preserve">BBC News. (2017). </w:t>
              </w:r>
              <w:r>
                <w:rPr>
                  <w:i/>
                  <w:iCs/>
                  <w:noProof/>
                  <w:lang w:val="en-US"/>
                </w:rPr>
                <w:t>Scrapped School Challenge Cymru Scheme 'was remarkable'</w:t>
              </w:r>
              <w:r>
                <w:rPr>
                  <w:noProof/>
                  <w:lang w:val="en-US"/>
                </w:rPr>
                <w:t>. Retrieved 4 12, 2018, from http://www.bbc.co.uk/news/uk-wales-politics-40433092</w:t>
              </w:r>
            </w:p>
            <w:p w:rsidR="000C3EEC" w:rsidRDefault="000C3EEC" w:rsidP="000C3EEC">
              <w:pPr>
                <w:pStyle w:val="Bibliography"/>
                <w:ind w:left="720" w:hanging="720"/>
                <w:rPr>
                  <w:noProof/>
                  <w:lang w:val="en-US"/>
                </w:rPr>
              </w:pPr>
              <w:r>
                <w:rPr>
                  <w:noProof/>
                  <w:lang w:val="en-US"/>
                </w:rPr>
                <w:t xml:space="preserve">BERA. (2010). </w:t>
              </w:r>
              <w:r>
                <w:rPr>
                  <w:i/>
                  <w:iCs/>
                  <w:noProof/>
                  <w:lang w:val="en-US"/>
                </w:rPr>
                <w:t>Socal inequlaity: can schools narrow the gap?</w:t>
              </w:r>
              <w:r>
                <w:rPr>
                  <w:noProof/>
                  <w:lang w:val="en-US"/>
                </w:rPr>
                <w:t xml:space="preserve"> Macclesfield: BERA.</w:t>
              </w:r>
            </w:p>
            <w:p w:rsidR="000C3EEC" w:rsidRDefault="000C3EEC" w:rsidP="000C3EEC">
              <w:pPr>
                <w:pStyle w:val="Bibliography"/>
                <w:ind w:left="720" w:hanging="720"/>
                <w:rPr>
                  <w:noProof/>
                  <w:lang w:val="en-US"/>
                </w:rPr>
              </w:pPr>
              <w:r>
                <w:rPr>
                  <w:noProof/>
                  <w:lang w:val="en-US"/>
                </w:rPr>
                <w:t xml:space="preserve">British Educational Research Association BERA. (2011). </w:t>
              </w:r>
              <w:r>
                <w:rPr>
                  <w:i/>
                  <w:iCs/>
                  <w:noProof/>
                  <w:lang w:val="en-US"/>
                </w:rPr>
                <w:t>Ethics and Guidelines for Educational Research</w:t>
              </w:r>
              <w:r>
                <w:rPr>
                  <w:noProof/>
                  <w:lang w:val="en-US"/>
                </w:rPr>
                <w:t>. Retrieved from BERA: http://content.yudu.com/Library/A2xnp5/Bera/resources/index.htm?referrerUrl=http://free.yudu.com/item/details/2023387/Bera</w:t>
              </w:r>
            </w:p>
            <w:p w:rsidR="000C3EEC" w:rsidRDefault="000C3EEC" w:rsidP="000C3EEC">
              <w:pPr>
                <w:pStyle w:val="Bibliography"/>
                <w:ind w:left="720" w:hanging="720"/>
                <w:rPr>
                  <w:noProof/>
                  <w:lang w:val="en-US"/>
                </w:rPr>
              </w:pPr>
              <w:r>
                <w:rPr>
                  <w:noProof/>
                  <w:lang w:val="en-US"/>
                </w:rPr>
                <w:t xml:space="preserve">Centre for Excellence and Outcomes in Children and Young People's Services. (2010). </w:t>
              </w:r>
              <w:r>
                <w:rPr>
                  <w:i/>
                  <w:iCs/>
                  <w:noProof/>
                  <w:lang w:val="en-US"/>
                </w:rPr>
                <w:t>Narrowing the gap in educational achievement and improving emotional resilience for children and young people with additional needs.</w:t>
              </w:r>
              <w:r>
                <w:rPr>
                  <w:noProof/>
                  <w:lang w:val="en-US"/>
                </w:rPr>
                <w:t xml:space="preserve"> London: C4EO.</w:t>
              </w:r>
            </w:p>
            <w:p w:rsidR="000C3EEC" w:rsidRDefault="000C3EEC" w:rsidP="000C3EEC">
              <w:pPr>
                <w:pStyle w:val="Bibliography"/>
                <w:ind w:left="720" w:hanging="720"/>
                <w:rPr>
                  <w:noProof/>
                  <w:lang w:val="en-US"/>
                </w:rPr>
              </w:pPr>
              <w:r>
                <w:rPr>
                  <w:noProof/>
                  <w:lang w:val="en-US"/>
                </w:rPr>
                <w:t xml:space="preserve">Department for Education. (2010). </w:t>
              </w:r>
              <w:r>
                <w:rPr>
                  <w:i/>
                  <w:iCs/>
                  <w:noProof/>
                  <w:lang w:val="en-US"/>
                </w:rPr>
                <w:t>Improving the outcomes for Gypsy, Roma and Traveller pupils: final report.</w:t>
              </w:r>
              <w:r>
                <w:rPr>
                  <w:noProof/>
                  <w:lang w:val="en-US"/>
                </w:rPr>
                <w:t xml:space="preserve"> London: HMSO.</w:t>
              </w:r>
            </w:p>
            <w:p w:rsidR="000C3EEC" w:rsidRDefault="000C3EEC" w:rsidP="000C3EEC">
              <w:pPr>
                <w:pStyle w:val="Bibliography"/>
                <w:ind w:left="720" w:hanging="720"/>
                <w:rPr>
                  <w:noProof/>
                  <w:lang w:val="en-US"/>
                </w:rPr>
              </w:pPr>
              <w:r>
                <w:rPr>
                  <w:noProof/>
                  <w:lang w:val="en-US"/>
                </w:rPr>
                <w:t xml:space="preserve">Department for Education. (2014). </w:t>
              </w:r>
              <w:r>
                <w:rPr>
                  <w:i/>
                  <w:iCs/>
                  <w:noProof/>
                  <w:lang w:val="en-US"/>
                </w:rPr>
                <w:t>Gypsy, Roma and Traveller pupils: supporting access to education</w:t>
              </w:r>
              <w:r>
                <w:rPr>
                  <w:noProof/>
                  <w:lang w:val="en-US"/>
                </w:rPr>
                <w:t>. Retrieved 04 12, 2018, from https://www.gov.uk/government/case-studies/gypsy-roma-and-traveller-pupils-supporting-access-to-education</w:t>
              </w:r>
            </w:p>
            <w:p w:rsidR="000C3EEC" w:rsidRDefault="000C3EEC" w:rsidP="000C3EEC">
              <w:pPr>
                <w:pStyle w:val="Bibliography"/>
                <w:ind w:left="720" w:hanging="720"/>
                <w:rPr>
                  <w:noProof/>
                  <w:lang w:val="en-US"/>
                </w:rPr>
              </w:pPr>
              <w:r>
                <w:rPr>
                  <w:noProof/>
                  <w:lang w:val="en-US"/>
                </w:rPr>
                <w:t xml:space="preserve">Donaldson, G. (2015). </w:t>
              </w:r>
              <w:r>
                <w:rPr>
                  <w:i/>
                  <w:iCs/>
                  <w:noProof/>
                  <w:lang w:val="en-US"/>
                </w:rPr>
                <w:t>Successful Futures: Independent review of curriculum and assessment arrangements in Wales .</w:t>
              </w:r>
              <w:r>
                <w:rPr>
                  <w:noProof/>
                  <w:lang w:val="en-US"/>
                </w:rPr>
                <w:t xml:space="preserve"> Cardiff: Welsh Assembly Government.</w:t>
              </w:r>
            </w:p>
            <w:p w:rsidR="000C3EEC" w:rsidRDefault="000C3EEC" w:rsidP="000C3EEC">
              <w:pPr>
                <w:pStyle w:val="Bibliography"/>
                <w:ind w:left="720" w:hanging="720"/>
                <w:rPr>
                  <w:noProof/>
                  <w:lang w:val="en-US"/>
                </w:rPr>
              </w:pPr>
              <w:r>
                <w:rPr>
                  <w:noProof/>
                  <w:lang w:val="en-US"/>
                </w:rPr>
                <w:t xml:space="preserve">Education Endownment Fund. (2012). </w:t>
              </w:r>
              <w:r>
                <w:rPr>
                  <w:i/>
                  <w:iCs/>
                  <w:noProof/>
                  <w:lang w:val="en-US"/>
                </w:rPr>
                <w:t>Teaching and Learning Toolkit</w:t>
              </w:r>
              <w:r>
                <w:rPr>
                  <w:noProof/>
                  <w:lang w:val="en-US"/>
                </w:rPr>
                <w:t>. Retrieved 4 12, 2018, from https://educationendowmentfoundation.org.uk/evidence-summaries/teaching-learning-toolkit</w:t>
              </w:r>
            </w:p>
            <w:p w:rsidR="000C3EEC" w:rsidRDefault="000C3EEC" w:rsidP="000C3EEC">
              <w:pPr>
                <w:pStyle w:val="Bibliography"/>
                <w:ind w:left="720" w:hanging="720"/>
                <w:rPr>
                  <w:noProof/>
                  <w:lang w:val="en-US"/>
                </w:rPr>
              </w:pPr>
              <w:r>
                <w:rPr>
                  <w:noProof/>
                  <w:lang w:val="en-US"/>
                </w:rPr>
                <w:t xml:space="preserve">Education Funding Agency. (2016). </w:t>
              </w:r>
              <w:r>
                <w:rPr>
                  <w:i/>
                  <w:iCs/>
                  <w:noProof/>
                  <w:lang w:val="en-US"/>
                </w:rPr>
                <w:t>Transparency Data: Pupil premium 2015-2016 conditions of grant</w:t>
              </w:r>
              <w:r>
                <w:rPr>
                  <w:noProof/>
                  <w:lang w:val="en-US"/>
                </w:rPr>
                <w:t>. Retrieved 4 9, 2018, from https://www.gov.uk/government/publications/pupil-premium-2015-to-2016-allocations/pupil-premium-2015-to-2016-conditions-of-grant</w:t>
              </w:r>
            </w:p>
            <w:p w:rsidR="000C3EEC" w:rsidRDefault="000C3EEC" w:rsidP="000C3EEC">
              <w:pPr>
                <w:pStyle w:val="Bibliography"/>
                <w:ind w:left="720" w:hanging="720"/>
                <w:rPr>
                  <w:noProof/>
                  <w:lang w:val="en-US"/>
                </w:rPr>
              </w:pPr>
              <w:r>
                <w:rPr>
                  <w:noProof/>
                  <w:lang w:val="en-US"/>
                </w:rPr>
                <w:t xml:space="preserve">Estyn. (2012). </w:t>
              </w:r>
              <w:r>
                <w:rPr>
                  <w:i/>
                  <w:iCs/>
                  <w:noProof/>
                  <w:lang w:val="en-US"/>
                </w:rPr>
                <w:t>Tackling Poverty and Disadvantage in Schools.</w:t>
              </w:r>
              <w:r>
                <w:rPr>
                  <w:noProof/>
                  <w:lang w:val="en-US"/>
                </w:rPr>
                <w:t xml:space="preserve"> Cardiff: HMSO.</w:t>
              </w:r>
            </w:p>
            <w:p w:rsidR="000C3EEC" w:rsidRDefault="000C3EEC" w:rsidP="000C3EEC">
              <w:pPr>
                <w:pStyle w:val="Bibliography"/>
                <w:ind w:left="720" w:hanging="720"/>
                <w:rPr>
                  <w:noProof/>
                  <w:lang w:val="en-US"/>
                </w:rPr>
              </w:pPr>
              <w:r>
                <w:rPr>
                  <w:noProof/>
                  <w:lang w:val="en-US"/>
                </w:rPr>
                <w:t xml:space="preserve">Foster, B., &amp; Norton, P. (2012). Educational Equality fro Gypsy, Roma and Traveller Children and Young People in the UK. </w:t>
              </w:r>
              <w:r>
                <w:rPr>
                  <w:i/>
                  <w:iCs/>
                  <w:noProof/>
                  <w:lang w:val="en-US"/>
                </w:rPr>
                <w:t>The Equal Rights Review, 8</w:t>
              </w:r>
              <w:r>
                <w:rPr>
                  <w:noProof/>
                  <w:lang w:val="en-US"/>
                </w:rPr>
                <w:t>, 85-112.</w:t>
              </w:r>
            </w:p>
            <w:p w:rsidR="000C3EEC" w:rsidRDefault="000C3EEC" w:rsidP="000C3EEC">
              <w:pPr>
                <w:pStyle w:val="Bibliography"/>
                <w:ind w:left="720" w:hanging="720"/>
                <w:rPr>
                  <w:noProof/>
                  <w:lang w:val="en-US"/>
                </w:rPr>
              </w:pPr>
              <w:r>
                <w:rPr>
                  <w:noProof/>
                  <w:lang w:val="en-US"/>
                </w:rPr>
                <w:t xml:space="preserve">Joesph Rowntree Foundation. (2007). </w:t>
              </w:r>
              <w:r>
                <w:rPr>
                  <w:i/>
                  <w:iCs/>
                  <w:noProof/>
                  <w:lang w:val="en-US"/>
                </w:rPr>
                <w:t>A review of research on the links between education adn poverty</w:t>
              </w:r>
              <w:r>
                <w:rPr>
                  <w:noProof/>
                  <w:lang w:val="en-US"/>
                </w:rPr>
                <w:t>. Retrieved 4 8, 2018, from https://www.jrf.org.uk/report/review-research-links-between-education-and-poverty</w:t>
              </w:r>
            </w:p>
            <w:p w:rsidR="000C3EEC" w:rsidRDefault="000C3EEC" w:rsidP="000C3EEC">
              <w:pPr>
                <w:pStyle w:val="Bibliography"/>
                <w:ind w:left="720" w:hanging="720"/>
                <w:rPr>
                  <w:noProof/>
                  <w:lang w:val="en-US"/>
                </w:rPr>
              </w:pPr>
              <w:r>
                <w:rPr>
                  <w:noProof/>
                  <w:lang w:val="en-US"/>
                </w:rPr>
                <w:t xml:space="preserve">Joesph Rowntree Foundation. (2012). </w:t>
              </w:r>
              <w:r>
                <w:rPr>
                  <w:i/>
                  <w:iCs/>
                  <w:noProof/>
                  <w:lang w:val="en-US"/>
                </w:rPr>
                <w:t>Can changing aspirations and attitudes impact on eductaional attainment? A review of interventions.</w:t>
              </w:r>
              <w:r>
                <w:rPr>
                  <w:noProof/>
                  <w:lang w:val="en-US"/>
                </w:rPr>
                <w:t xml:space="preserve"> York: JRF.</w:t>
              </w:r>
            </w:p>
            <w:p w:rsidR="000C3EEC" w:rsidRDefault="000C3EEC" w:rsidP="000C3EEC">
              <w:pPr>
                <w:pStyle w:val="Bibliography"/>
                <w:ind w:left="720" w:hanging="720"/>
                <w:rPr>
                  <w:noProof/>
                  <w:lang w:val="en-US"/>
                </w:rPr>
              </w:pPr>
              <w:r>
                <w:rPr>
                  <w:noProof/>
                  <w:lang w:val="en-US"/>
                </w:rPr>
                <w:t xml:space="preserve">OFSTED. (2014). </w:t>
              </w:r>
              <w:r>
                <w:rPr>
                  <w:i/>
                  <w:iCs/>
                  <w:noProof/>
                  <w:lang w:val="en-US"/>
                </w:rPr>
                <w:t>Overcoming barriers - ensuring that Roma children are fully engaged and achieving in education.</w:t>
              </w:r>
              <w:r>
                <w:rPr>
                  <w:noProof/>
                  <w:lang w:val="en-US"/>
                </w:rPr>
                <w:t xml:space="preserve"> London: HMSO.</w:t>
              </w:r>
            </w:p>
            <w:p w:rsidR="000C3EEC" w:rsidRDefault="000C3EEC" w:rsidP="000C3EEC">
              <w:pPr>
                <w:pStyle w:val="Bibliography"/>
                <w:ind w:left="720" w:hanging="720"/>
                <w:rPr>
                  <w:noProof/>
                  <w:lang w:val="en-US"/>
                </w:rPr>
              </w:pPr>
              <w:r>
                <w:rPr>
                  <w:noProof/>
                  <w:lang w:val="en-US"/>
                </w:rPr>
                <w:t xml:space="preserve">School X. (2017-18). </w:t>
              </w:r>
              <w:r>
                <w:rPr>
                  <w:i/>
                  <w:iCs/>
                  <w:noProof/>
                  <w:lang w:val="en-US"/>
                </w:rPr>
                <w:t>School Improvement Plan.</w:t>
              </w:r>
              <w:r>
                <w:rPr>
                  <w:noProof/>
                  <w:lang w:val="en-US"/>
                </w:rPr>
                <w:t xml:space="preserve"> School X.</w:t>
              </w:r>
            </w:p>
            <w:p w:rsidR="000C3EEC" w:rsidRDefault="000C3EEC" w:rsidP="000C3EEC">
              <w:pPr>
                <w:pStyle w:val="Bibliography"/>
                <w:ind w:left="720" w:hanging="720"/>
                <w:rPr>
                  <w:noProof/>
                  <w:lang w:val="en-US"/>
                </w:rPr>
              </w:pPr>
              <w:r>
                <w:rPr>
                  <w:noProof/>
                  <w:lang w:val="en-US"/>
                </w:rPr>
                <w:lastRenderedPageBreak/>
                <w:t xml:space="preserve">School X. (2018). </w:t>
              </w:r>
              <w:r>
                <w:rPr>
                  <w:i/>
                  <w:iCs/>
                  <w:noProof/>
                  <w:lang w:val="en-US"/>
                </w:rPr>
                <w:t>SWOT Analysis of Pupil Mobility Rates.</w:t>
              </w:r>
              <w:r>
                <w:rPr>
                  <w:noProof/>
                  <w:lang w:val="en-US"/>
                </w:rPr>
                <w:t xml:space="preserve"> Internal Document.</w:t>
              </w:r>
            </w:p>
            <w:p w:rsidR="000C3EEC" w:rsidRDefault="000C3EEC" w:rsidP="000C3EEC">
              <w:pPr>
                <w:pStyle w:val="Bibliography"/>
                <w:ind w:left="720" w:hanging="720"/>
                <w:rPr>
                  <w:noProof/>
                  <w:lang w:val="en-US"/>
                </w:rPr>
              </w:pPr>
              <w:r>
                <w:rPr>
                  <w:noProof/>
                  <w:lang w:val="en-US"/>
                </w:rPr>
                <w:t xml:space="preserve">USC. (2018). </w:t>
              </w:r>
              <w:r>
                <w:rPr>
                  <w:i/>
                  <w:iCs/>
                  <w:noProof/>
                  <w:lang w:val="en-US"/>
                </w:rPr>
                <w:t>Organising Your Social Science Research Paper: 6. The Methodology</w:t>
              </w:r>
              <w:r>
                <w:rPr>
                  <w:noProof/>
                  <w:lang w:val="en-US"/>
                </w:rPr>
                <w:t>. Retrieved 4 11, 2018, from http://libguides.usc.edu/writingguide/methodology</w:t>
              </w:r>
            </w:p>
            <w:p w:rsidR="000C3EEC" w:rsidRDefault="000C3EEC" w:rsidP="000C3EEC">
              <w:pPr>
                <w:pStyle w:val="Bibliography"/>
                <w:ind w:left="720" w:hanging="720"/>
                <w:rPr>
                  <w:noProof/>
                  <w:lang w:val="en-US"/>
                </w:rPr>
              </w:pPr>
              <w:r>
                <w:rPr>
                  <w:noProof/>
                  <w:lang w:val="en-US"/>
                </w:rPr>
                <w:t xml:space="preserve">Wales Centre for Equity in Eduation. (2014). </w:t>
              </w:r>
              <w:r>
                <w:rPr>
                  <w:i/>
                  <w:iCs/>
                  <w:noProof/>
                  <w:lang w:val="en-US"/>
                </w:rPr>
                <w:t>Making effective use of the Pupil Deprevation Grant: A resource for education leaders and practitioners.</w:t>
              </w:r>
              <w:r>
                <w:rPr>
                  <w:noProof/>
                  <w:lang w:val="en-US"/>
                </w:rPr>
                <w:t xml:space="preserve"> Cardiff: University of Wales Press.</w:t>
              </w:r>
            </w:p>
            <w:p w:rsidR="000C3EEC" w:rsidRDefault="000C3EEC" w:rsidP="000C3EEC">
              <w:pPr>
                <w:pStyle w:val="Bibliography"/>
                <w:ind w:left="720" w:hanging="720"/>
                <w:rPr>
                  <w:noProof/>
                  <w:lang w:val="en-US"/>
                </w:rPr>
              </w:pPr>
              <w:r>
                <w:rPr>
                  <w:noProof/>
                  <w:lang w:val="en-US"/>
                </w:rPr>
                <w:t xml:space="preserve">Welsh Assembly Government . (2017). </w:t>
              </w:r>
              <w:r>
                <w:rPr>
                  <w:i/>
                  <w:iCs/>
                  <w:noProof/>
                  <w:lang w:val="en-US"/>
                </w:rPr>
                <w:t>Guidence for using the Pupil Deprevation Grant: What really works? .</w:t>
              </w:r>
              <w:r>
                <w:rPr>
                  <w:noProof/>
                  <w:lang w:val="en-US"/>
                </w:rPr>
                <w:t xml:space="preserve"> Cardiff: WAG.</w:t>
              </w:r>
            </w:p>
            <w:p w:rsidR="000C3EEC" w:rsidRDefault="000C3EEC" w:rsidP="000C3EEC">
              <w:pPr>
                <w:pStyle w:val="Bibliography"/>
                <w:ind w:left="720" w:hanging="720"/>
                <w:rPr>
                  <w:noProof/>
                  <w:lang w:val="en-US"/>
                </w:rPr>
              </w:pPr>
              <w:r>
                <w:rPr>
                  <w:noProof/>
                  <w:lang w:val="en-US"/>
                </w:rPr>
                <w:t xml:space="preserve">Welsh Assembly Government. (2017). </w:t>
              </w:r>
              <w:r>
                <w:rPr>
                  <w:i/>
                  <w:iCs/>
                  <w:noProof/>
                  <w:lang w:val="en-US"/>
                </w:rPr>
                <w:t>Evaluation of the Pupil Deprevation Grant.</w:t>
              </w:r>
              <w:r>
                <w:rPr>
                  <w:noProof/>
                  <w:lang w:val="en-US"/>
                </w:rPr>
                <w:t xml:space="preserve"> Cardiff: HMSO.</w:t>
              </w:r>
            </w:p>
            <w:p w:rsidR="004A7D1D" w:rsidRDefault="004A7D1D" w:rsidP="000C3EEC">
              <w:r>
                <w:rPr>
                  <w:b/>
                  <w:bCs/>
                  <w:noProof/>
                </w:rPr>
                <w:fldChar w:fldCharType="end"/>
              </w:r>
            </w:p>
          </w:sdtContent>
        </w:sdt>
      </w:sdtContent>
    </w:sdt>
    <w:p w:rsidR="00DE25E8" w:rsidRDefault="00DE25E8"/>
    <w:p w:rsidR="004A7D1D" w:rsidRDefault="004A7D1D"/>
    <w:p w:rsidR="00DE25E8" w:rsidRDefault="00DE25E8"/>
    <w:p w:rsidR="00DE25E8" w:rsidRDefault="00DE25E8"/>
    <w:sectPr w:rsidR="00DE25E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72AE" w:rsidRDefault="009972AE" w:rsidP="009972AE">
      <w:pPr>
        <w:spacing w:after="0" w:line="240" w:lineRule="auto"/>
      </w:pPr>
      <w:r>
        <w:separator/>
      </w:r>
    </w:p>
  </w:endnote>
  <w:endnote w:type="continuationSeparator" w:id="0">
    <w:p w:rsidR="009972AE" w:rsidRDefault="009972AE" w:rsidP="00997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6127241"/>
      <w:docPartObj>
        <w:docPartGallery w:val="Page Numbers (Bottom of Page)"/>
        <w:docPartUnique/>
      </w:docPartObj>
    </w:sdtPr>
    <w:sdtEndPr>
      <w:rPr>
        <w:noProof/>
      </w:rPr>
    </w:sdtEndPr>
    <w:sdtContent>
      <w:p w:rsidR="00285073" w:rsidRDefault="00285073">
        <w:pPr>
          <w:pStyle w:val="Footer"/>
          <w:jc w:val="right"/>
        </w:pPr>
        <w:r>
          <w:fldChar w:fldCharType="begin"/>
        </w:r>
        <w:r>
          <w:instrText xml:space="preserve"> PAGE   \* MERGEFORMAT </w:instrText>
        </w:r>
        <w:r>
          <w:fldChar w:fldCharType="separate"/>
        </w:r>
        <w:r w:rsidR="00EF375C">
          <w:rPr>
            <w:noProof/>
          </w:rPr>
          <w:t>1</w:t>
        </w:r>
        <w:r>
          <w:rPr>
            <w:noProof/>
          </w:rPr>
          <w:fldChar w:fldCharType="end"/>
        </w:r>
      </w:p>
    </w:sdtContent>
  </w:sdt>
  <w:p w:rsidR="00285073" w:rsidRDefault="002850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72AE" w:rsidRDefault="009972AE" w:rsidP="009972AE">
      <w:pPr>
        <w:spacing w:after="0" w:line="240" w:lineRule="auto"/>
      </w:pPr>
      <w:r>
        <w:separator/>
      </w:r>
    </w:p>
  </w:footnote>
  <w:footnote w:type="continuationSeparator" w:id="0">
    <w:p w:rsidR="009972AE" w:rsidRDefault="009972AE" w:rsidP="009972AE">
      <w:pPr>
        <w:spacing w:after="0" w:line="240" w:lineRule="auto"/>
      </w:pPr>
      <w:r>
        <w:continuationSeparator/>
      </w:r>
    </w:p>
  </w:footnote>
  <w:footnote w:id="1">
    <w:p w:rsidR="009972AE" w:rsidRDefault="009972AE">
      <w:pPr>
        <w:pStyle w:val="FootnoteText"/>
      </w:pPr>
      <w:r>
        <w:rPr>
          <w:rStyle w:val="FootnoteReference"/>
        </w:rPr>
        <w:footnoteRef/>
      </w:r>
      <w:r>
        <w:t xml:space="preserve"> </w:t>
      </w:r>
      <w:r>
        <w:rPr>
          <w:i/>
        </w:rPr>
        <w:t xml:space="preserve">Just About Managing </w:t>
      </w:r>
      <w:r>
        <w:t xml:space="preserve">definition can be found in a report by the Citizens Advise Bureau </w:t>
      </w:r>
    </w:p>
    <w:p w:rsidR="004F1305" w:rsidRDefault="00EF375C">
      <w:pPr>
        <w:pStyle w:val="FootnoteText"/>
      </w:pPr>
      <w:hyperlink r:id="rId1" w:history="1">
        <w:r w:rsidR="004F1305" w:rsidRPr="00E92313">
          <w:rPr>
            <w:rStyle w:val="Hyperlink"/>
          </w:rPr>
          <w:t>https://www.citizensadvice.org.uk/Global/CitizensAdvice/Work%20Publications/JustAboutManaging-final.pdf</w:t>
        </w:r>
      </w:hyperlink>
      <w:r w:rsidR="004F1305">
        <w:t xml:space="preserve"> </w:t>
      </w:r>
    </w:p>
    <w:p w:rsidR="009972AE" w:rsidRDefault="009972AE">
      <w:pPr>
        <w:pStyle w:val="FootnoteText"/>
      </w:pPr>
    </w:p>
    <w:p w:rsidR="009972AE" w:rsidRPr="009972AE" w:rsidRDefault="004F1305">
      <w:pPr>
        <w:pStyle w:val="FootnoteText"/>
        <w:rPr>
          <w:i/>
        </w:rPr>
      </w:pPr>
      <w:r>
        <w:rPr>
          <w:i/>
        </w:rPr>
        <w:t>“</w:t>
      </w:r>
      <w:r w:rsidR="009972AE" w:rsidRPr="009972AE">
        <w:rPr>
          <w:i/>
        </w:rPr>
        <w:t>In terms of income, the implication is that ‘just managing’ families have lower than average incomes but are not quite the poorest. Among our working clients, at least three quarters and possibly as many as 90% are in the bottom half of the income distribution nationwide. Some are right at the bottom of the distribution, and the reasons for this are often the reasons they come to see us - benefits not paid, wages not paid, hours not given.</w:t>
      </w:r>
      <w:r>
        <w:rPr>
          <w:i/>
        </w:rPr>
        <w:t>”</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DE2BC5"/>
    <w:multiLevelType w:val="hybridMultilevel"/>
    <w:tmpl w:val="AAAE3F1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25E8"/>
    <w:rsid w:val="00002DC4"/>
    <w:rsid w:val="00035B58"/>
    <w:rsid w:val="000551C0"/>
    <w:rsid w:val="00077A08"/>
    <w:rsid w:val="000B3243"/>
    <w:rsid w:val="000C3EEC"/>
    <w:rsid w:val="00151BD7"/>
    <w:rsid w:val="00164A86"/>
    <w:rsid w:val="001A17E3"/>
    <w:rsid w:val="001C4F94"/>
    <w:rsid w:val="001D6450"/>
    <w:rsid w:val="002234C7"/>
    <w:rsid w:val="00275862"/>
    <w:rsid w:val="00284494"/>
    <w:rsid w:val="00285073"/>
    <w:rsid w:val="00293451"/>
    <w:rsid w:val="002B1CC5"/>
    <w:rsid w:val="002C294C"/>
    <w:rsid w:val="0030362E"/>
    <w:rsid w:val="00306071"/>
    <w:rsid w:val="00333D30"/>
    <w:rsid w:val="00336B90"/>
    <w:rsid w:val="00405FD3"/>
    <w:rsid w:val="00413ADB"/>
    <w:rsid w:val="00451BBC"/>
    <w:rsid w:val="004A1438"/>
    <w:rsid w:val="004A7D1D"/>
    <w:rsid w:val="004D085E"/>
    <w:rsid w:val="004D1412"/>
    <w:rsid w:val="004F1305"/>
    <w:rsid w:val="00501E5D"/>
    <w:rsid w:val="00502368"/>
    <w:rsid w:val="00510577"/>
    <w:rsid w:val="005D475E"/>
    <w:rsid w:val="005E0214"/>
    <w:rsid w:val="00685114"/>
    <w:rsid w:val="006855A7"/>
    <w:rsid w:val="006B734F"/>
    <w:rsid w:val="006D2EDF"/>
    <w:rsid w:val="006F6842"/>
    <w:rsid w:val="00706D2B"/>
    <w:rsid w:val="00713B70"/>
    <w:rsid w:val="00717467"/>
    <w:rsid w:val="00723E69"/>
    <w:rsid w:val="00746B97"/>
    <w:rsid w:val="007536C3"/>
    <w:rsid w:val="007714F4"/>
    <w:rsid w:val="0078658F"/>
    <w:rsid w:val="007B2EC2"/>
    <w:rsid w:val="007C167A"/>
    <w:rsid w:val="007F1ED4"/>
    <w:rsid w:val="007F5097"/>
    <w:rsid w:val="0081574C"/>
    <w:rsid w:val="00843447"/>
    <w:rsid w:val="00862CAD"/>
    <w:rsid w:val="00886813"/>
    <w:rsid w:val="008E4464"/>
    <w:rsid w:val="00925161"/>
    <w:rsid w:val="009271C3"/>
    <w:rsid w:val="0093520A"/>
    <w:rsid w:val="009972AE"/>
    <w:rsid w:val="009A2AFA"/>
    <w:rsid w:val="009C3B61"/>
    <w:rsid w:val="009E0E7C"/>
    <w:rsid w:val="009E2048"/>
    <w:rsid w:val="00A83A53"/>
    <w:rsid w:val="00AA0B39"/>
    <w:rsid w:val="00AB6F75"/>
    <w:rsid w:val="00AD07B2"/>
    <w:rsid w:val="00B13933"/>
    <w:rsid w:val="00BC5735"/>
    <w:rsid w:val="00BE24FD"/>
    <w:rsid w:val="00BE7CEF"/>
    <w:rsid w:val="00C45AAE"/>
    <w:rsid w:val="00CB6303"/>
    <w:rsid w:val="00CC2537"/>
    <w:rsid w:val="00D27703"/>
    <w:rsid w:val="00DE25E8"/>
    <w:rsid w:val="00E016BD"/>
    <w:rsid w:val="00E124BC"/>
    <w:rsid w:val="00E20722"/>
    <w:rsid w:val="00EA0143"/>
    <w:rsid w:val="00EB66F5"/>
    <w:rsid w:val="00EF2C0D"/>
    <w:rsid w:val="00EF375C"/>
    <w:rsid w:val="00F127FB"/>
    <w:rsid w:val="00F20071"/>
    <w:rsid w:val="00FB1AE5"/>
    <w:rsid w:val="00FD04B5"/>
    <w:rsid w:val="00FD4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8A733A-13EB-41D0-B762-0E4A2BF9E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A7D1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0B39"/>
    <w:pPr>
      <w:ind w:left="720"/>
      <w:contextualSpacing/>
    </w:pPr>
  </w:style>
  <w:style w:type="character" w:customStyle="1" w:styleId="Heading1Char">
    <w:name w:val="Heading 1 Char"/>
    <w:basedOn w:val="DefaultParagraphFont"/>
    <w:link w:val="Heading1"/>
    <w:uiPriority w:val="9"/>
    <w:rsid w:val="004A7D1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A7D1D"/>
  </w:style>
  <w:style w:type="table" w:styleId="TableGrid">
    <w:name w:val="Table Grid"/>
    <w:basedOn w:val="TableNormal"/>
    <w:uiPriority w:val="39"/>
    <w:rsid w:val="004A7D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972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72AE"/>
    <w:rPr>
      <w:sz w:val="20"/>
      <w:szCs w:val="20"/>
    </w:rPr>
  </w:style>
  <w:style w:type="character" w:styleId="FootnoteReference">
    <w:name w:val="footnote reference"/>
    <w:basedOn w:val="DefaultParagraphFont"/>
    <w:uiPriority w:val="99"/>
    <w:semiHidden/>
    <w:unhideWhenUsed/>
    <w:rsid w:val="009972AE"/>
    <w:rPr>
      <w:vertAlign w:val="superscript"/>
    </w:rPr>
  </w:style>
  <w:style w:type="character" w:styleId="Hyperlink">
    <w:name w:val="Hyperlink"/>
    <w:basedOn w:val="DefaultParagraphFont"/>
    <w:uiPriority w:val="99"/>
    <w:unhideWhenUsed/>
    <w:rsid w:val="004F1305"/>
    <w:rPr>
      <w:color w:val="0563C1" w:themeColor="hyperlink"/>
      <w:u w:val="single"/>
    </w:rPr>
  </w:style>
  <w:style w:type="paragraph" w:styleId="Header">
    <w:name w:val="header"/>
    <w:basedOn w:val="Normal"/>
    <w:link w:val="HeaderChar"/>
    <w:uiPriority w:val="99"/>
    <w:unhideWhenUsed/>
    <w:rsid w:val="00285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073"/>
  </w:style>
  <w:style w:type="paragraph" w:styleId="Footer">
    <w:name w:val="footer"/>
    <w:basedOn w:val="Normal"/>
    <w:link w:val="FooterChar"/>
    <w:uiPriority w:val="99"/>
    <w:unhideWhenUsed/>
    <w:rsid w:val="002850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073"/>
  </w:style>
  <w:style w:type="table" w:styleId="PlainTable2">
    <w:name w:val="Plain Table 2"/>
    <w:basedOn w:val="TableNormal"/>
    <w:uiPriority w:val="42"/>
    <w:rsid w:val="001D645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66078">
      <w:bodyDiv w:val="1"/>
      <w:marLeft w:val="0"/>
      <w:marRight w:val="0"/>
      <w:marTop w:val="0"/>
      <w:marBottom w:val="0"/>
      <w:divBdr>
        <w:top w:val="none" w:sz="0" w:space="0" w:color="auto"/>
        <w:left w:val="none" w:sz="0" w:space="0" w:color="auto"/>
        <w:bottom w:val="none" w:sz="0" w:space="0" w:color="auto"/>
        <w:right w:val="none" w:sz="0" w:space="0" w:color="auto"/>
      </w:divBdr>
    </w:div>
    <w:div w:id="11347558">
      <w:bodyDiv w:val="1"/>
      <w:marLeft w:val="0"/>
      <w:marRight w:val="0"/>
      <w:marTop w:val="0"/>
      <w:marBottom w:val="0"/>
      <w:divBdr>
        <w:top w:val="none" w:sz="0" w:space="0" w:color="auto"/>
        <w:left w:val="none" w:sz="0" w:space="0" w:color="auto"/>
        <w:bottom w:val="none" w:sz="0" w:space="0" w:color="auto"/>
        <w:right w:val="none" w:sz="0" w:space="0" w:color="auto"/>
      </w:divBdr>
    </w:div>
    <w:div w:id="15159372">
      <w:bodyDiv w:val="1"/>
      <w:marLeft w:val="0"/>
      <w:marRight w:val="0"/>
      <w:marTop w:val="0"/>
      <w:marBottom w:val="0"/>
      <w:divBdr>
        <w:top w:val="none" w:sz="0" w:space="0" w:color="auto"/>
        <w:left w:val="none" w:sz="0" w:space="0" w:color="auto"/>
        <w:bottom w:val="none" w:sz="0" w:space="0" w:color="auto"/>
        <w:right w:val="none" w:sz="0" w:space="0" w:color="auto"/>
      </w:divBdr>
    </w:div>
    <w:div w:id="17003195">
      <w:bodyDiv w:val="1"/>
      <w:marLeft w:val="0"/>
      <w:marRight w:val="0"/>
      <w:marTop w:val="0"/>
      <w:marBottom w:val="0"/>
      <w:divBdr>
        <w:top w:val="none" w:sz="0" w:space="0" w:color="auto"/>
        <w:left w:val="none" w:sz="0" w:space="0" w:color="auto"/>
        <w:bottom w:val="none" w:sz="0" w:space="0" w:color="auto"/>
        <w:right w:val="none" w:sz="0" w:space="0" w:color="auto"/>
      </w:divBdr>
    </w:div>
    <w:div w:id="19818698">
      <w:bodyDiv w:val="1"/>
      <w:marLeft w:val="0"/>
      <w:marRight w:val="0"/>
      <w:marTop w:val="0"/>
      <w:marBottom w:val="0"/>
      <w:divBdr>
        <w:top w:val="none" w:sz="0" w:space="0" w:color="auto"/>
        <w:left w:val="none" w:sz="0" w:space="0" w:color="auto"/>
        <w:bottom w:val="none" w:sz="0" w:space="0" w:color="auto"/>
        <w:right w:val="none" w:sz="0" w:space="0" w:color="auto"/>
      </w:divBdr>
    </w:div>
    <w:div w:id="32779668">
      <w:bodyDiv w:val="1"/>
      <w:marLeft w:val="0"/>
      <w:marRight w:val="0"/>
      <w:marTop w:val="0"/>
      <w:marBottom w:val="0"/>
      <w:divBdr>
        <w:top w:val="none" w:sz="0" w:space="0" w:color="auto"/>
        <w:left w:val="none" w:sz="0" w:space="0" w:color="auto"/>
        <w:bottom w:val="none" w:sz="0" w:space="0" w:color="auto"/>
        <w:right w:val="none" w:sz="0" w:space="0" w:color="auto"/>
      </w:divBdr>
    </w:div>
    <w:div w:id="35129878">
      <w:bodyDiv w:val="1"/>
      <w:marLeft w:val="0"/>
      <w:marRight w:val="0"/>
      <w:marTop w:val="0"/>
      <w:marBottom w:val="0"/>
      <w:divBdr>
        <w:top w:val="none" w:sz="0" w:space="0" w:color="auto"/>
        <w:left w:val="none" w:sz="0" w:space="0" w:color="auto"/>
        <w:bottom w:val="none" w:sz="0" w:space="0" w:color="auto"/>
        <w:right w:val="none" w:sz="0" w:space="0" w:color="auto"/>
      </w:divBdr>
    </w:div>
    <w:div w:id="39406805">
      <w:bodyDiv w:val="1"/>
      <w:marLeft w:val="0"/>
      <w:marRight w:val="0"/>
      <w:marTop w:val="0"/>
      <w:marBottom w:val="0"/>
      <w:divBdr>
        <w:top w:val="none" w:sz="0" w:space="0" w:color="auto"/>
        <w:left w:val="none" w:sz="0" w:space="0" w:color="auto"/>
        <w:bottom w:val="none" w:sz="0" w:space="0" w:color="auto"/>
        <w:right w:val="none" w:sz="0" w:space="0" w:color="auto"/>
      </w:divBdr>
    </w:div>
    <w:div w:id="51731338">
      <w:bodyDiv w:val="1"/>
      <w:marLeft w:val="0"/>
      <w:marRight w:val="0"/>
      <w:marTop w:val="0"/>
      <w:marBottom w:val="0"/>
      <w:divBdr>
        <w:top w:val="none" w:sz="0" w:space="0" w:color="auto"/>
        <w:left w:val="none" w:sz="0" w:space="0" w:color="auto"/>
        <w:bottom w:val="none" w:sz="0" w:space="0" w:color="auto"/>
        <w:right w:val="none" w:sz="0" w:space="0" w:color="auto"/>
      </w:divBdr>
    </w:div>
    <w:div w:id="56754990">
      <w:bodyDiv w:val="1"/>
      <w:marLeft w:val="0"/>
      <w:marRight w:val="0"/>
      <w:marTop w:val="0"/>
      <w:marBottom w:val="0"/>
      <w:divBdr>
        <w:top w:val="none" w:sz="0" w:space="0" w:color="auto"/>
        <w:left w:val="none" w:sz="0" w:space="0" w:color="auto"/>
        <w:bottom w:val="none" w:sz="0" w:space="0" w:color="auto"/>
        <w:right w:val="none" w:sz="0" w:space="0" w:color="auto"/>
      </w:divBdr>
    </w:div>
    <w:div w:id="65997457">
      <w:bodyDiv w:val="1"/>
      <w:marLeft w:val="0"/>
      <w:marRight w:val="0"/>
      <w:marTop w:val="0"/>
      <w:marBottom w:val="0"/>
      <w:divBdr>
        <w:top w:val="none" w:sz="0" w:space="0" w:color="auto"/>
        <w:left w:val="none" w:sz="0" w:space="0" w:color="auto"/>
        <w:bottom w:val="none" w:sz="0" w:space="0" w:color="auto"/>
        <w:right w:val="none" w:sz="0" w:space="0" w:color="auto"/>
      </w:divBdr>
    </w:div>
    <w:div w:id="88937191">
      <w:bodyDiv w:val="1"/>
      <w:marLeft w:val="0"/>
      <w:marRight w:val="0"/>
      <w:marTop w:val="0"/>
      <w:marBottom w:val="0"/>
      <w:divBdr>
        <w:top w:val="none" w:sz="0" w:space="0" w:color="auto"/>
        <w:left w:val="none" w:sz="0" w:space="0" w:color="auto"/>
        <w:bottom w:val="none" w:sz="0" w:space="0" w:color="auto"/>
        <w:right w:val="none" w:sz="0" w:space="0" w:color="auto"/>
      </w:divBdr>
    </w:div>
    <w:div w:id="111486587">
      <w:bodyDiv w:val="1"/>
      <w:marLeft w:val="0"/>
      <w:marRight w:val="0"/>
      <w:marTop w:val="0"/>
      <w:marBottom w:val="0"/>
      <w:divBdr>
        <w:top w:val="none" w:sz="0" w:space="0" w:color="auto"/>
        <w:left w:val="none" w:sz="0" w:space="0" w:color="auto"/>
        <w:bottom w:val="none" w:sz="0" w:space="0" w:color="auto"/>
        <w:right w:val="none" w:sz="0" w:space="0" w:color="auto"/>
      </w:divBdr>
    </w:div>
    <w:div w:id="117335280">
      <w:bodyDiv w:val="1"/>
      <w:marLeft w:val="0"/>
      <w:marRight w:val="0"/>
      <w:marTop w:val="0"/>
      <w:marBottom w:val="0"/>
      <w:divBdr>
        <w:top w:val="none" w:sz="0" w:space="0" w:color="auto"/>
        <w:left w:val="none" w:sz="0" w:space="0" w:color="auto"/>
        <w:bottom w:val="none" w:sz="0" w:space="0" w:color="auto"/>
        <w:right w:val="none" w:sz="0" w:space="0" w:color="auto"/>
      </w:divBdr>
    </w:div>
    <w:div w:id="117534307">
      <w:bodyDiv w:val="1"/>
      <w:marLeft w:val="0"/>
      <w:marRight w:val="0"/>
      <w:marTop w:val="0"/>
      <w:marBottom w:val="0"/>
      <w:divBdr>
        <w:top w:val="none" w:sz="0" w:space="0" w:color="auto"/>
        <w:left w:val="none" w:sz="0" w:space="0" w:color="auto"/>
        <w:bottom w:val="none" w:sz="0" w:space="0" w:color="auto"/>
        <w:right w:val="none" w:sz="0" w:space="0" w:color="auto"/>
      </w:divBdr>
    </w:div>
    <w:div w:id="118299744">
      <w:bodyDiv w:val="1"/>
      <w:marLeft w:val="0"/>
      <w:marRight w:val="0"/>
      <w:marTop w:val="0"/>
      <w:marBottom w:val="0"/>
      <w:divBdr>
        <w:top w:val="none" w:sz="0" w:space="0" w:color="auto"/>
        <w:left w:val="none" w:sz="0" w:space="0" w:color="auto"/>
        <w:bottom w:val="none" w:sz="0" w:space="0" w:color="auto"/>
        <w:right w:val="none" w:sz="0" w:space="0" w:color="auto"/>
      </w:divBdr>
    </w:div>
    <w:div w:id="122118324">
      <w:bodyDiv w:val="1"/>
      <w:marLeft w:val="0"/>
      <w:marRight w:val="0"/>
      <w:marTop w:val="0"/>
      <w:marBottom w:val="0"/>
      <w:divBdr>
        <w:top w:val="none" w:sz="0" w:space="0" w:color="auto"/>
        <w:left w:val="none" w:sz="0" w:space="0" w:color="auto"/>
        <w:bottom w:val="none" w:sz="0" w:space="0" w:color="auto"/>
        <w:right w:val="none" w:sz="0" w:space="0" w:color="auto"/>
      </w:divBdr>
    </w:div>
    <w:div w:id="125509482">
      <w:bodyDiv w:val="1"/>
      <w:marLeft w:val="0"/>
      <w:marRight w:val="0"/>
      <w:marTop w:val="0"/>
      <w:marBottom w:val="0"/>
      <w:divBdr>
        <w:top w:val="none" w:sz="0" w:space="0" w:color="auto"/>
        <w:left w:val="none" w:sz="0" w:space="0" w:color="auto"/>
        <w:bottom w:val="none" w:sz="0" w:space="0" w:color="auto"/>
        <w:right w:val="none" w:sz="0" w:space="0" w:color="auto"/>
      </w:divBdr>
    </w:div>
    <w:div w:id="129052875">
      <w:bodyDiv w:val="1"/>
      <w:marLeft w:val="0"/>
      <w:marRight w:val="0"/>
      <w:marTop w:val="0"/>
      <w:marBottom w:val="0"/>
      <w:divBdr>
        <w:top w:val="none" w:sz="0" w:space="0" w:color="auto"/>
        <w:left w:val="none" w:sz="0" w:space="0" w:color="auto"/>
        <w:bottom w:val="none" w:sz="0" w:space="0" w:color="auto"/>
        <w:right w:val="none" w:sz="0" w:space="0" w:color="auto"/>
      </w:divBdr>
    </w:div>
    <w:div w:id="141972008">
      <w:bodyDiv w:val="1"/>
      <w:marLeft w:val="0"/>
      <w:marRight w:val="0"/>
      <w:marTop w:val="0"/>
      <w:marBottom w:val="0"/>
      <w:divBdr>
        <w:top w:val="none" w:sz="0" w:space="0" w:color="auto"/>
        <w:left w:val="none" w:sz="0" w:space="0" w:color="auto"/>
        <w:bottom w:val="none" w:sz="0" w:space="0" w:color="auto"/>
        <w:right w:val="none" w:sz="0" w:space="0" w:color="auto"/>
      </w:divBdr>
    </w:div>
    <w:div w:id="157233740">
      <w:bodyDiv w:val="1"/>
      <w:marLeft w:val="0"/>
      <w:marRight w:val="0"/>
      <w:marTop w:val="0"/>
      <w:marBottom w:val="0"/>
      <w:divBdr>
        <w:top w:val="none" w:sz="0" w:space="0" w:color="auto"/>
        <w:left w:val="none" w:sz="0" w:space="0" w:color="auto"/>
        <w:bottom w:val="none" w:sz="0" w:space="0" w:color="auto"/>
        <w:right w:val="none" w:sz="0" w:space="0" w:color="auto"/>
      </w:divBdr>
    </w:div>
    <w:div w:id="158080875">
      <w:bodyDiv w:val="1"/>
      <w:marLeft w:val="0"/>
      <w:marRight w:val="0"/>
      <w:marTop w:val="0"/>
      <w:marBottom w:val="0"/>
      <w:divBdr>
        <w:top w:val="none" w:sz="0" w:space="0" w:color="auto"/>
        <w:left w:val="none" w:sz="0" w:space="0" w:color="auto"/>
        <w:bottom w:val="none" w:sz="0" w:space="0" w:color="auto"/>
        <w:right w:val="none" w:sz="0" w:space="0" w:color="auto"/>
      </w:divBdr>
    </w:div>
    <w:div w:id="159004540">
      <w:bodyDiv w:val="1"/>
      <w:marLeft w:val="0"/>
      <w:marRight w:val="0"/>
      <w:marTop w:val="0"/>
      <w:marBottom w:val="0"/>
      <w:divBdr>
        <w:top w:val="none" w:sz="0" w:space="0" w:color="auto"/>
        <w:left w:val="none" w:sz="0" w:space="0" w:color="auto"/>
        <w:bottom w:val="none" w:sz="0" w:space="0" w:color="auto"/>
        <w:right w:val="none" w:sz="0" w:space="0" w:color="auto"/>
      </w:divBdr>
    </w:div>
    <w:div w:id="171183577">
      <w:bodyDiv w:val="1"/>
      <w:marLeft w:val="0"/>
      <w:marRight w:val="0"/>
      <w:marTop w:val="0"/>
      <w:marBottom w:val="0"/>
      <w:divBdr>
        <w:top w:val="none" w:sz="0" w:space="0" w:color="auto"/>
        <w:left w:val="none" w:sz="0" w:space="0" w:color="auto"/>
        <w:bottom w:val="none" w:sz="0" w:space="0" w:color="auto"/>
        <w:right w:val="none" w:sz="0" w:space="0" w:color="auto"/>
      </w:divBdr>
    </w:div>
    <w:div w:id="193688817">
      <w:bodyDiv w:val="1"/>
      <w:marLeft w:val="0"/>
      <w:marRight w:val="0"/>
      <w:marTop w:val="0"/>
      <w:marBottom w:val="0"/>
      <w:divBdr>
        <w:top w:val="none" w:sz="0" w:space="0" w:color="auto"/>
        <w:left w:val="none" w:sz="0" w:space="0" w:color="auto"/>
        <w:bottom w:val="none" w:sz="0" w:space="0" w:color="auto"/>
        <w:right w:val="none" w:sz="0" w:space="0" w:color="auto"/>
      </w:divBdr>
    </w:div>
    <w:div w:id="196817310">
      <w:bodyDiv w:val="1"/>
      <w:marLeft w:val="0"/>
      <w:marRight w:val="0"/>
      <w:marTop w:val="0"/>
      <w:marBottom w:val="0"/>
      <w:divBdr>
        <w:top w:val="none" w:sz="0" w:space="0" w:color="auto"/>
        <w:left w:val="none" w:sz="0" w:space="0" w:color="auto"/>
        <w:bottom w:val="none" w:sz="0" w:space="0" w:color="auto"/>
        <w:right w:val="none" w:sz="0" w:space="0" w:color="auto"/>
      </w:divBdr>
    </w:div>
    <w:div w:id="198906743">
      <w:bodyDiv w:val="1"/>
      <w:marLeft w:val="0"/>
      <w:marRight w:val="0"/>
      <w:marTop w:val="0"/>
      <w:marBottom w:val="0"/>
      <w:divBdr>
        <w:top w:val="none" w:sz="0" w:space="0" w:color="auto"/>
        <w:left w:val="none" w:sz="0" w:space="0" w:color="auto"/>
        <w:bottom w:val="none" w:sz="0" w:space="0" w:color="auto"/>
        <w:right w:val="none" w:sz="0" w:space="0" w:color="auto"/>
      </w:divBdr>
    </w:div>
    <w:div w:id="201721331">
      <w:bodyDiv w:val="1"/>
      <w:marLeft w:val="0"/>
      <w:marRight w:val="0"/>
      <w:marTop w:val="0"/>
      <w:marBottom w:val="0"/>
      <w:divBdr>
        <w:top w:val="none" w:sz="0" w:space="0" w:color="auto"/>
        <w:left w:val="none" w:sz="0" w:space="0" w:color="auto"/>
        <w:bottom w:val="none" w:sz="0" w:space="0" w:color="auto"/>
        <w:right w:val="none" w:sz="0" w:space="0" w:color="auto"/>
      </w:divBdr>
    </w:div>
    <w:div w:id="209198059">
      <w:bodyDiv w:val="1"/>
      <w:marLeft w:val="0"/>
      <w:marRight w:val="0"/>
      <w:marTop w:val="0"/>
      <w:marBottom w:val="0"/>
      <w:divBdr>
        <w:top w:val="none" w:sz="0" w:space="0" w:color="auto"/>
        <w:left w:val="none" w:sz="0" w:space="0" w:color="auto"/>
        <w:bottom w:val="none" w:sz="0" w:space="0" w:color="auto"/>
        <w:right w:val="none" w:sz="0" w:space="0" w:color="auto"/>
      </w:divBdr>
    </w:div>
    <w:div w:id="211238228">
      <w:bodyDiv w:val="1"/>
      <w:marLeft w:val="0"/>
      <w:marRight w:val="0"/>
      <w:marTop w:val="0"/>
      <w:marBottom w:val="0"/>
      <w:divBdr>
        <w:top w:val="none" w:sz="0" w:space="0" w:color="auto"/>
        <w:left w:val="none" w:sz="0" w:space="0" w:color="auto"/>
        <w:bottom w:val="none" w:sz="0" w:space="0" w:color="auto"/>
        <w:right w:val="none" w:sz="0" w:space="0" w:color="auto"/>
      </w:divBdr>
    </w:div>
    <w:div w:id="211308684">
      <w:bodyDiv w:val="1"/>
      <w:marLeft w:val="0"/>
      <w:marRight w:val="0"/>
      <w:marTop w:val="0"/>
      <w:marBottom w:val="0"/>
      <w:divBdr>
        <w:top w:val="none" w:sz="0" w:space="0" w:color="auto"/>
        <w:left w:val="none" w:sz="0" w:space="0" w:color="auto"/>
        <w:bottom w:val="none" w:sz="0" w:space="0" w:color="auto"/>
        <w:right w:val="none" w:sz="0" w:space="0" w:color="auto"/>
      </w:divBdr>
    </w:div>
    <w:div w:id="219682399">
      <w:bodyDiv w:val="1"/>
      <w:marLeft w:val="0"/>
      <w:marRight w:val="0"/>
      <w:marTop w:val="0"/>
      <w:marBottom w:val="0"/>
      <w:divBdr>
        <w:top w:val="none" w:sz="0" w:space="0" w:color="auto"/>
        <w:left w:val="none" w:sz="0" w:space="0" w:color="auto"/>
        <w:bottom w:val="none" w:sz="0" w:space="0" w:color="auto"/>
        <w:right w:val="none" w:sz="0" w:space="0" w:color="auto"/>
      </w:divBdr>
    </w:div>
    <w:div w:id="226692473">
      <w:bodyDiv w:val="1"/>
      <w:marLeft w:val="0"/>
      <w:marRight w:val="0"/>
      <w:marTop w:val="0"/>
      <w:marBottom w:val="0"/>
      <w:divBdr>
        <w:top w:val="none" w:sz="0" w:space="0" w:color="auto"/>
        <w:left w:val="none" w:sz="0" w:space="0" w:color="auto"/>
        <w:bottom w:val="none" w:sz="0" w:space="0" w:color="auto"/>
        <w:right w:val="none" w:sz="0" w:space="0" w:color="auto"/>
      </w:divBdr>
    </w:div>
    <w:div w:id="250507531">
      <w:bodyDiv w:val="1"/>
      <w:marLeft w:val="0"/>
      <w:marRight w:val="0"/>
      <w:marTop w:val="0"/>
      <w:marBottom w:val="0"/>
      <w:divBdr>
        <w:top w:val="none" w:sz="0" w:space="0" w:color="auto"/>
        <w:left w:val="none" w:sz="0" w:space="0" w:color="auto"/>
        <w:bottom w:val="none" w:sz="0" w:space="0" w:color="auto"/>
        <w:right w:val="none" w:sz="0" w:space="0" w:color="auto"/>
      </w:divBdr>
    </w:div>
    <w:div w:id="258296481">
      <w:bodyDiv w:val="1"/>
      <w:marLeft w:val="0"/>
      <w:marRight w:val="0"/>
      <w:marTop w:val="0"/>
      <w:marBottom w:val="0"/>
      <w:divBdr>
        <w:top w:val="none" w:sz="0" w:space="0" w:color="auto"/>
        <w:left w:val="none" w:sz="0" w:space="0" w:color="auto"/>
        <w:bottom w:val="none" w:sz="0" w:space="0" w:color="auto"/>
        <w:right w:val="none" w:sz="0" w:space="0" w:color="auto"/>
      </w:divBdr>
    </w:div>
    <w:div w:id="262108398">
      <w:bodyDiv w:val="1"/>
      <w:marLeft w:val="0"/>
      <w:marRight w:val="0"/>
      <w:marTop w:val="0"/>
      <w:marBottom w:val="0"/>
      <w:divBdr>
        <w:top w:val="none" w:sz="0" w:space="0" w:color="auto"/>
        <w:left w:val="none" w:sz="0" w:space="0" w:color="auto"/>
        <w:bottom w:val="none" w:sz="0" w:space="0" w:color="auto"/>
        <w:right w:val="none" w:sz="0" w:space="0" w:color="auto"/>
      </w:divBdr>
    </w:div>
    <w:div w:id="275598371">
      <w:bodyDiv w:val="1"/>
      <w:marLeft w:val="0"/>
      <w:marRight w:val="0"/>
      <w:marTop w:val="0"/>
      <w:marBottom w:val="0"/>
      <w:divBdr>
        <w:top w:val="none" w:sz="0" w:space="0" w:color="auto"/>
        <w:left w:val="none" w:sz="0" w:space="0" w:color="auto"/>
        <w:bottom w:val="none" w:sz="0" w:space="0" w:color="auto"/>
        <w:right w:val="none" w:sz="0" w:space="0" w:color="auto"/>
      </w:divBdr>
    </w:div>
    <w:div w:id="294406459">
      <w:bodyDiv w:val="1"/>
      <w:marLeft w:val="0"/>
      <w:marRight w:val="0"/>
      <w:marTop w:val="0"/>
      <w:marBottom w:val="0"/>
      <w:divBdr>
        <w:top w:val="none" w:sz="0" w:space="0" w:color="auto"/>
        <w:left w:val="none" w:sz="0" w:space="0" w:color="auto"/>
        <w:bottom w:val="none" w:sz="0" w:space="0" w:color="auto"/>
        <w:right w:val="none" w:sz="0" w:space="0" w:color="auto"/>
      </w:divBdr>
    </w:div>
    <w:div w:id="296685163">
      <w:bodyDiv w:val="1"/>
      <w:marLeft w:val="0"/>
      <w:marRight w:val="0"/>
      <w:marTop w:val="0"/>
      <w:marBottom w:val="0"/>
      <w:divBdr>
        <w:top w:val="none" w:sz="0" w:space="0" w:color="auto"/>
        <w:left w:val="none" w:sz="0" w:space="0" w:color="auto"/>
        <w:bottom w:val="none" w:sz="0" w:space="0" w:color="auto"/>
        <w:right w:val="none" w:sz="0" w:space="0" w:color="auto"/>
      </w:divBdr>
    </w:div>
    <w:div w:id="301159577">
      <w:bodyDiv w:val="1"/>
      <w:marLeft w:val="0"/>
      <w:marRight w:val="0"/>
      <w:marTop w:val="0"/>
      <w:marBottom w:val="0"/>
      <w:divBdr>
        <w:top w:val="none" w:sz="0" w:space="0" w:color="auto"/>
        <w:left w:val="none" w:sz="0" w:space="0" w:color="auto"/>
        <w:bottom w:val="none" w:sz="0" w:space="0" w:color="auto"/>
        <w:right w:val="none" w:sz="0" w:space="0" w:color="auto"/>
      </w:divBdr>
    </w:div>
    <w:div w:id="303700423">
      <w:bodyDiv w:val="1"/>
      <w:marLeft w:val="0"/>
      <w:marRight w:val="0"/>
      <w:marTop w:val="0"/>
      <w:marBottom w:val="0"/>
      <w:divBdr>
        <w:top w:val="none" w:sz="0" w:space="0" w:color="auto"/>
        <w:left w:val="none" w:sz="0" w:space="0" w:color="auto"/>
        <w:bottom w:val="none" w:sz="0" w:space="0" w:color="auto"/>
        <w:right w:val="none" w:sz="0" w:space="0" w:color="auto"/>
      </w:divBdr>
    </w:div>
    <w:div w:id="305669470">
      <w:bodyDiv w:val="1"/>
      <w:marLeft w:val="0"/>
      <w:marRight w:val="0"/>
      <w:marTop w:val="0"/>
      <w:marBottom w:val="0"/>
      <w:divBdr>
        <w:top w:val="none" w:sz="0" w:space="0" w:color="auto"/>
        <w:left w:val="none" w:sz="0" w:space="0" w:color="auto"/>
        <w:bottom w:val="none" w:sz="0" w:space="0" w:color="auto"/>
        <w:right w:val="none" w:sz="0" w:space="0" w:color="auto"/>
      </w:divBdr>
    </w:div>
    <w:div w:id="307974988">
      <w:bodyDiv w:val="1"/>
      <w:marLeft w:val="0"/>
      <w:marRight w:val="0"/>
      <w:marTop w:val="0"/>
      <w:marBottom w:val="0"/>
      <w:divBdr>
        <w:top w:val="none" w:sz="0" w:space="0" w:color="auto"/>
        <w:left w:val="none" w:sz="0" w:space="0" w:color="auto"/>
        <w:bottom w:val="none" w:sz="0" w:space="0" w:color="auto"/>
        <w:right w:val="none" w:sz="0" w:space="0" w:color="auto"/>
      </w:divBdr>
    </w:div>
    <w:div w:id="315300754">
      <w:bodyDiv w:val="1"/>
      <w:marLeft w:val="0"/>
      <w:marRight w:val="0"/>
      <w:marTop w:val="0"/>
      <w:marBottom w:val="0"/>
      <w:divBdr>
        <w:top w:val="none" w:sz="0" w:space="0" w:color="auto"/>
        <w:left w:val="none" w:sz="0" w:space="0" w:color="auto"/>
        <w:bottom w:val="none" w:sz="0" w:space="0" w:color="auto"/>
        <w:right w:val="none" w:sz="0" w:space="0" w:color="auto"/>
      </w:divBdr>
    </w:div>
    <w:div w:id="317926138">
      <w:bodyDiv w:val="1"/>
      <w:marLeft w:val="0"/>
      <w:marRight w:val="0"/>
      <w:marTop w:val="0"/>
      <w:marBottom w:val="0"/>
      <w:divBdr>
        <w:top w:val="none" w:sz="0" w:space="0" w:color="auto"/>
        <w:left w:val="none" w:sz="0" w:space="0" w:color="auto"/>
        <w:bottom w:val="none" w:sz="0" w:space="0" w:color="auto"/>
        <w:right w:val="none" w:sz="0" w:space="0" w:color="auto"/>
      </w:divBdr>
    </w:div>
    <w:div w:id="319770788">
      <w:bodyDiv w:val="1"/>
      <w:marLeft w:val="0"/>
      <w:marRight w:val="0"/>
      <w:marTop w:val="0"/>
      <w:marBottom w:val="0"/>
      <w:divBdr>
        <w:top w:val="none" w:sz="0" w:space="0" w:color="auto"/>
        <w:left w:val="none" w:sz="0" w:space="0" w:color="auto"/>
        <w:bottom w:val="none" w:sz="0" w:space="0" w:color="auto"/>
        <w:right w:val="none" w:sz="0" w:space="0" w:color="auto"/>
      </w:divBdr>
    </w:div>
    <w:div w:id="321273425">
      <w:bodyDiv w:val="1"/>
      <w:marLeft w:val="0"/>
      <w:marRight w:val="0"/>
      <w:marTop w:val="0"/>
      <w:marBottom w:val="0"/>
      <w:divBdr>
        <w:top w:val="none" w:sz="0" w:space="0" w:color="auto"/>
        <w:left w:val="none" w:sz="0" w:space="0" w:color="auto"/>
        <w:bottom w:val="none" w:sz="0" w:space="0" w:color="auto"/>
        <w:right w:val="none" w:sz="0" w:space="0" w:color="auto"/>
      </w:divBdr>
    </w:div>
    <w:div w:id="341128514">
      <w:bodyDiv w:val="1"/>
      <w:marLeft w:val="0"/>
      <w:marRight w:val="0"/>
      <w:marTop w:val="0"/>
      <w:marBottom w:val="0"/>
      <w:divBdr>
        <w:top w:val="none" w:sz="0" w:space="0" w:color="auto"/>
        <w:left w:val="none" w:sz="0" w:space="0" w:color="auto"/>
        <w:bottom w:val="none" w:sz="0" w:space="0" w:color="auto"/>
        <w:right w:val="none" w:sz="0" w:space="0" w:color="auto"/>
      </w:divBdr>
    </w:div>
    <w:div w:id="347104492">
      <w:bodyDiv w:val="1"/>
      <w:marLeft w:val="0"/>
      <w:marRight w:val="0"/>
      <w:marTop w:val="0"/>
      <w:marBottom w:val="0"/>
      <w:divBdr>
        <w:top w:val="none" w:sz="0" w:space="0" w:color="auto"/>
        <w:left w:val="none" w:sz="0" w:space="0" w:color="auto"/>
        <w:bottom w:val="none" w:sz="0" w:space="0" w:color="auto"/>
        <w:right w:val="none" w:sz="0" w:space="0" w:color="auto"/>
      </w:divBdr>
    </w:div>
    <w:div w:id="352267281">
      <w:bodyDiv w:val="1"/>
      <w:marLeft w:val="0"/>
      <w:marRight w:val="0"/>
      <w:marTop w:val="0"/>
      <w:marBottom w:val="0"/>
      <w:divBdr>
        <w:top w:val="none" w:sz="0" w:space="0" w:color="auto"/>
        <w:left w:val="none" w:sz="0" w:space="0" w:color="auto"/>
        <w:bottom w:val="none" w:sz="0" w:space="0" w:color="auto"/>
        <w:right w:val="none" w:sz="0" w:space="0" w:color="auto"/>
      </w:divBdr>
    </w:div>
    <w:div w:id="353465234">
      <w:bodyDiv w:val="1"/>
      <w:marLeft w:val="0"/>
      <w:marRight w:val="0"/>
      <w:marTop w:val="0"/>
      <w:marBottom w:val="0"/>
      <w:divBdr>
        <w:top w:val="none" w:sz="0" w:space="0" w:color="auto"/>
        <w:left w:val="none" w:sz="0" w:space="0" w:color="auto"/>
        <w:bottom w:val="none" w:sz="0" w:space="0" w:color="auto"/>
        <w:right w:val="none" w:sz="0" w:space="0" w:color="auto"/>
      </w:divBdr>
    </w:div>
    <w:div w:id="356392028">
      <w:bodyDiv w:val="1"/>
      <w:marLeft w:val="0"/>
      <w:marRight w:val="0"/>
      <w:marTop w:val="0"/>
      <w:marBottom w:val="0"/>
      <w:divBdr>
        <w:top w:val="none" w:sz="0" w:space="0" w:color="auto"/>
        <w:left w:val="none" w:sz="0" w:space="0" w:color="auto"/>
        <w:bottom w:val="none" w:sz="0" w:space="0" w:color="auto"/>
        <w:right w:val="none" w:sz="0" w:space="0" w:color="auto"/>
      </w:divBdr>
    </w:div>
    <w:div w:id="357779111">
      <w:bodyDiv w:val="1"/>
      <w:marLeft w:val="0"/>
      <w:marRight w:val="0"/>
      <w:marTop w:val="0"/>
      <w:marBottom w:val="0"/>
      <w:divBdr>
        <w:top w:val="none" w:sz="0" w:space="0" w:color="auto"/>
        <w:left w:val="none" w:sz="0" w:space="0" w:color="auto"/>
        <w:bottom w:val="none" w:sz="0" w:space="0" w:color="auto"/>
        <w:right w:val="none" w:sz="0" w:space="0" w:color="auto"/>
      </w:divBdr>
    </w:div>
    <w:div w:id="359160719">
      <w:bodyDiv w:val="1"/>
      <w:marLeft w:val="0"/>
      <w:marRight w:val="0"/>
      <w:marTop w:val="0"/>
      <w:marBottom w:val="0"/>
      <w:divBdr>
        <w:top w:val="none" w:sz="0" w:space="0" w:color="auto"/>
        <w:left w:val="none" w:sz="0" w:space="0" w:color="auto"/>
        <w:bottom w:val="none" w:sz="0" w:space="0" w:color="auto"/>
        <w:right w:val="none" w:sz="0" w:space="0" w:color="auto"/>
      </w:divBdr>
    </w:div>
    <w:div w:id="376513847">
      <w:bodyDiv w:val="1"/>
      <w:marLeft w:val="0"/>
      <w:marRight w:val="0"/>
      <w:marTop w:val="0"/>
      <w:marBottom w:val="0"/>
      <w:divBdr>
        <w:top w:val="none" w:sz="0" w:space="0" w:color="auto"/>
        <w:left w:val="none" w:sz="0" w:space="0" w:color="auto"/>
        <w:bottom w:val="none" w:sz="0" w:space="0" w:color="auto"/>
        <w:right w:val="none" w:sz="0" w:space="0" w:color="auto"/>
      </w:divBdr>
    </w:div>
    <w:div w:id="382876272">
      <w:bodyDiv w:val="1"/>
      <w:marLeft w:val="0"/>
      <w:marRight w:val="0"/>
      <w:marTop w:val="0"/>
      <w:marBottom w:val="0"/>
      <w:divBdr>
        <w:top w:val="none" w:sz="0" w:space="0" w:color="auto"/>
        <w:left w:val="none" w:sz="0" w:space="0" w:color="auto"/>
        <w:bottom w:val="none" w:sz="0" w:space="0" w:color="auto"/>
        <w:right w:val="none" w:sz="0" w:space="0" w:color="auto"/>
      </w:divBdr>
    </w:div>
    <w:div w:id="387800619">
      <w:bodyDiv w:val="1"/>
      <w:marLeft w:val="0"/>
      <w:marRight w:val="0"/>
      <w:marTop w:val="0"/>
      <w:marBottom w:val="0"/>
      <w:divBdr>
        <w:top w:val="none" w:sz="0" w:space="0" w:color="auto"/>
        <w:left w:val="none" w:sz="0" w:space="0" w:color="auto"/>
        <w:bottom w:val="none" w:sz="0" w:space="0" w:color="auto"/>
        <w:right w:val="none" w:sz="0" w:space="0" w:color="auto"/>
      </w:divBdr>
    </w:div>
    <w:div w:id="390886924">
      <w:bodyDiv w:val="1"/>
      <w:marLeft w:val="0"/>
      <w:marRight w:val="0"/>
      <w:marTop w:val="0"/>
      <w:marBottom w:val="0"/>
      <w:divBdr>
        <w:top w:val="none" w:sz="0" w:space="0" w:color="auto"/>
        <w:left w:val="none" w:sz="0" w:space="0" w:color="auto"/>
        <w:bottom w:val="none" w:sz="0" w:space="0" w:color="auto"/>
        <w:right w:val="none" w:sz="0" w:space="0" w:color="auto"/>
      </w:divBdr>
    </w:div>
    <w:div w:id="396972941">
      <w:bodyDiv w:val="1"/>
      <w:marLeft w:val="0"/>
      <w:marRight w:val="0"/>
      <w:marTop w:val="0"/>
      <w:marBottom w:val="0"/>
      <w:divBdr>
        <w:top w:val="none" w:sz="0" w:space="0" w:color="auto"/>
        <w:left w:val="none" w:sz="0" w:space="0" w:color="auto"/>
        <w:bottom w:val="none" w:sz="0" w:space="0" w:color="auto"/>
        <w:right w:val="none" w:sz="0" w:space="0" w:color="auto"/>
      </w:divBdr>
    </w:div>
    <w:div w:id="405803539">
      <w:bodyDiv w:val="1"/>
      <w:marLeft w:val="0"/>
      <w:marRight w:val="0"/>
      <w:marTop w:val="0"/>
      <w:marBottom w:val="0"/>
      <w:divBdr>
        <w:top w:val="none" w:sz="0" w:space="0" w:color="auto"/>
        <w:left w:val="none" w:sz="0" w:space="0" w:color="auto"/>
        <w:bottom w:val="none" w:sz="0" w:space="0" w:color="auto"/>
        <w:right w:val="none" w:sz="0" w:space="0" w:color="auto"/>
      </w:divBdr>
    </w:div>
    <w:div w:id="406071933">
      <w:bodyDiv w:val="1"/>
      <w:marLeft w:val="0"/>
      <w:marRight w:val="0"/>
      <w:marTop w:val="0"/>
      <w:marBottom w:val="0"/>
      <w:divBdr>
        <w:top w:val="none" w:sz="0" w:space="0" w:color="auto"/>
        <w:left w:val="none" w:sz="0" w:space="0" w:color="auto"/>
        <w:bottom w:val="none" w:sz="0" w:space="0" w:color="auto"/>
        <w:right w:val="none" w:sz="0" w:space="0" w:color="auto"/>
      </w:divBdr>
    </w:div>
    <w:div w:id="408887358">
      <w:bodyDiv w:val="1"/>
      <w:marLeft w:val="0"/>
      <w:marRight w:val="0"/>
      <w:marTop w:val="0"/>
      <w:marBottom w:val="0"/>
      <w:divBdr>
        <w:top w:val="none" w:sz="0" w:space="0" w:color="auto"/>
        <w:left w:val="none" w:sz="0" w:space="0" w:color="auto"/>
        <w:bottom w:val="none" w:sz="0" w:space="0" w:color="auto"/>
        <w:right w:val="none" w:sz="0" w:space="0" w:color="auto"/>
      </w:divBdr>
    </w:div>
    <w:div w:id="444034012">
      <w:bodyDiv w:val="1"/>
      <w:marLeft w:val="0"/>
      <w:marRight w:val="0"/>
      <w:marTop w:val="0"/>
      <w:marBottom w:val="0"/>
      <w:divBdr>
        <w:top w:val="none" w:sz="0" w:space="0" w:color="auto"/>
        <w:left w:val="none" w:sz="0" w:space="0" w:color="auto"/>
        <w:bottom w:val="none" w:sz="0" w:space="0" w:color="auto"/>
        <w:right w:val="none" w:sz="0" w:space="0" w:color="auto"/>
      </w:divBdr>
    </w:div>
    <w:div w:id="445152638">
      <w:bodyDiv w:val="1"/>
      <w:marLeft w:val="0"/>
      <w:marRight w:val="0"/>
      <w:marTop w:val="0"/>
      <w:marBottom w:val="0"/>
      <w:divBdr>
        <w:top w:val="none" w:sz="0" w:space="0" w:color="auto"/>
        <w:left w:val="none" w:sz="0" w:space="0" w:color="auto"/>
        <w:bottom w:val="none" w:sz="0" w:space="0" w:color="auto"/>
        <w:right w:val="none" w:sz="0" w:space="0" w:color="auto"/>
      </w:divBdr>
    </w:div>
    <w:div w:id="454758442">
      <w:bodyDiv w:val="1"/>
      <w:marLeft w:val="0"/>
      <w:marRight w:val="0"/>
      <w:marTop w:val="0"/>
      <w:marBottom w:val="0"/>
      <w:divBdr>
        <w:top w:val="none" w:sz="0" w:space="0" w:color="auto"/>
        <w:left w:val="none" w:sz="0" w:space="0" w:color="auto"/>
        <w:bottom w:val="none" w:sz="0" w:space="0" w:color="auto"/>
        <w:right w:val="none" w:sz="0" w:space="0" w:color="auto"/>
      </w:divBdr>
    </w:div>
    <w:div w:id="455606545">
      <w:bodyDiv w:val="1"/>
      <w:marLeft w:val="0"/>
      <w:marRight w:val="0"/>
      <w:marTop w:val="0"/>
      <w:marBottom w:val="0"/>
      <w:divBdr>
        <w:top w:val="none" w:sz="0" w:space="0" w:color="auto"/>
        <w:left w:val="none" w:sz="0" w:space="0" w:color="auto"/>
        <w:bottom w:val="none" w:sz="0" w:space="0" w:color="auto"/>
        <w:right w:val="none" w:sz="0" w:space="0" w:color="auto"/>
      </w:divBdr>
    </w:div>
    <w:div w:id="456802904">
      <w:bodyDiv w:val="1"/>
      <w:marLeft w:val="0"/>
      <w:marRight w:val="0"/>
      <w:marTop w:val="0"/>
      <w:marBottom w:val="0"/>
      <w:divBdr>
        <w:top w:val="none" w:sz="0" w:space="0" w:color="auto"/>
        <w:left w:val="none" w:sz="0" w:space="0" w:color="auto"/>
        <w:bottom w:val="none" w:sz="0" w:space="0" w:color="auto"/>
        <w:right w:val="none" w:sz="0" w:space="0" w:color="auto"/>
      </w:divBdr>
    </w:div>
    <w:div w:id="460272913">
      <w:bodyDiv w:val="1"/>
      <w:marLeft w:val="0"/>
      <w:marRight w:val="0"/>
      <w:marTop w:val="0"/>
      <w:marBottom w:val="0"/>
      <w:divBdr>
        <w:top w:val="none" w:sz="0" w:space="0" w:color="auto"/>
        <w:left w:val="none" w:sz="0" w:space="0" w:color="auto"/>
        <w:bottom w:val="none" w:sz="0" w:space="0" w:color="auto"/>
        <w:right w:val="none" w:sz="0" w:space="0" w:color="auto"/>
      </w:divBdr>
    </w:div>
    <w:div w:id="488404452">
      <w:bodyDiv w:val="1"/>
      <w:marLeft w:val="0"/>
      <w:marRight w:val="0"/>
      <w:marTop w:val="0"/>
      <w:marBottom w:val="0"/>
      <w:divBdr>
        <w:top w:val="none" w:sz="0" w:space="0" w:color="auto"/>
        <w:left w:val="none" w:sz="0" w:space="0" w:color="auto"/>
        <w:bottom w:val="none" w:sz="0" w:space="0" w:color="auto"/>
        <w:right w:val="none" w:sz="0" w:space="0" w:color="auto"/>
      </w:divBdr>
    </w:div>
    <w:div w:id="491290490">
      <w:bodyDiv w:val="1"/>
      <w:marLeft w:val="0"/>
      <w:marRight w:val="0"/>
      <w:marTop w:val="0"/>
      <w:marBottom w:val="0"/>
      <w:divBdr>
        <w:top w:val="none" w:sz="0" w:space="0" w:color="auto"/>
        <w:left w:val="none" w:sz="0" w:space="0" w:color="auto"/>
        <w:bottom w:val="none" w:sz="0" w:space="0" w:color="auto"/>
        <w:right w:val="none" w:sz="0" w:space="0" w:color="auto"/>
      </w:divBdr>
    </w:div>
    <w:div w:id="492381841">
      <w:bodyDiv w:val="1"/>
      <w:marLeft w:val="0"/>
      <w:marRight w:val="0"/>
      <w:marTop w:val="0"/>
      <w:marBottom w:val="0"/>
      <w:divBdr>
        <w:top w:val="none" w:sz="0" w:space="0" w:color="auto"/>
        <w:left w:val="none" w:sz="0" w:space="0" w:color="auto"/>
        <w:bottom w:val="none" w:sz="0" w:space="0" w:color="auto"/>
        <w:right w:val="none" w:sz="0" w:space="0" w:color="auto"/>
      </w:divBdr>
    </w:div>
    <w:div w:id="502013274">
      <w:bodyDiv w:val="1"/>
      <w:marLeft w:val="0"/>
      <w:marRight w:val="0"/>
      <w:marTop w:val="0"/>
      <w:marBottom w:val="0"/>
      <w:divBdr>
        <w:top w:val="none" w:sz="0" w:space="0" w:color="auto"/>
        <w:left w:val="none" w:sz="0" w:space="0" w:color="auto"/>
        <w:bottom w:val="none" w:sz="0" w:space="0" w:color="auto"/>
        <w:right w:val="none" w:sz="0" w:space="0" w:color="auto"/>
      </w:divBdr>
    </w:div>
    <w:div w:id="504824979">
      <w:bodyDiv w:val="1"/>
      <w:marLeft w:val="0"/>
      <w:marRight w:val="0"/>
      <w:marTop w:val="0"/>
      <w:marBottom w:val="0"/>
      <w:divBdr>
        <w:top w:val="none" w:sz="0" w:space="0" w:color="auto"/>
        <w:left w:val="none" w:sz="0" w:space="0" w:color="auto"/>
        <w:bottom w:val="none" w:sz="0" w:space="0" w:color="auto"/>
        <w:right w:val="none" w:sz="0" w:space="0" w:color="auto"/>
      </w:divBdr>
    </w:div>
    <w:div w:id="510527821">
      <w:bodyDiv w:val="1"/>
      <w:marLeft w:val="0"/>
      <w:marRight w:val="0"/>
      <w:marTop w:val="0"/>
      <w:marBottom w:val="0"/>
      <w:divBdr>
        <w:top w:val="none" w:sz="0" w:space="0" w:color="auto"/>
        <w:left w:val="none" w:sz="0" w:space="0" w:color="auto"/>
        <w:bottom w:val="none" w:sz="0" w:space="0" w:color="auto"/>
        <w:right w:val="none" w:sz="0" w:space="0" w:color="auto"/>
      </w:divBdr>
    </w:div>
    <w:div w:id="513616602">
      <w:bodyDiv w:val="1"/>
      <w:marLeft w:val="0"/>
      <w:marRight w:val="0"/>
      <w:marTop w:val="0"/>
      <w:marBottom w:val="0"/>
      <w:divBdr>
        <w:top w:val="none" w:sz="0" w:space="0" w:color="auto"/>
        <w:left w:val="none" w:sz="0" w:space="0" w:color="auto"/>
        <w:bottom w:val="none" w:sz="0" w:space="0" w:color="auto"/>
        <w:right w:val="none" w:sz="0" w:space="0" w:color="auto"/>
      </w:divBdr>
    </w:div>
    <w:div w:id="513688708">
      <w:bodyDiv w:val="1"/>
      <w:marLeft w:val="0"/>
      <w:marRight w:val="0"/>
      <w:marTop w:val="0"/>
      <w:marBottom w:val="0"/>
      <w:divBdr>
        <w:top w:val="none" w:sz="0" w:space="0" w:color="auto"/>
        <w:left w:val="none" w:sz="0" w:space="0" w:color="auto"/>
        <w:bottom w:val="none" w:sz="0" w:space="0" w:color="auto"/>
        <w:right w:val="none" w:sz="0" w:space="0" w:color="auto"/>
      </w:divBdr>
    </w:div>
    <w:div w:id="524365601">
      <w:bodyDiv w:val="1"/>
      <w:marLeft w:val="0"/>
      <w:marRight w:val="0"/>
      <w:marTop w:val="0"/>
      <w:marBottom w:val="0"/>
      <w:divBdr>
        <w:top w:val="none" w:sz="0" w:space="0" w:color="auto"/>
        <w:left w:val="none" w:sz="0" w:space="0" w:color="auto"/>
        <w:bottom w:val="none" w:sz="0" w:space="0" w:color="auto"/>
        <w:right w:val="none" w:sz="0" w:space="0" w:color="auto"/>
      </w:divBdr>
    </w:div>
    <w:div w:id="527257102">
      <w:bodyDiv w:val="1"/>
      <w:marLeft w:val="0"/>
      <w:marRight w:val="0"/>
      <w:marTop w:val="0"/>
      <w:marBottom w:val="0"/>
      <w:divBdr>
        <w:top w:val="none" w:sz="0" w:space="0" w:color="auto"/>
        <w:left w:val="none" w:sz="0" w:space="0" w:color="auto"/>
        <w:bottom w:val="none" w:sz="0" w:space="0" w:color="auto"/>
        <w:right w:val="none" w:sz="0" w:space="0" w:color="auto"/>
      </w:divBdr>
    </w:div>
    <w:div w:id="528108788">
      <w:bodyDiv w:val="1"/>
      <w:marLeft w:val="0"/>
      <w:marRight w:val="0"/>
      <w:marTop w:val="0"/>
      <w:marBottom w:val="0"/>
      <w:divBdr>
        <w:top w:val="none" w:sz="0" w:space="0" w:color="auto"/>
        <w:left w:val="none" w:sz="0" w:space="0" w:color="auto"/>
        <w:bottom w:val="none" w:sz="0" w:space="0" w:color="auto"/>
        <w:right w:val="none" w:sz="0" w:space="0" w:color="auto"/>
      </w:divBdr>
    </w:div>
    <w:div w:id="537813468">
      <w:bodyDiv w:val="1"/>
      <w:marLeft w:val="0"/>
      <w:marRight w:val="0"/>
      <w:marTop w:val="0"/>
      <w:marBottom w:val="0"/>
      <w:divBdr>
        <w:top w:val="none" w:sz="0" w:space="0" w:color="auto"/>
        <w:left w:val="none" w:sz="0" w:space="0" w:color="auto"/>
        <w:bottom w:val="none" w:sz="0" w:space="0" w:color="auto"/>
        <w:right w:val="none" w:sz="0" w:space="0" w:color="auto"/>
      </w:divBdr>
    </w:div>
    <w:div w:id="543716821">
      <w:bodyDiv w:val="1"/>
      <w:marLeft w:val="0"/>
      <w:marRight w:val="0"/>
      <w:marTop w:val="0"/>
      <w:marBottom w:val="0"/>
      <w:divBdr>
        <w:top w:val="none" w:sz="0" w:space="0" w:color="auto"/>
        <w:left w:val="none" w:sz="0" w:space="0" w:color="auto"/>
        <w:bottom w:val="none" w:sz="0" w:space="0" w:color="auto"/>
        <w:right w:val="none" w:sz="0" w:space="0" w:color="auto"/>
      </w:divBdr>
    </w:div>
    <w:div w:id="544759500">
      <w:bodyDiv w:val="1"/>
      <w:marLeft w:val="0"/>
      <w:marRight w:val="0"/>
      <w:marTop w:val="0"/>
      <w:marBottom w:val="0"/>
      <w:divBdr>
        <w:top w:val="none" w:sz="0" w:space="0" w:color="auto"/>
        <w:left w:val="none" w:sz="0" w:space="0" w:color="auto"/>
        <w:bottom w:val="none" w:sz="0" w:space="0" w:color="auto"/>
        <w:right w:val="none" w:sz="0" w:space="0" w:color="auto"/>
      </w:divBdr>
    </w:div>
    <w:div w:id="553320739">
      <w:bodyDiv w:val="1"/>
      <w:marLeft w:val="0"/>
      <w:marRight w:val="0"/>
      <w:marTop w:val="0"/>
      <w:marBottom w:val="0"/>
      <w:divBdr>
        <w:top w:val="none" w:sz="0" w:space="0" w:color="auto"/>
        <w:left w:val="none" w:sz="0" w:space="0" w:color="auto"/>
        <w:bottom w:val="none" w:sz="0" w:space="0" w:color="auto"/>
        <w:right w:val="none" w:sz="0" w:space="0" w:color="auto"/>
      </w:divBdr>
    </w:div>
    <w:div w:id="556086245">
      <w:bodyDiv w:val="1"/>
      <w:marLeft w:val="0"/>
      <w:marRight w:val="0"/>
      <w:marTop w:val="0"/>
      <w:marBottom w:val="0"/>
      <w:divBdr>
        <w:top w:val="none" w:sz="0" w:space="0" w:color="auto"/>
        <w:left w:val="none" w:sz="0" w:space="0" w:color="auto"/>
        <w:bottom w:val="none" w:sz="0" w:space="0" w:color="auto"/>
        <w:right w:val="none" w:sz="0" w:space="0" w:color="auto"/>
      </w:divBdr>
    </w:div>
    <w:div w:id="566263366">
      <w:bodyDiv w:val="1"/>
      <w:marLeft w:val="0"/>
      <w:marRight w:val="0"/>
      <w:marTop w:val="0"/>
      <w:marBottom w:val="0"/>
      <w:divBdr>
        <w:top w:val="none" w:sz="0" w:space="0" w:color="auto"/>
        <w:left w:val="none" w:sz="0" w:space="0" w:color="auto"/>
        <w:bottom w:val="none" w:sz="0" w:space="0" w:color="auto"/>
        <w:right w:val="none" w:sz="0" w:space="0" w:color="auto"/>
      </w:divBdr>
    </w:div>
    <w:div w:id="574511358">
      <w:bodyDiv w:val="1"/>
      <w:marLeft w:val="0"/>
      <w:marRight w:val="0"/>
      <w:marTop w:val="0"/>
      <w:marBottom w:val="0"/>
      <w:divBdr>
        <w:top w:val="none" w:sz="0" w:space="0" w:color="auto"/>
        <w:left w:val="none" w:sz="0" w:space="0" w:color="auto"/>
        <w:bottom w:val="none" w:sz="0" w:space="0" w:color="auto"/>
        <w:right w:val="none" w:sz="0" w:space="0" w:color="auto"/>
      </w:divBdr>
    </w:div>
    <w:div w:id="577907552">
      <w:bodyDiv w:val="1"/>
      <w:marLeft w:val="0"/>
      <w:marRight w:val="0"/>
      <w:marTop w:val="0"/>
      <w:marBottom w:val="0"/>
      <w:divBdr>
        <w:top w:val="none" w:sz="0" w:space="0" w:color="auto"/>
        <w:left w:val="none" w:sz="0" w:space="0" w:color="auto"/>
        <w:bottom w:val="none" w:sz="0" w:space="0" w:color="auto"/>
        <w:right w:val="none" w:sz="0" w:space="0" w:color="auto"/>
      </w:divBdr>
    </w:div>
    <w:div w:id="578439179">
      <w:bodyDiv w:val="1"/>
      <w:marLeft w:val="0"/>
      <w:marRight w:val="0"/>
      <w:marTop w:val="0"/>
      <w:marBottom w:val="0"/>
      <w:divBdr>
        <w:top w:val="none" w:sz="0" w:space="0" w:color="auto"/>
        <w:left w:val="none" w:sz="0" w:space="0" w:color="auto"/>
        <w:bottom w:val="none" w:sz="0" w:space="0" w:color="auto"/>
        <w:right w:val="none" w:sz="0" w:space="0" w:color="auto"/>
      </w:divBdr>
    </w:div>
    <w:div w:id="578563595">
      <w:bodyDiv w:val="1"/>
      <w:marLeft w:val="0"/>
      <w:marRight w:val="0"/>
      <w:marTop w:val="0"/>
      <w:marBottom w:val="0"/>
      <w:divBdr>
        <w:top w:val="none" w:sz="0" w:space="0" w:color="auto"/>
        <w:left w:val="none" w:sz="0" w:space="0" w:color="auto"/>
        <w:bottom w:val="none" w:sz="0" w:space="0" w:color="auto"/>
        <w:right w:val="none" w:sz="0" w:space="0" w:color="auto"/>
      </w:divBdr>
    </w:div>
    <w:div w:id="587080129">
      <w:bodyDiv w:val="1"/>
      <w:marLeft w:val="0"/>
      <w:marRight w:val="0"/>
      <w:marTop w:val="0"/>
      <w:marBottom w:val="0"/>
      <w:divBdr>
        <w:top w:val="none" w:sz="0" w:space="0" w:color="auto"/>
        <w:left w:val="none" w:sz="0" w:space="0" w:color="auto"/>
        <w:bottom w:val="none" w:sz="0" w:space="0" w:color="auto"/>
        <w:right w:val="none" w:sz="0" w:space="0" w:color="auto"/>
      </w:divBdr>
    </w:div>
    <w:div w:id="590311656">
      <w:bodyDiv w:val="1"/>
      <w:marLeft w:val="0"/>
      <w:marRight w:val="0"/>
      <w:marTop w:val="0"/>
      <w:marBottom w:val="0"/>
      <w:divBdr>
        <w:top w:val="none" w:sz="0" w:space="0" w:color="auto"/>
        <w:left w:val="none" w:sz="0" w:space="0" w:color="auto"/>
        <w:bottom w:val="none" w:sz="0" w:space="0" w:color="auto"/>
        <w:right w:val="none" w:sz="0" w:space="0" w:color="auto"/>
      </w:divBdr>
    </w:div>
    <w:div w:id="595795493">
      <w:bodyDiv w:val="1"/>
      <w:marLeft w:val="0"/>
      <w:marRight w:val="0"/>
      <w:marTop w:val="0"/>
      <w:marBottom w:val="0"/>
      <w:divBdr>
        <w:top w:val="none" w:sz="0" w:space="0" w:color="auto"/>
        <w:left w:val="none" w:sz="0" w:space="0" w:color="auto"/>
        <w:bottom w:val="none" w:sz="0" w:space="0" w:color="auto"/>
        <w:right w:val="none" w:sz="0" w:space="0" w:color="auto"/>
      </w:divBdr>
    </w:div>
    <w:div w:id="596329637">
      <w:bodyDiv w:val="1"/>
      <w:marLeft w:val="0"/>
      <w:marRight w:val="0"/>
      <w:marTop w:val="0"/>
      <w:marBottom w:val="0"/>
      <w:divBdr>
        <w:top w:val="none" w:sz="0" w:space="0" w:color="auto"/>
        <w:left w:val="none" w:sz="0" w:space="0" w:color="auto"/>
        <w:bottom w:val="none" w:sz="0" w:space="0" w:color="auto"/>
        <w:right w:val="none" w:sz="0" w:space="0" w:color="auto"/>
      </w:divBdr>
    </w:div>
    <w:div w:id="604729055">
      <w:bodyDiv w:val="1"/>
      <w:marLeft w:val="0"/>
      <w:marRight w:val="0"/>
      <w:marTop w:val="0"/>
      <w:marBottom w:val="0"/>
      <w:divBdr>
        <w:top w:val="none" w:sz="0" w:space="0" w:color="auto"/>
        <w:left w:val="none" w:sz="0" w:space="0" w:color="auto"/>
        <w:bottom w:val="none" w:sz="0" w:space="0" w:color="auto"/>
        <w:right w:val="none" w:sz="0" w:space="0" w:color="auto"/>
      </w:divBdr>
    </w:div>
    <w:div w:id="607272785">
      <w:bodyDiv w:val="1"/>
      <w:marLeft w:val="0"/>
      <w:marRight w:val="0"/>
      <w:marTop w:val="0"/>
      <w:marBottom w:val="0"/>
      <w:divBdr>
        <w:top w:val="none" w:sz="0" w:space="0" w:color="auto"/>
        <w:left w:val="none" w:sz="0" w:space="0" w:color="auto"/>
        <w:bottom w:val="none" w:sz="0" w:space="0" w:color="auto"/>
        <w:right w:val="none" w:sz="0" w:space="0" w:color="auto"/>
      </w:divBdr>
    </w:div>
    <w:div w:id="616719965">
      <w:bodyDiv w:val="1"/>
      <w:marLeft w:val="0"/>
      <w:marRight w:val="0"/>
      <w:marTop w:val="0"/>
      <w:marBottom w:val="0"/>
      <w:divBdr>
        <w:top w:val="none" w:sz="0" w:space="0" w:color="auto"/>
        <w:left w:val="none" w:sz="0" w:space="0" w:color="auto"/>
        <w:bottom w:val="none" w:sz="0" w:space="0" w:color="auto"/>
        <w:right w:val="none" w:sz="0" w:space="0" w:color="auto"/>
      </w:divBdr>
    </w:div>
    <w:div w:id="617105458">
      <w:bodyDiv w:val="1"/>
      <w:marLeft w:val="0"/>
      <w:marRight w:val="0"/>
      <w:marTop w:val="0"/>
      <w:marBottom w:val="0"/>
      <w:divBdr>
        <w:top w:val="none" w:sz="0" w:space="0" w:color="auto"/>
        <w:left w:val="none" w:sz="0" w:space="0" w:color="auto"/>
        <w:bottom w:val="none" w:sz="0" w:space="0" w:color="auto"/>
        <w:right w:val="none" w:sz="0" w:space="0" w:color="auto"/>
      </w:divBdr>
    </w:div>
    <w:div w:id="627705520">
      <w:bodyDiv w:val="1"/>
      <w:marLeft w:val="0"/>
      <w:marRight w:val="0"/>
      <w:marTop w:val="0"/>
      <w:marBottom w:val="0"/>
      <w:divBdr>
        <w:top w:val="none" w:sz="0" w:space="0" w:color="auto"/>
        <w:left w:val="none" w:sz="0" w:space="0" w:color="auto"/>
        <w:bottom w:val="none" w:sz="0" w:space="0" w:color="auto"/>
        <w:right w:val="none" w:sz="0" w:space="0" w:color="auto"/>
      </w:divBdr>
    </w:div>
    <w:div w:id="630019485">
      <w:bodyDiv w:val="1"/>
      <w:marLeft w:val="0"/>
      <w:marRight w:val="0"/>
      <w:marTop w:val="0"/>
      <w:marBottom w:val="0"/>
      <w:divBdr>
        <w:top w:val="none" w:sz="0" w:space="0" w:color="auto"/>
        <w:left w:val="none" w:sz="0" w:space="0" w:color="auto"/>
        <w:bottom w:val="none" w:sz="0" w:space="0" w:color="auto"/>
        <w:right w:val="none" w:sz="0" w:space="0" w:color="auto"/>
      </w:divBdr>
    </w:div>
    <w:div w:id="633676904">
      <w:bodyDiv w:val="1"/>
      <w:marLeft w:val="0"/>
      <w:marRight w:val="0"/>
      <w:marTop w:val="0"/>
      <w:marBottom w:val="0"/>
      <w:divBdr>
        <w:top w:val="none" w:sz="0" w:space="0" w:color="auto"/>
        <w:left w:val="none" w:sz="0" w:space="0" w:color="auto"/>
        <w:bottom w:val="none" w:sz="0" w:space="0" w:color="auto"/>
        <w:right w:val="none" w:sz="0" w:space="0" w:color="auto"/>
      </w:divBdr>
    </w:div>
    <w:div w:id="635915702">
      <w:bodyDiv w:val="1"/>
      <w:marLeft w:val="0"/>
      <w:marRight w:val="0"/>
      <w:marTop w:val="0"/>
      <w:marBottom w:val="0"/>
      <w:divBdr>
        <w:top w:val="none" w:sz="0" w:space="0" w:color="auto"/>
        <w:left w:val="none" w:sz="0" w:space="0" w:color="auto"/>
        <w:bottom w:val="none" w:sz="0" w:space="0" w:color="auto"/>
        <w:right w:val="none" w:sz="0" w:space="0" w:color="auto"/>
      </w:divBdr>
    </w:div>
    <w:div w:id="635989703">
      <w:bodyDiv w:val="1"/>
      <w:marLeft w:val="0"/>
      <w:marRight w:val="0"/>
      <w:marTop w:val="0"/>
      <w:marBottom w:val="0"/>
      <w:divBdr>
        <w:top w:val="none" w:sz="0" w:space="0" w:color="auto"/>
        <w:left w:val="none" w:sz="0" w:space="0" w:color="auto"/>
        <w:bottom w:val="none" w:sz="0" w:space="0" w:color="auto"/>
        <w:right w:val="none" w:sz="0" w:space="0" w:color="auto"/>
      </w:divBdr>
    </w:div>
    <w:div w:id="642854183">
      <w:bodyDiv w:val="1"/>
      <w:marLeft w:val="0"/>
      <w:marRight w:val="0"/>
      <w:marTop w:val="0"/>
      <w:marBottom w:val="0"/>
      <w:divBdr>
        <w:top w:val="none" w:sz="0" w:space="0" w:color="auto"/>
        <w:left w:val="none" w:sz="0" w:space="0" w:color="auto"/>
        <w:bottom w:val="none" w:sz="0" w:space="0" w:color="auto"/>
        <w:right w:val="none" w:sz="0" w:space="0" w:color="auto"/>
      </w:divBdr>
    </w:div>
    <w:div w:id="651445540">
      <w:bodyDiv w:val="1"/>
      <w:marLeft w:val="0"/>
      <w:marRight w:val="0"/>
      <w:marTop w:val="0"/>
      <w:marBottom w:val="0"/>
      <w:divBdr>
        <w:top w:val="none" w:sz="0" w:space="0" w:color="auto"/>
        <w:left w:val="none" w:sz="0" w:space="0" w:color="auto"/>
        <w:bottom w:val="none" w:sz="0" w:space="0" w:color="auto"/>
        <w:right w:val="none" w:sz="0" w:space="0" w:color="auto"/>
      </w:divBdr>
    </w:div>
    <w:div w:id="667099192">
      <w:bodyDiv w:val="1"/>
      <w:marLeft w:val="0"/>
      <w:marRight w:val="0"/>
      <w:marTop w:val="0"/>
      <w:marBottom w:val="0"/>
      <w:divBdr>
        <w:top w:val="none" w:sz="0" w:space="0" w:color="auto"/>
        <w:left w:val="none" w:sz="0" w:space="0" w:color="auto"/>
        <w:bottom w:val="none" w:sz="0" w:space="0" w:color="auto"/>
        <w:right w:val="none" w:sz="0" w:space="0" w:color="auto"/>
      </w:divBdr>
    </w:div>
    <w:div w:id="667246124">
      <w:bodyDiv w:val="1"/>
      <w:marLeft w:val="0"/>
      <w:marRight w:val="0"/>
      <w:marTop w:val="0"/>
      <w:marBottom w:val="0"/>
      <w:divBdr>
        <w:top w:val="none" w:sz="0" w:space="0" w:color="auto"/>
        <w:left w:val="none" w:sz="0" w:space="0" w:color="auto"/>
        <w:bottom w:val="none" w:sz="0" w:space="0" w:color="auto"/>
        <w:right w:val="none" w:sz="0" w:space="0" w:color="auto"/>
      </w:divBdr>
    </w:div>
    <w:div w:id="678429561">
      <w:bodyDiv w:val="1"/>
      <w:marLeft w:val="0"/>
      <w:marRight w:val="0"/>
      <w:marTop w:val="0"/>
      <w:marBottom w:val="0"/>
      <w:divBdr>
        <w:top w:val="none" w:sz="0" w:space="0" w:color="auto"/>
        <w:left w:val="none" w:sz="0" w:space="0" w:color="auto"/>
        <w:bottom w:val="none" w:sz="0" w:space="0" w:color="auto"/>
        <w:right w:val="none" w:sz="0" w:space="0" w:color="auto"/>
      </w:divBdr>
    </w:div>
    <w:div w:id="679089235">
      <w:bodyDiv w:val="1"/>
      <w:marLeft w:val="0"/>
      <w:marRight w:val="0"/>
      <w:marTop w:val="0"/>
      <w:marBottom w:val="0"/>
      <w:divBdr>
        <w:top w:val="none" w:sz="0" w:space="0" w:color="auto"/>
        <w:left w:val="none" w:sz="0" w:space="0" w:color="auto"/>
        <w:bottom w:val="none" w:sz="0" w:space="0" w:color="auto"/>
        <w:right w:val="none" w:sz="0" w:space="0" w:color="auto"/>
      </w:divBdr>
    </w:div>
    <w:div w:id="680857047">
      <w:bodyDiv w:val="1"/>
      <w:marLeft w:val="0"/>
      <w:marRight w:val="0"/>
      <w:marTop w:val="0"/>
      <w:marBottom w:val="0"/>
      <w:divBdr>
        <w:top w:val="none" w:sz="0" w:space="0" w:color="auto"/>
        <w:left w:val="none" w:sz="0" w:space="0" w:color="auto"/>
        <w:bottom w:val="none" w:sz="0" w:space="0" w:color="auto"/>
        <w:right w:val="none" w:sz="0" w:space="0" w:color="auto"/>
      </w:divBdr>
    </w:div>
    <w:div w:id="703213231">
      <w:bodyDiv w:val="1"/>
      <w:marLeft w:val="0"/>
      <w:marRight w:val="0"/>
      <w:marTop w:val="0"/>
      <w:marBottom w:val="0"/>
      <w:divBdr>
        <w:top w:val="none" w:sz="0" w:space="0" w:color="auto"/>
        <w:left w:val="none" w:sz="0" w:space="0" w:color="auto"/>
        <w:bottom w:val="none" w:sz="0" w:space="0" w:color="auto"/>
        <w:right w:val="none" w:sz="0" w:space="0" w:color="auto"/>
      </w:divBdr>
    </w:div>
    <w:div w:id="704716937">
      <w:bodyDiv w:val="1"/>
      <w:marLeft w:val="0"/>
      <w:marRight w:val="0"/>
      <w:marTop w:val="0"/>
      <w:marBottom w:val="0"/>
      <w:divBdr>
        <w:top w:val="none" w:sz="0" w:space="0" w:color="auto"/>
        <w:left w:val="none" w:sz="0" w:space="0" w:color="auto"/>
        <w:bottom w:val="none" w:sz="0" w:space="0" w:color="auto"/>
        <w:right w:val="none" w:sz="0" w:space="0" w:color="auto"/>
      </w:divBdr>
    </w:div>
    <w:div w:id="728842261">
      <w:bodyDiv w:val="1"/>
      <w:marLeft w:val="0"/>
      <w:marRight w:val="0"/>
      <w:marTop w:val="0"/>
      <w:marBottom w:val="0"/>
      <w:divBdr>
        <w:top w:val="none" w:sz="0" w:space="0" w:color="auto"/>
        <w:left w:val="none" w:sz="0" w:space="0" w:color="auto"/>
        <w:bottom w:val="none" w:sz="0" w:space="0" w:color="auto"/>
        <w:right w:val="none" w:sz="0" w:space="0" w:color="auto"/>
      </w:divBdr>
    </w:div>
    <w:div w:id="730008926">
      <w:bodyDiv w:val="1"/>
      <w:marLeft w:val="0"/>
      <w:marRight w:val="0"/>
      <w:marTop w:val="0"/>
      <w:marBottom w:val="0"/>
      <w:divBdr>
        <w:top w:val="none" w:sz="0" w:space="0" w:color="auto"/>
        <w:left w:val="none" w:sz="0" w:space="0" w:color="auto"/>
        <w:bottom w:val="none" w:sz="0" w:space="0" w:color="auto"/>
        <w:right w:val="none" w:sz="0" w:space="0" w:color="auto"/>
      </w:divBdr>
    </w:div>
    <w:div w:id="731001817">
      <w:bodyDiv w:val="1"/>
      <w:marLeft w:val="0"/>
      <w:marRight w:val="0"/>
      <w:marTop w:val="0"/>
      <w:marBottom w:val="0"/>
      <w:divBdr>
        <w:top w:val="none" w:sz="0" w:space="0" w:color="auto"/>
        <w:left w:val="none" w:sz="0" w:space="0" w:color="auto"/>
        <w:bottom w:val="none" w:sz="0" w:space="0" w:color="auto"/>
        <w:right w:val="none" w:sz="0" w:space="0" w:color="auto"/>
      </w:divBdr>
    </w:div>
    <w:div w:id="743452610">
      <w:bodyDiv w:val="1"/>
      <w:marLeft w:val="0"/>
      <w:marRight w:val="0"/>
      <w:marTop w:val="0"/>
      <w:marBottom w:val="0"/>
      <w:divBdr>
        <w:top w:val="none" w:sz="0" w:space="0" w:color="auto"/>
        <w:left w:val="none" w:sz="0" w:space="0" w:color="auto"/>
        <w:bottom w:val="none" w:sz="0" w:space="0" w:color="auto"/>
        <w:right w:val="none" w:sz="0" w:space="0" w:color="auto"/>
      </w:divBdr>
    </w:div>
    <w:div w:id="747578547">
      <w:bodyDiv w:val="1"/>
      <w:marLeft w:val="0"/>
      <w:marRight w:val="0"/>
      <w:marTop w:val="0"/>
      <w:marBottom w:val="0"/>
      <w:divBdr>
        <w:top w:val="none" w:sz="0" w:space="0" w:color="auto"/>
        <w:left w:val="none" w:sz="0" w:space="0" w:color="auto"/>
        <w:bottom w:val="none" w:sz="0" w:space="0" w:color="auto"/>
        <w:right w:val="none" w:sz="0" w:space="0" w:color="auto"/>
      </w:divBdr>
    </w:div>
    <w:div w:id="752972343">
      <w:bodyDiv w:val="1"/>
      <w:marLeft w:val="0"/>
      <w:marRight w:val="0"/>
      <w:marTop w:val="0"/>
      <w:marBottom w:val="0"/>
      <w:divBdr>
        <w:top w:val="none" w:sz="0" w:space="0" w:color="auto"/>
        <w:left w:val="none" w:sz="0" w:space="0" w:color="auto"/>
        <w:bottom w:val="none" w:sz="0" w:space="0" w:color="auto"/>
        <w:right w:val="none" w:sz="0" w:space="0" w:color="auto"/>
      </w:divBdr>
    </w:div>
    <w:div w:id="759836020">
      <w:bodyDiv w:val="1"/>
      <w:marLeft w:val="0"/>
      <w:marRight w:val="0"/>
      <w:marTop w:val="0"/>
      <w:marBottom w:val="0"/>
      <w:divBdr>
        <w:top w:val="none" w:sz="0" w:space="0" w:color="auto"/>
        <w:left w:val="none" w:sz="0" w:space="0" w:color="auto"/>
        <w:bottom w:val="none" w:sz="0" w:space="0" w:color="auto"/>
        <w:right w:val="none" w:sz="0" w:space="0" w:color="auto"/>
      </w:divBdr>
    </w:div>
    <w:div w:id="766731701">
      <w:bodyDiv w:val="1"/>
      <w:marLeft w:val="0"/>
      <w:marRight w:val="0"/>
      <w:marTop w:val="0"/>
      <w:marBottom w:val="0"/>
      <w:divBdr>
        <w:top w:val="none" w:sz="0" w:space="0" w:color="auto"/>
        <w:left w:val="none" w:sz="0" w:space="0" w:color="auto"/>
        <w:bottom w:val="none" w:sz="0" w:space="0" w:color="auto"/>
        <w:right w:val="none" w:sz="0" w:space="0" w:color="auto"/>
      </w:divBdr>
    </w:div>
    <w:div w:id="767503768">
      <w:bodyDiv w:val="1"/>
      <w:marLeft w:val="0"/>
      <w:marRight w:val="0"/>
      <w:marTop w:val="0"/>
      <w:marBottom w:val="0"/>
      <w:divBdr>
        <w:top w:val="none" w:sz="0" w:space="0" w:color="auto"/>
        <w:left w:val="none" w:sz="0" w:space="0" w:color="auto"/>
        <w:bottom w:val="none" w:sz="0" w:space="0" w:color="auto"/>
        <w:right w:val="none" w:sz="0" w:space="0" w:color="auto"/>
      </w:divBdr>
    </w:div>
    <w:div w:id="774397456">
      <w:bodyDiv w:val="1"/>
      <w:marLeft w:val="0"/>
      <w:marRight w:val="0"/>
      <w:marTop w:val="0"/>
      <w:marBottom w:val="0"/>
      <w:divBdr>
        <w:top w:val="none" w:sz="0" w:space="0" w:color="auto"/>
        <w:left w:val="none" w:sz="0" w:space="0" w:color="auto"/>
        <w:bottom w:val="none" w:sz="0" w:space="0" w:color="auto"/>
        <w:right w:val="none" w:sz="0" w:space="0" w:color="auto"/>
      </w:divBdr>
    </w:div>
    <w:div w:id="776606484">
      <w:bodyDiv w:val="1"/>
      <w:marLeft w:val="0"/>
      <w:marRight w:val="0"/>
      <w:marTop w:val="0"/>
      <w:marBottom w:val="0"/>
      <w:divBdr>
        <w:top w:val="none" w:sz="0" w:space="0" w:color="auto"/>
        <w:left w:val="none" w:sz="0" w:space="0" w:color="auto"/>
        <w:bottom w:val="none" w:sz="0" w:space="0" w:color="auto"/>
        <w:right w:val="none" w:sz="0" w:space="0" w:color="auto"/>
      </w:divBdr>
    </w:div>
    <w:div w:id="787285869">
      <w:bodyDiv w:val="1"/>
      <w:marLeft w:val="0"/>
      <w:marRight w:val="0"/>
      <w:marTop w:val="0"/>
      <w:marBottom w:val="0"/>
      <w:divBdr>
        <w:top w:val="none" w:sz="0" w:space="0" w:color="auto"/>
        <w:left w:val="none" w:sz="0" w:space="0" w:color="auto"/>
        <w:bottom w:val="none" w:sz="0" w:space="0" w:color="auto"/>
        <w:right w:val="none" w:sz="0" w:space="0" w:color="auto"/>
      </w:divBdr>
    </w:div>
    <w:div w:id="787354651">
      <w:bodyDiv w:val="1"/>
      <w:marLeft w:val="0"/>
      <w:marRight w:val="0"/>
      <w:marTop w:val="0"/>
      <w:marBottom w:val="0"/>
      <w:divBdr>
        <w:top w:val="none" w:sz="0" w:space="0" w:color="auto"/>
        <w:left w:val="none" w:sz="0" w:space="0" w:color="auto"/>
        <w:bottom w:val="none" w:sz="0" w:space="0" w:color="auto"/>
        <w:right w:val="none" w:sz="0" w:space="0" w:color="auto"/>
      </w:divBdr>
    </w:div>
    <w:div w:id="787359217">
      <w:bodyDiv w:val="1"/>
      <w:marLeft w:val="0"/>
      <w:marRight w:val="0"/>
      <w:marTop w:val="0"/>
      <w:marBottom w:val="0"/>
      <w:divBdr>
        <w:top w:val="none" w:sz="0" w:space="0" w:color="auto"/>
        <w:left w:val="none" w:sz="0" w:space="0" w:color="auto"/>
        <w:bottom w:val="none" w:sz="0" w:space="0" w:color="auto"/>
        <w:right w:val="none" w:sz="0" w:space="0" w:color="auto"/>
      </w:divBdr>
    </w:div>
    <w:div w:id="787429343">
      <w:bodyDiv w:val="1"/>
      <w:marLeft w:val="0"/>
      <w:marRight w:val="0"/>
      <w:marTop w:val="0"/>
      <w:marBottom w:val="0"/>
      <w:divBdr>
        <w:top w:val="none" w:sz="0" w:space="0" w:color="auto"/>
        <w:left w:val="none" w:sz="0" w:space="0" w:color="auto"/>
        <w:bottom w:val="none" w:sz="0" w:space="0" w:color="auto"/>
        <w:right w:val="none" w:sz="0" w:space="0" w:color="auto"/>
      </w:divBdr>
    </w:div>
    <w:div w:id="793063878">
      <w:bodyDiv w:val="1"/>
      <w:marLeft w:val="0"/>
      <w:marRight w:val="0"/>
      <w:marTop w:val="0"/>
      <w:marBottom w:val="0"/>
      <w:divBdr>
        <w:top w:val="none" w:sz="0" w:space="0" w:color="auto"/>
        <w:left w:val="none" w:sz="0" w:space="0" w:color="auto"/>
        <w:bottom w:val="none" w:sz="0" w:space="0" w:color="auto"/>
        <w:right w:val="none" w:sz="0" w:space="0" w:color="auto"/>
      </w:divBdr>
    </w:div>
    <w:div w:id="798688144">
      <w:bodyDiv w:val="1"/>
      <w:marLeft w:val="0"/>
      <w:marRight w:val="0"/>
      <w:marTop w:val="0"/>
      <w:marBottom w:val="0"/>
      <w:divBdr>
        <w:top w:val="none" w:sz="0" w:space="0" w:color="auto"/>
        <w:left w:val="none" w:sz="0" w:space="0" w:color="auto"/>
        <w:bottom w:val="none" w:sz="0" w:space="0" w:color="auto"/>
        <w:right w:val="none" w:sz="0" w:space="0" w:color="auto"/>
      </w:divBdr>
    </w:div>
    <w:div w:id="808323661">
      <w:bodyDiv w:val="1"/>
      <w:marLeft w:val="0"/>
      <w:marRight w:val="0"/>
      <w:marTop w:val="0"/>
      <w:marBottom w:val="0"/>
      <w:divBdr>
        <w:top w:val="none" w:sz="0" w:space="0" w:color="auto"/>
        <w:left w:val="none" w:sz="0" w:space="0" w:color="auto"/>
        <w:bottom w:val="none" w:sz="0" w:space="0" w:color="auto"/>
        <w:right w:val="none" w:sz="0" w:space="0" w:color="auto"/>
      </w:divBdr>
    </w:div>
    <w:div w:id="811564034">
      <w:bodyDiv w:val="1"/>
      <w:marLeft w:val="0"/>
      <w:marRight w:val="0"/>
      <w:marTop w:val="0"/>
      <w:marBottom w:val="0"/>
      <w:divBdr>
        <w:top w:val="none" w:sz="0" w:space="0" w:color="auto"/>
        <w:left w:val="none" w:sz="0" w:space="0" w:color="auto"/>
        <w:bottom w:val="none" w:sz="0" w:space="0" w:color="auto"/>
        <w:right w:val="none" w:sz="0" w:space="0" w:color="auto"/>
      </w:divBdr>
    </w:div>
    <w:div w:id="814375521">
      <w:bodyDiv w:val="1"/>
      <w:marLeft w:val="0"/>
      <w:marRight w:val="0"/>
      <w:marTop w:val="0"/>
      <w:marBottom w:val="0"/>
      <w:divBdr>
        <w:top w:val="none" w:sz="0" w:space="0" w:color="auto"/>
        <w:left w:val="none" w:sz="0" w:space="0" w:color="auto"/>
        <w:bottom w:val="none" w:sz="0" w:space="0" w:color="auto"/>
        <w:right w:val="none" w:sz="0" w:space="0" w:color="auto"/>
      </w:divBdr>
    </w:div>
    <w:div w:id="826166235">
      <w:bodyDiv w:val="1"/>
      <w:marLeft w:val="0"/>
      <w:marRight w:val="0"/>
      <w:marTop w:val="0"/>
      <w:marBottom w:val="0"/>
      <w:divBdr>
        <w:top w:val="none" w:sz="0" w:space="0" w:color="auto"/>
        <w:left w:val="none" w:sz="0" w:space="0" w:color="auto"/>
        <w:bottom w:val="none" w:sz="0" w:space="0" w:color="auto"/>
        <w:right w:val="none" w:sz="0" w:space="0" w:color="auto"/>
      </w:divBdr>
    </w:div>
    <w:div w:id="850872671">
      <w:bodyDiv w:val="1"/>
      <w:marLeft w:val="0"/>
      <w:marRight w:val="0"/>
      <w:marTop w:val="0"/>
      <w:marBottom w:val="0"/>
      <w:divBdr>
        <w:top w:val="none" w:sz="0" w:space="0" w:color="auto"/>
        <w:left w:val="none" w:sz="0" w:space="0" w:color="auto"/>
        <w:bottom w:val="none" w:sz="0" w:space="0" w:color="auto"/>
        <w:right w:val="none" w:sz="0" w:space="0" w:color="auto"/>
      </w:divBdr>
    </w:div>
    <w:div w:id="852692434">
      <w:bodyDiv w:val="1"/>
      <w:marLeft w:val="0"/>
      <w:marRight w:val="0"/>
      <w:marTop w:val="0"/>
      <w:marBottom w:val="0"/>
      <w:divBdr>
        <w:top w:val="none" w:sz="0" w:space="0" w:color="auto"/>
        <w:left w:val="none" w:sz="0" w:space="0" w:color="auto"/>
        <w:bottom w:val="none" w:sz="0" w:space="0" w:color="auto"/>
        <w:right w:val="none" w:sz="0" w:space="0" w:color="auto"/>
      </w:divBdr>
    </w:div>
    <w:div w:id="860358660">
      <w:bodyDiv w:val="1"/>
      <w:marLeft w:val="0"/>
      <w:marRight w:val="0"/>
      <w:marTop w:val="0"/>
      <w:marBottom w:val="0"/>
      <w:divBdr>
        <w:top w:val="none" w:sz="0" w:space="0" w:color="auto"/>
        <w:left w:val="none" w:sz="0" w:space="0" w:color="auto"/>
        <w:bottom w:val="none" w:sz="0" w:space="0" w:color="auto"/>
        <w:right w:val="none" w:sz="0" w:space="0" w:color="auto"/>
      </w:divBdr>
    </w:div>
    <w:div w:id="864634801">
      <w:bodyDiv w:val="1"/>
      <w:marLeft w:val="0"/>
      <w:marRight w:val="0"/>
      <w:marTop w:val="0"/>
      <w:marBottom w:val="0"/>
      <w:divBdr>
        <w:top w:val="none" w:sz="0" w:space="0" w:color="auto"/>
        <w:left w:val="none" w:sz="0" w:space="0" w:color="auto"/>
        <w:bottom w:val="none" w:sz="0" w:space="0" w:color="auto"/>
        <w:right w:val="none" w:sz="0" w:space="0" w:color="auto"/>
      </w:divBdr>
    </w:div>
    <w:div w:id="871766052">
      <w:bodyDiv w:val="1"/>
      <w:marLeft w:val="0"/>
      <w:marRight w:val="0"/>
      <w:marTop w:val="0"/>
      <w:marBottom w:val="0"/>
      <w:divBdr>
        <w:top w:val="none" w:sz="0" w:space="0" w:color="auto"/>
        <w:left w:val="none" w:sz="0" w:space="0" w:color="auto"/>
        <w:bottom w:val="none" w:sz="0" w:space="0" w:color="auto"/>
        <w:right w:val="none" w:sz="0" w:space="0" w:color="auto"/>
      </w:divBdr>
    </w:div>
    <w:div w:id="878009676">
      <w:bodyDiv w:val="1"/>
      <w:marLeft w:val="0"/>
      <w:marRight w:val="0"/>
      <w:marTop w:val="0"/>
      <w:marBottom w:val="0"/>
      <w:divBdr>
        <w:top w:val="none" w:sz="0" w:space="0" w:color="auto"/>
        <w:left w:val="none" w:sz="0" w:space="0" w:color="auto"/>
        <w:bottom w:val="none" w:sz="0" w:space="0" w:color="auto"/>
        <w:right w:val="none" w:sz="0" w:space="0" w:color="auto"/>
      </w:divBdr>
    </w:div>
    <w:div w:id="881088729">
      <w:bodyDiv w:val="1"/>
      <w:marLeft w:val="0"/>
      <w:marRight w:val="0"/>
      <w:marTop w:val="0"/>
      <w:marBottom w:val="0"/>
      <w:divBdr>
        <w:top w:val="none" w:sz="0" w:space="0" w:color="auto"/>
        <w:left w:val="none" w:sz="0" w:space="0" w:color="auto"/>
        <w:bottom w:val="none" w:sz="0" w:space="0" w:color="auto"/>
        <w:right w:val="none" w:sz="0" w:space="0" w:color="auto"/>
      </w:divBdr>
    </w:div>
    <w:div w:id="883255684">
      <w:bodyDiv w:val="1"/>
      <w:marLeft w:val="0"/>
      <w:marRight w:val="0"/>
      <w:marTop w:val="0"/>
      <w:marBottom w:val="0"/>
      <w:divBdr>
        <w:top w:val="none" w:sz="0" w:space="0" w:color="auto"/>
        <w:left w:val="none" w:sz="0" w:space="0" w:color="auto"/>
        <w:bottom w:val="none" w:sz="0" w:space="0" w:color="auto"/>
        <w:right w:val="none" w:sz="0" w:space="0" w:color="auto"/>
      </w:divBdr>
    </w:div>
    <w:div w:id="884760908">
      <w:bodyDiv w:val="1"/>
      <w:marLeft w:val="0"/>
      <w:marRight w:val="0"/>
      <w:marTop w:val="0"/>
      <w:marBottom w:val="0"/>
      <w:divBdr>
        <w:top w:val="none" w:sz="0" w:space="0" w:color="auto"/>
        <w:left w:val="none" w:sz="0" w:space="0" w:color="auto"/>
        <w:bottom w:val="none" w:sz="0" w:space="0" w:color="auto"/>
        <w:right w:val="none" w:sz="0" w:space="0" w:color="auto"/>
      </w:divBdr>
    </w:div>
    <w:div w:id="893807258">
      <w:bodyDiv w:val="1"/>
      <w:marLeft w:val="0"/>
      <w:marRight w:val="0"/>
      <w:marTop w:val="0"/>
      <w:marBottom w:val="0"/>
      <w:divBdr>
        <w:top w:val="none" w:sz="0" w:space="0" w:color="auto"/>
        <w:left w:val="none" w:sz="0" w:space="0" w:color="auto"/>
        <w:bottom w:val="none" w:sz="0" w:space="0" w:color="auto"/>
        <w:right w:val="none" w:sz="0" w:space="0" w:color="auto"/>
      </w:divBdr>
    </w:div>
    <w:div w:id="897470112">
      <w:bodyDiv w:val="1"/>
      <w:marLeft w:val="0"/>
      <w:marRight w:val="0"/>
      <w:marTop w:val="0"/>
      <w:marBottom w:val="0"/>
      <w:divBdr>
        <w:top w:val="none" w:sz="0" w:space="0" w:color="auto"/>
        <w:left w:val="none" w:sz="0" w:space="0" w:color="auto"/>
        <w:bottom w:val="none" w:sz="0" w:space="0" w:color="auto"/>
        <w:right w:val="none" w:sz="0" w:space="0" w:color="auto"/>
      </w:divBdr>
    </w:div>
    <w:div w:id="904991225">
      <w:bodyDiv w:val="1"/>
      <w:marLeft w:val="0"/>
      <w:marRight w:val="0"/>
      <w:marTop w:val="0"/>
      <w:marBottom w:val="0"/>
      <w:divBdr>
        <w:top w:val="none" w:sz="0" w:space="0" w:color="auto"/>
        <w:left w:val="none" w:sz="0" w:space="0" w:color="auto"/>
        <w:bottom w:val="none" w:sz="0" w:space="0" w:color="auto"/>
        <w:right w:val="none" w:sz="0" w:space="0" w:color="auto"/>
      </w:divBdr>
    </w:div>
    <w:div w:id="909509363">
      <w:bodyDiv w:val="1"/>
      <w:marLeft w:val="0"/>
      <w:marRight w:val="0"/>
      <w:marTop w:val="0"/>
      <w:marBottom w:val="0"/>
      <w:divBdr>
        <w:top w:val="none" w:sz="0" w:space="0" w:color="auto"/>
        <w:left w:val="none" w:sz="0" w:space="0" w:color="auto"/>
        <w:bottom w:val="none" w:sz="0" w:space="0" w:color="auto"/>
        <w:right w:val="none" w:sz="0" w:space="0" w:color="auto"/>
      </w:divBdr>
    </w:div>
    <w:div w:id="917518442">
      <w:bodyDiv w:val="1"/>
      <w:marLeft w:val="0"/>
      <w:marRight w:val="0"/>
      <w:marTop w:val="0"/>
      <w:marBottom w:val="0"/>
      <w:divBdr>
        <w:top w:val="none" w:sz="0" w:space="0" w:color="auto"/>
        <w:left w:val="none" w:sz="0" w:space="0" w:color="auto"/>
        <w:bottom w:val="none" w:sz="0" w:space="0" w:color="auto"/>
        <w:right w:val="none" w:sz="0" w:space="0" w:color="auto"/>
      </w:divBdr>
    </w:div>
    <w:div w:id="932667673">
      <w:bodyDiv w:val="1"/>
      <w:marLeft w:val="0"/>
      <w:marRight w:val="0"/>
      <w:marTop w:val="0"/>
      <w:marBottom w:val="0"/>
      <w:divBdr>
        <w:top w:val="none" w:sz="0" w:space="0" w:color="auto"/>
        <w:left w:val="none" w:sz="0" w:space="0" w:color="auto"/>
        <w:bottom w:val="none" w:sz="0" w:space="0" w:color="auto"/>
        <w:right w:val="none" w:sz="0" w:space="0" w:color="auto"/>
      </w:divBdr>
    </w:div>
    <w:div w:id="940650868">
      <w:bodyDiv w:val="1"/>
      <w:marLeft w:val="0"/>
      <w:marRight w:val="0"/>
      <w:marTop w:val="0"/>
      <w:marBottom w:val="0"/>
      <w:divBdr>
        <w:top w:val="none" w:sz="0" w:space="0" w:color="auto"/>
        <w:left w:val="none" w:sz="0" w:space="0" w:color="auto"/>
        <w:bottom w:val="none" w:sz="0" w:space="0" w:color="auto"/>
        <w:right w:val="none" w:sz="0" w:space="0" w:color="auto"/>
      </w:divBdr>
    </w:div>
    <w:div w:id="943343659">
      <w:bodyDiv w:val="1"/>
      <w:marLeft w:val="0"/>
      <w:marRight w:val="0"/>
      <w:marTop w:val="0"/>
      <w:marBottom w:val="0"/>
      <w:divBdr>
        <w:top w:val="none" w:sz="0" w:space="0" w:color="auto"/>
        <w:left w:val="none" w:sz="0" w:space="0" w:color="auto"/>
        <w:bottom w:val="none" w:sz="0" w:space="0" w:color="auto"/>
        <w:right w:val="none" w:sz="0" w:space="0" w:color="auto"/>
      </w:divBdr>
    </w:div>
    <w:div w:id="947661439">
      <w:bodyDiv w:val="1"/>
      <w:marLeft w:val="0"/>
      <w:marRight w:val="0"/>
      <w:marTop w:val="0"/>
      <w:marBottom w:val="0"/>
      <w:divBdr>
        <w:top w:val="none" w:sz="0" w:space="0" w:color="auto"/>
        <w:left w:val="none" w:sz="0" w:space="0" w:color="auto"/>
        <w:bottom w:val="none" w:sz="0" w:space="0" w:color="auto"/>
        <w:right w:val="none" w:sz="0" w:space="0" w:color="auto"/>
      </w:divBdr>
    </w:div>
    <w:div w:id="960302060">
      <w:bodyDiv w:val="1"/>
      <w:marLeft w:val="0"/>
      <w:marRight w:val="0"/>
      <w:marTop w:val="0"/>
      <w:marBottom w:val="0"/>
      <w:divBdr>
        <w:top w:val="none" w:sz="0" w:space="0" w:color="auto"/>
        <w:left w:val="none" w:sz="0" w:space="0" w:color="auto"/>
        <w:bottom w:val="none" w:sz="0" w:space="0" w:color="auto"/>
        <w:right w:val="none" w:sz="0" w:space="0" w:color="auto"/>
      </w:divBdr>
    </w:div>
    <w:div w:id="973021651">
      <w:bodyDiv w:val="1"/>
      <w:marLeft w:val="0"/>
      <w:marRight w:val="0"/>
      <w:marTop w:val="0"/>
      <w:marBottom w:val="0"/>
      <w:divBdr>
        <w:top w:val="none" w:sz="0" w:space="0" w:color="auto"/>
        <w:left w:val="none" w:sz="0" w:space="0" w:color="auto"/>
        <w:bottom w:val="none" w:sz="0" w:space="0" w:color="auto"/>
        <w:right w:val="none" w:sz="0" w:space="0" w:color="auto"/>
      </w:divBdr>
    </w:div>
    <w:div w:id="978612014">
      <w:bodyDiv w:val="1"/>
      <w:marLeft w:val="0"/>
      <w:marRight w:val="0"/>
      <w:marTop w:val="0"/>
      <w:marBottom w:val="0"/>
      <w:divBdr>
        <w:top w:val="none" w:sz="0" w:space="0" w:color="auto"/>
        <w:left w:val="none" w:sz="0" w:space="0" w:color="auto"/>
        <w:bottom w:val="none" w:sz="0" w:space="0" w:color="auto"/>
        <w:right w:val="none" w:sz="0" w:space="0" w:color="auto"/>
      </w:divBdr>
    </w:div>
    <w:div w:id="985665061">
      <w:bodyDiv w:val="1"/>
      <w:marLeft w:val="0"/>
      <w:marRight w:val="0"/>
      <w:marTop w:val="0"/>
      <w:marBottom w:val="0"/>
      <w:divBdr>
        <w:top w:val="none" w:sz="0" w:space="0" w:color="auto"/>
        <w:left w:val="none" w:sz="0" w:space="0" w:color="auto"/>
        <w:bottom w:val="none" w:sz="0" w:space="0" w:color="auto"/>
        <w:right w:val="none" w:sz="0" w:space="0" w:color="auto"/>
      </w:divBdr>
    </w:div>
    <w:div w:id="989409998">
      <w:bodyDiv w:val="1"/>
      <w:marLeft w:val="0"/>
      <w:marRight w:val="0"/>
      <w:marTop w:val="0"/>
      <w:marBottom w:val="0"/>
      <w:divBdr>
        <w:top w:val="none" w:sz="0" w:space="0" w:color="auto"/>
        <w:left w:val="none" w:sz="0" w:space="0" w:color="auto"/>
        <w:bottom w:val="none" w:sz="0" w:space="0" w:color="auto"/>
        <w:right w:val="none" w:sz="0" w:space="0" w:color="auto"/>
      </w:divBdr>
    </w:div>
    <w:div w:id="995642864">
      <w:bodyDiv w:val="1"/>
      <w:marLeft w:val="0"/>
      <w:marRight w:val="0"/>
      <w:marTop w:val="0"/>
      <w:marBottom w:val="0"/>
      <w:divBdr>
        <w:top w:val="none" w:sz="0" w:space="0" w:color="auto"/>
        <w:left w:val="none" w:sz="0" w:space="0" w:color="auto"/>
        <w:bottom w:val="none" w:sz="0" w:space="0" w:color="auto"/>
        <w:right w:val="none" w:sz="0" w:space="0" w:color="auto"/>
      </w:divBdr>
    </w:div>
    <w:div w:id="996376074">
      <w:bodyDiv w:val="1"/>
      <w:marLeft w:val="0"/>
      <w:marRight w:val="0"/>
      <w:marTop w:val="0"/>
      <w:marBottom w:val="0"/>
      <w:divBdr>
        <w:top w:val="none" w:sz="0" w:space="0" w:color="auto"/>
        <w:left w:val="none" w:sz="0" w:space="0" w:color="auto"/>
        <w:bottom w:val="none" w:sz="0" w:space="0" w:color="auto"/>
        <w:right w:val="none" w:sz="0" w:space="0" w:color="auto"/>
      </w:divBdr>
    </w:div>
    <w:div w:id="996608870">
      <w:bodyDiv w:val="1"/>
      <w:marLeft w:val="0"/>
      <w:marRight w:val="0"/>
      <w:marTop w:val="0"/>
      <w:marBottom w:val="0"/>
      <w:divBdr>
        <w:top w:val="none" w:sz="0" w:space="0" w:color="auto"/>
        <w:left w:val="none" w:sz="0" w:space="0" w:color="auto"/>
        <w:bottom w:val="none" w:sz="0" w:space="0" w:color="auto"/>
        <w:right w:val="none" w:sz="0" w:space="0" w:color="auto"/>
      </w:divBdr>
    </w:div>
    <w:div w:id="996768839">
      <w:bodyDiv w:val="1"/>
      <w:marLeft w:val="0"/>
      <w:marRight w:val="0"/>
      <w:marTop w:val="0"/>
      <w:marBottom w:val="0"/>
      <w:divBdr>
        <w:top w:val="none" w:sz="0" w:space="0" w:color="auto"/>
        <w:left w:val="none" w:sz="0" w:space="0" w:color="auto"/>
        <w:bottom w:val="none" w:sz="0" w:space="0" w:color="auto"/>
        <w:right w:val="none" w:sz="0" w:space="0" w:color="auto"/>
      </w:divBdr>
    </w:div>
    <w:div w:id="999388730">
      <w:bodyDiv w:val="1"/>
      <w:marLeft w:val="0"/>
      <w:marRight w:val="0"/>
      <w:marTop w:val="0"/>
      <w:marBottom w:val="0"/>
      <w:divBdr>
        <w:top w:val="none" w:sz="0" w:space="0" w:color="auto"/>
        <w:left w:val="none" w:sz="0" w:space="0" w:color="auto"/>
        <w:bottom w:val="none" w:sz="0" w:space="0" w:color="auto"/>
        <w:right w:val="none" w:sz="0" w:space="0" w:color="auto"/>
      </w:divBdr>
    </w:div>
    <w:div w:id="999961711">
      <w:bodyDiv w:val="1"/>
      <w:marLeft w:val="0"/>
      <w:marRight w:val="0"/>
      <w:marTop w:val="0"/>
      <w:marBottom w:val="0"/>
      <w:divBdr>
        <w:top w:val="none" w:sz="0" w:space="0" w:color="auto"/>
        <w:left w:val="none" w:sz="0" w:space="0" w:color="auto"/>
        <w:bottom w:val="none" w:sz="0" w:space="0" w:color="auto"/>
        <w:right w:val="none" w:sz="0" w:space="0" w:color="auto"/>
      </w:divBdr>
    </w:div>
    <w:div w:id="1004934423">
      <w:bodyDiv w:val="1"/>
      <w:marLeft w:val="0"/>
      <w:marRight w:val="0"/>
      <w:marTop w:val="0"/>
      <w:marBottom w:val="0"/>
      <w:divBdr>
        <w:top w:val="none" w:sz="0" w:space="0" w:color="auto"/>
        <w:left w:val="none" w:sz="0" w:space="0" w:color="auto"/>
        <w:bottom w:val="none" w:sz="0" w:space="0" w:color="auto"/>
        <w:right w:val="none" w:sz="0" w:space="0" w:color="auto"/>
      </w:divBdr>
    </w:div>
    <w:div w:id="1006708479">
      <w:bodyDiv w:val="1"/>
      <w:marLeft w:val="0"/>
      <w:marRight w:val="0"/>
      <w:marTop w:val="0"/>
      <w:marBottom w:val="0"/>
      <w:divBdr>
        <w:top w:val="none" w:sz="0" w:space="0" w:color="auto"/>
        <w:left w:val="none" w:sz="0" w:space="0" w:color="auto"/>
        <w:bottom w:val="none" w:sz="0" w:space="0" w:color="auto"/>
        <w:right w:val="none" w:sz="0" w:space="0" w:color="auto"/>
      </w:divBdr>
    </w:div>
    <w:div w:id="1007367389">
      <w:bodyDiv w:val="1"/>
      <w:marLeft w:val="0"/>
      <w:marRight w:val="0"/>
      <w:marTop w:val="0"/>
      <w:marBottom w:val="0"/>
      <w:divBdr>
        <w:top w:val="none" w:sz="0" w:space="0" w:color="auto"/>
        <w:left w:val="none" w:sz="0" w:space="0" w:color="auto"/>
        <w:bottom w:val="none" w:sz="0" w:space="0" w:color="auto"/>
        <w:right w:val="none" w:sz="0" w:space="0" w:color="auto"/>
      </w:divBdr>
    </w:div>
    <w:div w:id="1009329186">
      <w:bodyDiv w:val="1"/>
      <w:marLeft w:val="0"/>
      <w:marRight w:val="0"/>
      <w:marTop w:val="0"/>
      <w:marBottom w:val="0"/>
      <w:divBdr>
        <w:top w:val="none" w:sz="0" w:space="0" w:color="auto"/>
        <w:left w:val="none" w:sz="0" w:space="0" w:color="auto"/>
        <w:bottom w:val="none" w:sz="0" w:space="0" w:color="auto"/>
        <w:right w:val="none" w:sz="0" w:space="0" w:color="auto"/>
      </w:divBdr>
    </w:div>
    <w:div w:id="1039092925">
      <w:bodyDiv w:val="1"/>
      <w:marLeft w:val="0"/>
      <w:marRight w:val="0"/>
      <w:marTop w:val="0"/>
      <w:marBottom w:val="0"/>
      <w:divBdr>
        <w:top w:val="none" w:sz="0" w:space="0" w:color="auto"/>
        <w:left w:val="none" w:sz="0" w:space="0" w:color="auto"/>
        <w:bottom w:val="none" w:sz="0" w:space="0" w:color="auto"/>
        <w:right w:val="none" w:sz="0" w:space="0" w:color="auto"/>
      </w:divBdr>
    </w:div>
    <w:div w:id="1050804668">
      <w:bodyDiv w:val="1"/>
      <w:marLeft w:val="0"/>
      <w:marRight w:val="0"/>
      <w:marTop w:val="0"/>
      <w:marBottom w:val="0"/>
      <w:divBdr>
        <w:top w:val="none" w:sz="0" w:space="0" w:color="auto"/>
        <w:left w:val="none" w:sz="0" w:space="0" w:color="auto"/>
        <w:bottom w:val="none" w:sz="0" w:space="0" w:color="auto"/>
        <w:right w:val="none" w:sz="0" w:space="0" w:color="auto"/>
      </w:divBdr>
    </w:div>
    <w:div w:id="1051197598">
      <w:bodyDiv w:val="1"/>
      <w:marLeft w:val="0"/>
      <w:marRight w:val="0"/>
      <w:marTop w:val="0"/>
      <w:marBottom w:val="0"/>
      <w:divBdr>
        <w:top w:val="none" w:sz="0" w:space="0" w:color="auto"/>
        <w:left w:val="none" w:sz="0" w:space="0" w:color="auto"/>
        <w:bottom w:val="none" w:sz="0" w:space="0" w:color="auto"/>
        <w:right w:val="none" w:sz="0" w:space="0" w:color="auto"/>
      </w:divBdr>
    </w:div>
    <w:div w:id="1064335845">
      <w:bodyDiv w:val="1"/>
      <w:marLeft w:val="0"/>
      <w:marRight w:val="0"/>
      <w:marTop w:val="0"/>
      <w:marBottom w:val="0"/>
      <w:divBdr>
        <w:top w:val="none" w:sz="0" w:space="0" w:color="auto"/>
        <w:left w:val="none" w:sz="0" w:space="0" w:color="auto"/>
        <w:bottom w:val="none" w:sz="0" w:space="0" w:color="auto"/>
        <w:right w:val="none" w:sz="0" w:space="0" w:color="auto"/>
      </w:divBdr>
    </w:div>
    <w:div w:id="1067730040">
      <w:bodyDiv w:val="1"/>
      <w:marLeft w:val="0"/>
      <w:marRight w:val="0"/>
      <w:marTop w:val="0"/>
      <w:marBottom w:val="0"/>
      <w:divBdr>
        <w:top w:val="none" w:sz="0" w:space="0" w:color="auto"/>
        <w:left w:val="none" w:sz="0" w:space="0" w:color="auto"/>
        <w:bottom w:val="none" w:sz="0" w:space="0" w:color="auto"/>
        <w:right w:val="none" w:sz="0" w:space="0" w:color="auto"/>
      </w:divBdr>
    </w:div>
    <w:div w:id="1073235809">
      <w:bodyDiv w:val="1"/>
      <w:marLeft w:val="0"/>
      <w:marRight w:val="0"/>
      <w:marTop w:val="0"/>
      <w:marBottom w:val="0"/>
      <w:divBdr>
        <w:top w:val="none" w:sz="0" w:space="0" w:color="auto"/>
        <w:left w:val="none" w:sz="0" w:space="0" w:color="auto"/>
        <w:bottom w:val="none" w:sz="0" w:space="0" w:color="auto"/>
        <w:right w:val="none" w:sz="0" w:space="0" w:color="auto"/>
      </w:divBdr>
    </w:div>
    <w:div w:id="1086417357">
      <w:bodyDiv w:val="1"/>
      <w:marLeft w:val="0"/>
      <w:marRight w:val="0"/>
      <w:marTop w:val="0"/>
      <w:marBottom w:val="0"/>
      <w:divBdr>
        <w:top w:val="none" w:sz="0" w:space="0" w:color="auto"/>
        <w:left w:val="none" w:sz="0" w:space="0" w:color="auto"/>
        <w:bottom w:val="none" w:sz="0" w:space="0" w:color="auto"/>
        <w:right w:val="none" w:sz="0" w:space="0" w:color="auto"/>
      </w:divBdr>
    </w:div>
    <w:div w:id="1088962449">
      <w:bodyDiv w:val="1"/>
      <w:marLeft w:val="0"/>
      <w:marRight w:val="0"/>
      <w:marTop w:val="0"/>
      <w:marBottom w:val="0"/>
      <w:divBdr>
        <w:top w:val="none" w:sz="0" w:space="0" w:color="auto"/>
        <w:left w:val="none" w:sz="0" w:space="0" w:color="auto"/>
        <w:bottom w:val="none" w:sz="0" w:space="0" w:color="auto"/>
        <w:right w:val="none" w:sz="0" w:space="0" w:color="auto"/>
      </w:divBdr>
    </w:div>
    <w:div w:id="1104612871">
      <w:bodyDiv w:val="1"/>
      <w:marLeft w:val="0"/>
      <w:marRight w:val="0"/>
      <w:marTop w:val="0"/>
      <w:marBottom w:val="0"/>
      <w:divBdr>
        <w:top w:val="none" w:sz="0" w:space="0" w:color="auto"/>
        <w:left w:val="none" w:sz="0" w:space="0" w:color="auto"/>
        <w:bottom w:val="none" w:sz="0" w:space="0" w:color="auto"/>
        <w:right w:val="none" w:sz="0" w:space="0" w:color="auto"/>
      </w:divBdr>
    </w:div>
    <w:div w:id="1106920681">
      <w:bodyDiv w:val="1"/>
      <w:marLeft w:val="0"/>
      <w:marRight w:val="0"/>
      <w:marTop w:val="0"/>
      <w:marBottom w:val="0"/>
      <w:divBdr>
        <w:top w:val="none" w:sz="0" w:space="0" w:color="auto"/>
        <w:left w:val="none" w:sz="0" w:space="0" w:color="auto"/>
        <w:bottom w:val="none" w:sz="0" w:space="0" w:color="auto"/>
        <w:right w:val="none" w:sz="0" w:space="0" w:color="auto"/>
      </w:divBdr>
    </w:div>
    <w:div w:id="1112944370">
      <w:bodyDiv w:val="1"/>
      <w:marLeft w:val="0"/>
      <w:marRight w:val="0"/>
      <w:marTop w:val="0"/>
      <w:marBottom w:val="0"/>
      <w:divBdr>
        <w:top w:val="none" w:sz="0" w:space="0" w:color="auto"/>
        <w:left w:val="none" w:sz="0" w:space="0" w:color="auto"/>
        <w:bottom w:val="none" w:sz="0" w:space="0" w:color="auto"/>
        <w:right w:val="none" w:sz="0" w:space="0" w:color="auto"/>
      </w:divBdr>
    </w:div>
    <w:div w:id="1139808807">
      <w:bodyDiv w:val="1"/>
      <w:marLeft w:val="0"/>
      <w:marRight w:val="0"/>
      <w:marTop w:val="0"/>
      <w:marBottom w:val="0"/>
      <w:divBdr>
        <w:top w:val="none" w:sz="0" w:space="0" w:color="auto"/>
        <w:left w:val="none" w:sz="0" w:space="0" w:color="auto"/>
        <w:bottom w:val="none" w:sz="0" w:space="0" w:color="auto"/>
        <w:right w:val="none" w:sz="0" w:space="0" w:color="auto"/>
      </w:divBdr>
    </w:div>
    <w:div w:id="1141775882">
      <w:bodyDiv w:val="1"/>
      <w:marLeft w:val="0"/>
      <w:marRight w:val="0"/>
      <w:marTop w:val="0"/>
      <w:marBottom w:val="0"/>
      <w:divBdr>
        <w:top w:val="none" w:sz="0" w:space="0" w:color="auto"/>
        <w:left w:val="none" w:sz="0" w:space="0" w:color="auto"/>
        <w:bottom w:val="none" w:sz="0" w:space="0" w:color="auto"/>
        <w:right w:val="none" w:sz="0" w:space="0" w:color="auto"/>
      </w:divBdr>
    </w:div>
    <w:div w:id="1143079238">
      <w:bodyDiv w:val="1"/>
      <w:marLeft w:val="0"/>
      <w:marRight w:val="0"/>
      <w:marTop w:val="0"/>
      <w:marBottom w:val="0"/>
      <w:divBdr>
        <w:top w:val="none" w:sz="0" w:space="0" w:color="auto"/>
        <w:left w:val="none" w:sz="0" w:space="0" w:color="auto"/>
        <w:bottom w:val="none" w:sz="0" w:space="0" w:color="auto"/>
        <w:right w:val="none" w:sz="0" w:space="0" w:color="auto"/>
      </w:divBdr>
    </w:div>
    <w:div w:id="1146162110">
      <w:bodyDiv w:val="1"/>
      <w:marLeft w:val="0"/>
      <w:marRight w:val="0"/>
      <w:marTop w:val="0"/>
      <w:marBottom w:val="0"/>
      <w:divBdr>
        <w:top w:val="none" w:sz="0" w:space="0" w:color="auto"/>
        <w:left w:val="none" w:sz="0" w:space="0" w:color="auto"/>
        <w:bottom w:val="none" w:sz="0" w:space="0" w:color="auto"/>
        <w:right w:val="none" w:sz="0" w:space="0" w:color="auto"/>
      </w:divBdr>
    </w:div>
    <w:div w:id="1147237178">
      <w:bodyDiv w:val="1"/>
      <w:marLeft w:val="0"/>
      <w:marRight w:val="0"/>
      <w:marTop w:val="0"/>
      <w:marBottom w:val="0"/>
      <w:divBdr>
        <w:top w:val="none" w:sz="0" w:space="0" w:color="auto"/>
        <w:left w:val="none" w:sz="0" w:space="0" w:color="auto"/>
        <w:bottom w:val="none" w:sz="0" w:space="0" w:color="auto"/>
        <w:right w:val="none" w:sz="0" w:space="0" w:color="auto"/>
      </w:divBdr>
    </w:div>
    <w:div w:id="1158182328">
      <w:bodyDiv w:val="1"/>
      <w:marLeft w:val="0"/>
      <w:marRight w:val="0"/>
      <w:marTop w:val="0"/>
      <w:marBottom w:val="0"/>
      <w:divBdr>
        <w:top w:val="none" w:sz="0" w:space="0" w:color="auto"/>
        <w:left w:val="none" w:sz="0" w:space="0" w:color="auto"/>
        <w:bottom w:val="none" w:sz="0" w:space="0" w:color="auto"/>
        <w:right w:val="none" w:sz="0" w:space="0" w:color="auto"/>
      </w:divBdr>
    </w:div>
    <w:div w:id="1162089115">
      <w:bodyDiv w:val="1"/>
      <w:marLeft w:val="0"/>
      <w:marRight w:val="0"/>
      <w:marTop w:val="0"/>
      <w:marBottom w:val="0"/>
      <w:divBdr>
        <w:top w:val="none" w:sz="0" w:space="0" w:color="auto"/>
        <w:left w:val="none" w:sz="0" w:space="0" w:color="auto"/>
        <w:bottom w:val="none" w:sz="0" w:space="0" w:color="auto"/>
        <w:right w:val="none" w:sz="0" w:space="0" w:color="auto"/>
      </w:divBdr>
    </w:div>
    <w:div w:id="1176699332">
      <w:bodyDiv w:val="1"/>
      <w:marLeft w:val="0"/>
      <w:marRight w:val="0"/>
      <w:marTop w:val="0"/>
      <w:marBottom w:val="0"/>
      <w:divBdr>
        <w:top w:val="none" w:sz="0" w:space="0" w:color="auto"/>
        <w:left w:val="none" w:sz="0" w:space="0" w:color="auto"/>
        <w:bottom w:val="none" w:sz="0" w:space="0" w:color="auto"/>
        <w:right w:val="none" w:sz="0" w:space="0" w:color="auto"/>
      </w:divBdr>
    </w:div>
    <w:div w:id="1181817581">
      <w:bodyDiv w:val="1"/>
      <w:marLeft w:val="0"/>
      <w:marRight w:val="0"/>
      <w:marTop w:val="0"/>
      <w:marBottom w:val="0"/>
      <w:divBdr>
        <w:top w:val="none" w:sz="0" w:space="0" w:color="auto"/>
        <w:left w:val="none" w:sz="0" w:space="0" w:color="auto"/>
        <w:bottom w:val="none" w:sz="0" w:space="0" w:color="auto"/>
        <w:right w:val="none" w:sz="0" w:space="0" w:color="auto"/>
      </w:divBdr>
    </w:div>
    <w:div w:id="1189756276">
      <w:bodyDiv w:val="1"/>
      <w:marLeft w:val="0"/>
      <w:marRight w:val="0"/>
      <w:marTop w:val="0"/>
      <w:marBottom w:val="0"/>
      <w:divBdr>
        <w:top w:val="none" w:sz="0" w:space="0" w:color="auto"/>
        <w:left w:val="none" w:sz="0" w:space="0" w:color="auto"/>
        <w:bottom w:val="none" w:sz="0" w:space="0" w:color="auto"/>
        <w:right w:val="none" w:sz="0" w:space="0" w:color="auto"/>
      </w:divBdr>
    </w:div>
    <w:div w:id="1207448733">
      <w:bodyDiv w:val="1"/>
      <w:marLeft w:val="0"/>
      <w:marRight w:val="0"/>
      <w:marTop w:val="0"/>
      <w:marBottom w:val="0"/>
      <w:divBdr>
        <w:top w:val="none" w:sz="0" w:space="0" w:color="auto"/>
        <w:left w:val="none" w:sz="0" w:space="0" w:color="auto"/>
        <w:bottom w:val="none" w:sz="0" w:space="0" w:color="auto"/>
        <w:right w:val="none" w:sz="0" w:space="0" w:color="auto"/>
      </w:divBdr>
    </w:div>
    <w:div w:id="1218010495">
      <w:bodyDiv w:val="1"/>
      <w:marLeft w:val="0"/>
      <w:marRight w:val="0"/>
      <w:marTop w:val="0"/>
      <w:marBottom w:val="0"/>
      <w:divBdr>
        <w:top w:val="none" w:sz="0" w:space="0" w:color="auto"/>
        <w:left w:val="none" w:sz="0" w:space="0" w:color="auto"/>
        <w:bottom w:val="none" w:sz="0" w:space="0" w:color="auto"/>
        <w:right w:val="none" w:sz="0" w:space="0" w:color="auto"/>
      </w:divBdr>
    </w:div>
    <w:div w:id="1219976787">
      <w:bodyDiv w:val="1"/>
      <w:marLeft w:val="0"/>
      <w:marRight w:val="0"/>
      <w:marTop w:val="0"/>
      <w:marBottom w:val="0"/>
      <w:divBdr>
        <w:top w:val="none" w:sz="0" w:space="0" w:color="auto"/>
        <w:left w:val="none" w:sz="0" w:space="0" w:color="auto"/>
        <w:bottom w:val="none" w:sz="0" w:space="0" w:color="auto"/>
        <w:right w:val="none" w:sz="0" w:space="0" w:color="auto"/>
      </w:divBdr>
    </w:div>
    <w:div w:id="1243954114">
      <w:bodyDiv w:val="1"/>
      <w:marLeft w:val="0"/>
      <w:marRight w:val="0"/>
      <w:marTop w:val="0"/>
      <w:marBottom w:val="0"/>
      <w:divBdr>
        <w:top w:val="none" w:sz="0" w:space="0" w:color="auto"/>
        <w:left w:val="none" w:sz="0" w:space="0" w:color="auto"/>
        <w:bottom w:val="none" w:sz="0" w:space="0" w:color="auto"/>
        <w:right w:val="none" w:sz="0" w:space="0" w:color="auto"/>
      </w:divBdr>
    </w:div>
    <w:div w:id="1249924880">
      <w:bodyDiv w:val="1"/>
      <w:marLeft w:val="0"/>
      <w:marRight w:val="0"/>
      <w:marTop w:val="0"/>
      <w:marBottom w:val="0"/>
      <w:divBdr>
        <w:top w:val="none" w:sz="0" w:space="0" w:color="auto"/>
        <w:left w:val="none" w:sz="0" w:space="0" w:color="auto"/>
        <w:bottom w:val="none" w:sz="0" w:space="0" w:color="auto"/>
        <w:right w:val="none" w:sz="0" w:space="0" w:color="auto"/>
      </w:divBdr>
    </w:div>
    <w:div w:id="1258127315">
      <w:bodyDiv w:val="1"/>
      <w:marLeft w:val="0"/>
      <w:marRight w:val="0"/>
      <w:marTop w:val="0"/>
      <w:marBottom w:val="0"/>
      <w:divBdr>
        <w:top w:val="none" w:sz="0" w:space="0" w:color="auto"/>
        <w:left w:val="none" w:sz="0" w:space="0" w:color="auto"/>
        <w:bottom w:val="none" w:sz="0" w:space="0" w:color="auto"/>
        <w:right w:val="none" w:sz="0" w:space="0" w:color="auto"/>
      </w:divBdr>
    </w:div>
    <w:div w:id="1258292087">
      <w:bodyDiv w:val="1"/>
      <w:marLeft w:val="0"/>
      <w:marRight w:val="0"/>
      <w:marTop w:val="0"/>
      <w:marBottom w:val="0"/>
      <w:divBdr>
        <w:top w:val="none" w:sz="0" w:space="0" w:color="auto"/>
        <w:left w:val="none" w:sz="0" w:space="0" w:color="auto"/>
        <w:bottom w:val="none" w:sz="0" w:space="0" w:color="auto"/>
        <w:right w:val="none" w:sz="0" w:space="0" w:color="auto"/>
      </w:divBdr>
    </w:div>
    <w:div w:id="1262764295">
      <w:bodyDiv w:val="1"/>
      <w:marLeft w:val="0"/>
      <w:marRight w:val="0"/>
      <w:marTop w:val="0"/>
      <w:marBottom w:val="0"/>
      <w:divBdr>
        <w:top w:val="none" w:sz="0" w:space="0" w:color="auto"/>
        <w:left w:val="none" w:sz="0" w:space="0" w:color="auto"/>
        <w:bottom w:val="none" w:sz="0" w:space="0" w:color="auto"/>
        <w:right w:val="none" w:sz="0" w:space="0" w:color="auto"/>
      </w:divBdr>
    </w:div>
    <w:div w:id="1263954902">
      <w:bodyDiv w:val="1"/>
      <w:marLeft w:val="0"/>
      <w:marRight w:val="0"/>
      <w:marTop w:val="0"/>
      <w:marBottom w:val="0"/>
      <w:divBdr>
        <w:top w:val="none" w:sz="0" w:space="0" w:color="auto"/>
        <w:left w:val="none" w:sz="0" w:space="0" w:color="auto"/>
        <w:bottom w:val="none" w:sz="0" w:space="0" w:color="auto"/>
        <w:right w:val="none" w:sz="0" w:space="0" w:color="auto"/>
      </w:divBdr>
    </w:div>
    <w:div w:id="1264456246">
      <w:bodyDiv w:val="1"/>
      <w:marLeft w:val="0"/>
      <w:marRight w:val="0"/>
      <w:marTop w:val="0"/>
      <w:marBottom w:val="0"/>
      <w:divBdr>
        <w:top w:val="none" w:sz="0" w:space="0" w:color="auto"/>
        <w:left w:val="none" w:sz="0" w:space="0" w:color="auto"/>
        <w:bottom w:val="none" w:sz="0" w:space="0" w:color="auto"/>
        <w:right w:val="none" w:sz="0" w:space="0" w:color="auto"/>
      </w:divBdr>
    </w:div>
    <w:div w:id="1264610585">
      <w:bodyDiv w:val="1"/>
      <w:marLeft w:val="0"/>
      <w:marRight w:val="0"/>
      <w:marTop w:val="0"/>
      <w:marBottom w:val="0"/>
      <w:divBdr>
        <w:top w:val="none" w:sz="0" w:space="0" w:color="auto"/>
        <w:left w:val="none" w:sz="0" w:space="0" w:color="auto"/>
        <w:bottom w:val="none" w:sz="0" w:space="0" w:color="auto"/>
        <w:right w:val="none" w:sz="0" w:space="0" w:color="auto"/>
      </w:divBdr>
    </w:div>
    <w:div w:id="1265726285">
      <w:bodyDiv w:val="1"/>
      <w:marLeft w:val="0"/>
      <w:marRight w:val="0"/>
      <w:marTop w:val="0"/>
      <w:marBottom w:val="0"/>
      <w:divBdr>
        <w:top w:val="none" w:sz="0" w:space="0" w:color="auto"/>
        <w:left w:val="none" w:sz="0" w:space="0" w:color="auto"/>
        <w:bottom w:val="none" w:sz="0" w:space="0" w:color="auto"/>
        <w:right w:val="none" w:sz="0" w:space="0" w:color="auto"/>
      </w:divBdr>
    </w:div>
    <w:div w:id="1266428690">
      <w:bodyDiv w:val="1"/>
      <w:marLeft w:val="0"/>
      <w:marRight w:val="0"/>
      <w:marTop w:val="0"/>
      <w:marBottom w:val="0"/>
      <w:divBdr>
        <w:top w:val="none" w:sz="0" w:space="0" w:color="auto"/>
        <w:left w:val="none" w:sz="0" w:space="0" w:color="auto"/>
        <w:bottom w:val="none" w:sz="0" w:space="0" w:color="auto"/>
        <w:right w:val="none" w:sz="0" w:space="0" w:color="auto"/>
      </w:divBdr>
    </w:div>
    <w:div w:id="1270897699">
      <w:bodyDiv w:val="1"/>
      <w:marLeft w:val="0"/>
      <w:marRight w:val="0"/>
      <w:marTop w:val="0"/>
      <w:marBottom w:val="0"/>
      <w:divBdr>
        <w:top w:val="none" w:sz="0" w:space="0" w:color="auto"/>
        <w:left w:val="none" w:sz="0" w:space="0" w:color="auto"/>
        <w:bottom w:val="none" w:sz="0" w:space="0" w:color="auto"/>
        <w:right w:val="none" w:sz="0" w:space="0" w:color="auto"/>
      </w:divBdr>
    </w:div>
    <w:div w:id="1273703743">
      <w:bodyDiv w:val="1"/>
      <w:marLeft w:val="0"/>
      <w:marRight w:val="0"/>
      <w:marTop w:val="0"/>
      <w:marBottom w:val="0"/>
      <w:divBdr>
        <w:top w:val="none" w:sz="0" w:space="0" w:color="auto"/>
        <w:left w:val="none" w:sz="0" w:space="0" w:color="auto"/>
        <w:bottom w:val="none" w:sz="0" w:space="0" w:color="auto"/>
        <w:right w:val="none" w:sz="0" w:space="0" w:color="auto"/>
      </w:divBdr>
    </w:div>
    <w:div w:id="1285427374">
      <w:bodyDiv w:val="1"/>
      <w:marLeft w:val="0"/>
      <w:marRight w:val="0"/>
      <w:marTop w:val="0"/>
      <w:marBottom w:val="0"/>
      <w:divBdr>
        <w:top w:val="none" w:sz="0" w:space="0" w:color="auto"/>
        <w:left w:val="none" w:sz="0" w:space="0" w:color="auto"/>
        <w:bottom w:val="none" w:sz="0" w:space="0" w:color="auto"/>
        <w:right w:val="none" w:sz="0" w:space="0" w:color="auto"/>
      </w:divBdr>
    </w:div>
    <w:div w:id="1296596852">
      <w:bodyDiv w:val="1"/>
      <w:marLeft w:val="0"/>
      <w:marRight w:val="0"/>
      <w:marTop w:val="0"/>
      <w:marBottom w:val="0"/>
      <w:divBdr>
        <w:top w:val="none" w:sz="0" w:space="0" w:color="auto"/>
        <w:left w:val="none" w:sz="0" w:space="0" w:color="auto"/>
        <w:bottom w:val="none" w:sz="0" w:space="0" w:color="auto"/>
        <w:right w:val="none" w:sz="0" w:space="0" w:color="auto"/>
      </w:divBdr>
    </w:div>
    <w:div w:id="1302152283">
      <w:bodyDiv w:val="1"/>
      <w:marLeft w:val="0"/>
      <w:marRight w:val="0"/>
      <w:marTop w:val="0"/>
      <w:marBottom w:val="0"/>
      <w:divBdr>
        <w:top w:val="none" w:sz="0" w:space="0" w:color="auto"/>
        <w:left w:val="none" w:sz="0" w:space="0" w:color="auto"/>
        <w:bottom w:val="none" w:sz="0" w:space="0" w:color="auto"/>
        <w:right w:val="none" w:sz="0" w:space="0" w:color="auto"/>
      </w:divBdr>
    </w:div>
    <w:div w:id="1314796414">
      <w:bodyDiv w:val="1"/>
      <w:marLeft w:val="0"/>
      <w:marRight w:val="0"/>
      <w:marTop w:val="0"/>
      <w:marBottom w:val="0"/>
      <w:divBdr>
        <w:top w:val="none" w:sz="0" w:space="0" w:color="auto"/>
        <w:left w:val="none" w:sz="0" w:space="0" w:color="auto"/>
        <w:bottom w:val="none" w:sz="0" w:space="0" w:color="auto"/>
        <w:right w:val="none" w:sz="0" w:space="0" w:color="auto"/>
      </w:divBdr>
    </w:div>
    <w:div w:id="1316959587">
      <w:bodyDiv w:val="1"/>
      <w:marLeft w:val="0"/>
      <w:marRight w:val="0"/>
      <w:marTop w:val="0"/>
      <w:marBottom w:val="0"/>
      <w:divBdr>
        <w:top w:val="none" w:sz="0" w:space="0" w:color="auto"/>
        <w:left w:val="none" w:sz="0" w:space="0" w:color="auto"/>
        <w:bottom w:val="none" w:sz="0" w:space="0" w:color="auto"/>
        <w:right w:val="none" w:sz="0" w:space="0" w:color="auto"/>
      </w:divBdr>
    </w:div>
    <w:div w:id="1319992447">
      <w:bodyDiv w:val="1"/>
      <w:marLeft w:val="0"/>
      <w:marRight w:val="0"/>
      <w:marTop w:val="0"/>
      <w:marBottom w:val="0"/>
      <w:divBdr>
        <w:top w:val="none" w:sz="0" w:space="0" w:color="auto"/>
        <w:left w:val="none" w:sz="0" w:space="0" w:color="auto"/>
        <w:bottom w:val="none" w:sz="0" w:space="0" w:color="auto"/>
        <w:right w:val="none" w:sz="0" w:space="0" w:color="auto"/>
      </w:divBdr>
    </w:div>
    <w:div w:id="1321301512">
      <w:bodyDiv w:val="1"/>
      <w:marLeft w:val="0"/>
      <w:marRight w:val="0"/>
      <w:marTop w:val="0"/>
      <w:marBottom w:val="0"/>
      <w:divBdr>
        <w:top w:val="none" w:sz="0" w:space="0" w:color="auto"/>
        <w:left w:val="none" w:sz="0" w:space="0" w:color="auto"/>
        <w:bottom w:val="none" w:sz="0" w:space="0" w:color="auto"/>
        <w:right w:val="none" w:sz="0" w:space="0" w:color="auto"/>
      </w:divBdr>
    </w:div>
    <w:div w:id="1321738707">
      <w:bodyDiv w:val="1"/>
      <w:marLeft w:val="0"/>
      <w:marRight w:val="0"/>
      <w:marTop w:val="0"/>
      <w:marBottom w:val="0"/>
      <w:divBdr>
        <w:top w:val="none" w:sz="0" w:space="0" w:color="auto"/>
        <w:left w:val="none" w:sz="0" w:space="0" w:color="auto"/>
        <w:bottom w:val="none" w:sz="0" w:space="0" w:color="auto"/>
        <w:right w:val="none" w:sz="0" w:space="0" w:color="auto"/>
      </w:divBdr>
    </w:div>
    <w:div w:id="1331837374">
      <w:bodyDiv w:val="1"/>
      <w:marLeft w:val="0"/>
      <w:marRight w:val="0"/>
      <w:marTop w:val="0"/>
      <w:marBottom w:val="0"/>
      <w:divBdr>
        <w:top w:val="none" w:sz="0" w:space="0" w:color="auto"/>
        <w:left w:val="none" w:sz="0" w:space="0" w:color="auto"/>
        <w:bottom w:val="none" w:sz="0" w:space="0" w:color="auto"/>
        <w:right w:val="none" w:sz="0" w:space="0" w:color="auto"/>
      </w:divBdr>
    </w:div>
    <w:div w:id="1335378140">
      <w:bodyDiv w:val="1"/>
      <w:marLeft w:val="0"/>
      <w:marRight w:val="0"/>
      <w:marTop w:val="0"/>
      <w:marBottom w:val="0"/>
      <w:divBdr>
        <w:top w:val="none" w:sz="0" w:space="0" w:color="auto"/>
        <w:left w:val="none" w:sz="0" w:space="0" w:color="auto"/>
        <w:bottom w:val="none" w:sz="0" w:space="0" w:color="auto"/>
        <w:right w:val="none" w:sz="0" w:space="0" w:color="auto"/>
      </w:divBdr>
    </w:div>
    <w:div w:id="1344740843">
      <w:bodyDiv w:val="1"/>
      <w:marLeft w:val="0"/>
      <w:marRight w:val="0"/>
      <w:marTop w:val="0"/>
      <w:marBottom w:val="0"/>
      <w:divBdr>
        <w:top w:val="none" w:sz="0" w:space="0" w:color="auto"/>
        <w:left w:val="none" w:sz="0" w:space="0" w:color="auto"/>
        <w:bottom w:val="none" w:sz="0" w:space="0" w:color="auto"/>
        <w:right w:val="none" w:sz="0" w:space="0" w:color="auto"/>
      </w:divBdr>
    </w:div>
    <w:div w:id="1346396550">
      <w:bodyDiv w:val="1"/>
      <w:marLeft w:val="0"/>
      <w:marRight w:val="0"/>
      <w:marTop w:val="0"/>
      <w:marBottom w:val="0"/>
      <w:divBdr>
        <w:top w:val="none" w:sz="0" w:space="0" w:color="auto"/>
        <w:left w:val="none" w:sz="0" w:space="0" w:color="auto"/>
        <w:bottom w:val="none" w:sz="0" w:space="0" w:color="auto"/>
        <w:right w:val="none" w:sz="0" w:space="0" w:color="auto"/>
      </w:divBdr>
    </w:div>
    <w:div w:id="1364860869">
      <w:bodyDiv w:val="1"/>
      <w:marLeft w:val="0"/>
      <w:marRight w:val="0"/>
      <w:marTop w:val="0"/>
      <w:marBottom w:val="0"/>
      <w:divBdr>
        <w:top w:val="none" w:sz="0" w:space="0" w:color="auto"/>
        <w:left w:val="none" w:sz="0" w:space="0" w:color="auto"/>
        <w:bottom w:val="none" w:sz="0" w:space="0" w:color="auto"/>
        <w:right w:val="none" w:sz="0" w:space="0" w:color="auto"/>
      </w:divBdr>
    </w:div>
    <w:div w:id="1379622210">
      <w:bodyDiv w:val="1"/>
      <w:marLeft w:val="0"/>
      <w:marRight w:val="0"/>
      <w:marTop w:val="0"/>
      <w:marBottom w:val="0"/>
      <w:divBdr>
        <w:top w:val="none" w:sz="0" w:space="0" w:color="auto"/>
        <w:left w:val="none" w:sz="0" w:space="0" w:color="auto"/>
        <w:bottom w:val="none" w:sz="0" w:space="0" w:color="auto"/>
        <w:right w:val="none" w:sz="0" w:space="0" w:color="auto"/>
      </w:divBdr>
    </w:div>
    <w:div w:id="1386946758">
      <w:bodyDiv w:val="1"/>
      <w:marLeft w:val="0"/>
      <w:marRight w:val="0"/>
      <w:marTop w:val="0"/>
      <w:marBottom w:val="0"/>
      <w:divBdr>
        <w:top w:val="none" w:sz="0" w:space="0" w:color="auto"/>
        <w:left w:val="none" w:sz="0" w:space="0" w:color="auto"/>
        <w:bottom w:val="none" w:sz="0" w:space="0" w:color="auto"/>
        <w:right w:val="none" w:sz="0" w:space="0" w:color="auto"/>
      </w:divBdr>
    </w:div>
    <w:div w:id="1424303684">
      <w:bodyDiv w:val="1"/>
      <w:marLeft w:val="0"/>
      <w:marRight w:val="0"/>
      <w:marTop w:val="0"/>
      <w:marBottom w:val="0"/>
      <w:divBdr>
        <w:top w:val="none" w:sz="0" w:space="0" w:color="auto"/>
        <w:left w:val="none" w:sz="0" w:space="0" w:color="auto"/>
        <w:bottom w:val="none" w:sz="0" w:space="0" w:color="auto"/>
        <w:right w:val="none" w:sz="0" w:space="0" w:color="auto"/>
      </w:divBdr>
    </w:div>
    <w:div w:id="1427506925">
      <w:bodyDiv w:val="1"/>
      <w:marLeft w:val="0"/>
      <w:marRight w:val="0"/>
      <w:marTop w:val="0"/>
      <w:marBottom w:val="0"/>
      <w:divBdr>
        <w:top w:val="none" w:sz="0" w:space="0" w:color="auto"/>
        <w:left w:val="none" w:sz="0" w:space="0" w:color="auto"/>
        <w:bottom w:val="none" w:sz="0" w:space="0" w:color="auto"/>
        <w:right w:val="none" w:sz="0" w:space="0" w:color="auto"/>
      </w:divBdr>
    </w:div>
    <w:div w:id="1444571539">
      <w:bodyDiv w:val="1"/>
      <w:marLeft w:val="0"/>
      <w:marRight w:val="0"/>
      <w:marTop w:val="0"/>
      <w:marBottom w:val="0"/>
      <w:divBdr>
        <w:top w:val="none" w:sz="0" w:space="0" w:color="auto"/>
        <w:left w:val="none" w:sz="0" w:space="0" w:color="auto"/>
        <w:bottom w:val="none" w:sz="0" w:space="0" w:color="auto"/>
        <w:right w:val="none" w:sz="0" w:space="0" w:color="auto"/>
      </w:divBdr>
    </w:div>
    <w:div w:id="1447963253">
      <w:bodyDiv w:val="1"/>
      <w:marLeft w:val="0"/>
      <w:marRight w:val="0"/>
      <w:marTop w:val="0"/>
      <w:marBottom w:val="0"/>
      <w:divBdr>
        <w:top w:val="none" w:sz="0" w:space="0" w:color="auto"/>
        <w:left w:val="none" w:sz="0" w:space="0" w:color="auto"/>
        <w:bottom w:val="none" w:sz="0" w:space="0" w:color="auto"/>
        <w:right w:val="none" w:sz="0" w:space="0" w:color="auto"/>
      </w:divBdr>
    </w:div>
    <w:div w:id="1470443131">
      <w:bodyDiv w:val="1"/>
      <w:marLeft w:val="0"/>
      <w:marRight w:val="0"/>
      <w:marTop w:val="0"/>
      <w:marBottom w:val="0"/>
      <w:divBdr>
        <w:top w:val="none" w:sz="0" w:space="0" w:color="auto"/>
        <w:left w:val="none" w:sz="0" w:space="0" w:color="auto"/>
        <w:bottom w:val="none" w:sz="0" w:space="0" w:color="auto"/>
        <w:right w:val="none" w:sz="0" w:space="0" w:color="auto"/>
      </w:divBdr>
    </w:div>
    <w:div w:id="1473790152">
      <w:bodyDiv w:val="1"/>
      <w:marLeft w:val="0"/>
      <w:marRight w:val="0"/>
      <w:marTop w:val="0"/>
      <w:marBottom w:val="0"/>
      <w:divBdr>
        <w:top w:val="none" w:sz="0" w:space="0" w:color="auto"/>
        <w:left w:val="none" w:sz="0" w:space="0" w:color="auto"/>
        <w:bottom w:val="none" w:sz="0" w:space="0" w:color="auto"/>
        <w:right w:val="none" w:sz="0" w:space="0" w:color="auto"/>
      </w:divBdr>
    </w:div>
    <w:div w:id="1490251816">
      <w:bodyDiv w:val="1"/>
      <w:marLeft w:val="0"/>
      <w:marRight w:val="0"/>
      <w:marTop w:val="0"/>
      <w:marBottom w:val="0"/>
      <w:divBdr>
        <w:top w:val="none" w:sz="0" w:space="0" w:color="auto"/>
        <w:left w:val="none" w:sz="0" w:space="0" w:color="auto"/>
        <w:bottom w:val="none" w:sz="0" w:space="0" w:color="auto"/>
        <w:right w:val="none" w:sz="0" w:space="0" w:color="auto"/>
      </w:divBdr>
    </w:div>
    <w:div w:id="1500190028">
      <w:bodyDiv w:val="1"/>
      <w:marLeft w:val="0"/>
      <w:marRight w:val="0"/>
      <w:marTop w:val="0"/>
      <w:marBottom w:val="0"/>
      <w:divBdr>
        <w:top w:val="none" w:sz="0" w:space="0" w:color="auto"/>
        <w:left w:val="none" w:sz="0" w:space="0" w:color="auto"/>
        <w:bottom w:val="none" w:sz="0" w:space="0" w:color="auto"/>
        <w:right w:val="none" w:sz="0" w:space="0" w:color="auto"/>
      </w:divBdr>
    </w:div>
    <w:div w:id="1503231216">
      <w:bodyDiv w:val="1"/>
      <w:marLeft w:val="0"/>
      <w:marRight w:val="0"/>
      <w:marTop w:val="0"/>
      <w:marBottom w:val="0"/>
      <w:divBdr>
        <w:top w:val="none" w:sz="0" w:space="0" w:color="auto"/>
        <w:left w:val="none" w:sz="0" w:space="0" w:color="auto"/>
        <w:bottom w:val="none" w:sz="0" w:space="0" w:color="auto"/>
        <w:right w:val="none" w:sz="0" w:space="0" w:color="auto"/>
      </w:divBdr>
    </w:div>
    <w:div w:id="1508448584">
      <w:bodyDiv w:val="1"/>
      <w:marLeft w:val="0"/>
      <w:marRight w:val="0"/>
      <w:marTop w:val="0"/>
      <w:marBottom w:val="0"/>
      <w:divBdr>
        <w:top w:val="none" w:sz="0" w:space="0" w:color="auto"/>
        <w:left w:val="none" w:sz="0" w:space="0" w:color="auto"/>
        <w:bottom w:val="none" w:sz="0" w:space="0" w:color="auto"/>
        <w:right w:val="none" w:sz="0" w:space="0" w:color="auto"/>
      </w:divBdr>
    </w:div>
    <w:div w:id="1511794715">
      <w:bodyDiv w:val="1"/>
      <w:marLeft w:val="0"/>
      <w:marRight w:val="0"/>
      <w:marTop w:val="0"/>
      <w:marBottom w:val="0"/>
      <w:divBdr>
        <w:top w:val="none" w:sz="0" w:space="0" w:color="auto"/>
        <w:left w:val="none" w:sz="0" w:space="0" w:color="auto"/>
        <w:bottom w:val="none" w:sz="0" w:space="0" w:color="auto"/>
        <w:right w:val="none" w:sz="0" w:space="0" w:color="auto"/>
      </w:divBdr>
    </w:div>
    <w:div w:id="1517575806">
      <w:bodyDiv w:val="1"/>
      <w:marLeft w:val="0"/>
      <w:marRight w:val="0"/>
      <w:marTop w:val="0"/>
      <w:marBottom w:val="0"/>
      <w:divBdr>
        <w:top w:val="none" w:sz="0" w:space="0" w:color="auto"/>
        <w:left w:val="none" w:sz="0" w:space="0" w:color="auto"/>
        <w:bottom w:val="none" w:sz="0" w:space="0" w:color="auto"/>
        <w:right w:val="none" w:sz="0" w:space="0" w:color="auto"/>
      </w:divBdr>
    </w:div>
    <w:div w:id="1522162483">
      <w:bodyDiv w:val="1"/>
      <w:marLeft w:val="0"/>
      <w:marRight w:val="0"/>
      <w:marTop w:val="0"/>
      <w:marBottom w:val="0"/>
      <w:divBdr>
        <w:top w:val="none" w:sz="0" w:space="0" w:color="auto"/>
        <w:left w:val="none" w:sz="0" w:space="0" w:color="auto"/>
        <w:bottom w:val="none" w:sz="0" w:space="0" w:color="auto"/>
        <w:right w:val="none" w:sz="0" w:space="0" w:color="auto"/>
      </w:divBdr>
    </w:div>
    <w:div w:id="1533108423">
      <w:bodyDiv w:val="1"/>
      <w:marLeft w:val="0"/>
      <w:marRight w:val="0"/>
      <w:marTop w:val="0"/>
      <w:marBottom w:val="0"/>
      <w:divBdr>
        <w:top w:val="none" w:sz="0" w:space="0" w:color="auto"/>
        <w:left w:val="none" w:sz="0" w:space="0" w:color="auto"/>
        <w:bottom w:val="none" w:sz="0" w:space="0" w:color="auto"/>
        <w:right w:val="none" w:sz="0" w:space="0" w:color="auto"/>
      </w:divBdr>
    </w:div>
    <w:div w:id="1539513269">
      <w:bodyDiv w:val="1"/>
      <w:marLeft w:val="0"/>
      <w:marRight w:val="0"/>
      <w:marTop w:val="0"/>
      <w:marBottom w:val="0"/>
      <w:divBdr>
        <w:top w:val="none" w:sz="0" w:space="0" w:color="auto"/>
        <w:left w:val="none" w:sz="0" w:space="0" w:color="auto"/>
        <w:bottom w:val="none" w:sz="0" w:space="0" w:color="auto"/>
        <w:right w:val="none" w:sz="0" w:space="0" w:color="auto"/>
      </w:divBdr>
    </w:div>
    <w:div w:id="1557887200">
      <w:bodyDiv w:val="1"/>
      <w:marLeft w:val="0"/>
      <w:marRight w:val="0"/>
      <w:marTop w:val="0"/>
      <w:marBottom w:val="0"/>
      <w:divBdr>
        <w:top w:val="none" w:sz="0" w:space="0" w:color="auto"/>
        <w:left w:val="none" w:sz="0" w:space="0" w:color="auto"/>
        <w:bottom w:val="none" w:sz="0" w:space="0" w:color="auto"/>
        <w:right w:val="none" w:sz="0" w:space="0" w:color="auto"/>
      </w:divBdr>
    </w:div>
    <w:div w:id="1564875264">
      <w:bodyDiv w:val="1"/>
      <w:marLeft w:val="0"/>
      <w:marRight w:val="0"/>
      <w:marTop w:val="0"/>
      <w:marBottom w:val="0"/>
      <w:divBdr>
        <w:top w:val="none" w:sz="0" w:space="0" w:color="auto"/>
        <w:left w:val="none" w:sz="0" w:space="0" w:color="auto"/>
        <w:bottom w:val="none" w:sz="0" w:space="0" w:color="auto"/>
        <w:right w:val="none" w:sz="0" w:space="0" w:color="auto"/>
      </w:divBdr>
    </w:div>
    <w:div w:id="1567032092">
      <w:bodyDiv w:val="1"/>
      <w:marLeft w:val="0"/>
      <w:marRight w:val="0"/>
      <w:marTop w:val="0"/>
      <w:marBottom w:val="0"/>
      <w:divBdr>
        <w:top w:val="none" w:sz="0" w:space="0" w:color="auto"/>
        <w:left w:val="none" w:sz="0" w:space="0" w:color="auto"/>
        <w:bottom w:val="none" w:sz="0" w:space="0" w:color="auto"/>
        <w:right w:val="none" w:sz="0" w:space="0" w:color="auto"/>
      </w:divBdr>
    </w:div>
    <w:div w:id="1579363929">
      <w:bodyDiv w:val="1"/>
      <w:marLeft w:val="0"/>
      <w:marRight w:val="0"/>
      <w:marTop w:val="0"/>
      <w:marBottom w:val="0"/>
      <w:divBdr>
        <w:top w:val="none" w:sz="0" w:space="0" w:color="auto"/>
        <w:left w:val="none" w:sz="0" w:space="0" w:color="auto"/>
        <w:bottom w:val="none" w:sz="0" w:space="0" w:color="auto"/>
        <w:right w:val="none" w:sz="0" w:space="0" w:color="auto"/>
      </w:divBdr>
    </w:div>
    <w:div w:id="1583101207">
      <w:bodyDiv w:val="1"/>
      <w:marLeft w:val="0"/>
      <w:marRight w:val="0"/>
      <w:marTop w:val="0"/>
      <w:marBottom w:val="0"/>
      <w:divBdr>
        <w:top w:val="none" w:sz="0" w:space="0" w:color="auto"/>
        <w:left w:val="none" w:sz="0" w:space="0" w:color="auto"/>
        <w:bottom w:val="none" w:sz="0" w:space="0" w:color="auto"/>
        <w:right w:val="none" w:sz="0" w:space="0" w:color="auto"/>
      </w:divBdr>
    </w:div>
    <w:div w:id="1596206219">
      <w:bodyDiv w:val="1"/>
      <w:marLeft w:val="0"/>
      <w:marRight w:val="0"/>
      <w:marTop w:val="0"/>
      <w:marBottom w:val="0"/>
      <w:divBdr>
        <w:top w:val="none" w:sz="0" w:space="0" w:color="auto"/>
        <w:left w:val="none" w:sz="0" w:space="0" w:color="auto"/>
        <w:bottom w:val="none" w:sz="0" w:space="0" w:color="auto"/>
        <w:right w:val="none" w:sz="0" w:space="0" w:color="auto"/>
      </w:divBdr>
    </w:div>
    <w:div w:id="1596670896">
      <w:bodyDiv w:val="1"/>
      <w:marLeft w:val="0"/>
      <w:marRight w:val="0"/>
      <w:marTop w:val="0"/>
      <w:marBottom w:val="0"/>
      <w:divBdr>
        <w:top w:val="none" w:sz="0" w:space="0" w:color="auto"/>
        <w:left w:val="none" w:sz="0" w:space="0" w:color="auto"/>
        <w:bottom w:val="none" w:sz="0" w:space="0" w:color="auto"/>
        <w:right w:val="none" w:sz="0" w:space="0" w:color="auto"/>
      </w:divBdr>
    </w:div>
    <w:div w:id="1604148637">
      <w:bodyDiv w:val="1"/>
      <w:marLeft w:val="0"/>
      <w:marRight w:val="0"/>
      <w:marTop w:val="0"/>
      <w:marBottom w:val="0"/>
      <w:divBdr>
        <w:top w:val="none" w:sz="0" w:space="0" w:color="auto"/>
        <w:left w:val="none" w:sz="0" w:space="0" w:color="auto"/>
        <w:bottom w:val="none" w:sz="0" w:space="0" w:color="auto"/>
        <w:right w:val="none" w:sz="0" w:space="0" w:color="auto"/>
      </w:divBdr>
    </w:div>
    <w:div w:id="1615747956">
      <w:bodyDiv w:val="1"/>
      <w:marLeft w:val="0"/>
      <w:marRight w:val="0"/>
      <w:marTop w:val="0"/>
      <w:marBottom w:val="0"/>
      <w:divBdr>
        <w:top w:val="none" w:sz="0" w:space="0" w:color="auto"/>
        <w:left w:val="none" w:sz="0" w:space="0" w:color="auto"/>
        <w:bottom w:val="none" w:sz="0" w:space="0" w:color="auto"/>
        <w:right w:val="none" w:sz="0" w:space="0" w:color="auto"/>
      </w:divBdr>
    </w:div>
    <w:div w:id="1620407173">
      <w:bodyDiv w:val="1"/>
      <w:marLeft w:val="0"/>
      <w:marRight w:val="0"/>
      <w:marTop w:val="0"/>
      <w:marBottom w:val="0"/>
      <w:divBdr>
        <w:top w:val="none" w:sz="0" w:space="0" w:color="auto"/>
        <w:left w:val="none" w:sz="0" w:space="0" w:color="auto"/>
        <w:bottom w:val="none" w:sz="0" w:space="0" w:color="auto"/>
        <w:right w:val="none" w:sz="0" w:space="0" w:color="auto"/>
      </w:divBdr>
    </w:div>
    <w:div w:id="1624967877">
      <w:bodyDiv w:val="1"/>
      <w:marLeft w:val="0"/>
      <w:marRight w:val="0"/>
      <w:marTop w:val="0"/>
      <w:marBottom w:val="0"/>
      <w:divBdr>
        <w:top w:val="none" w:sz="0" w:space="0" w:color="auto"/>
        <w:left w:val="none" w:sz="0" w:space="0" w:color="auto"/>
        <w:bottom w:val="none" w:sz="0" w:space="0" w:color="auto"/>
        <w:right w:val="none" w:sz="0" w:space="0" w:color="auto"/>
      </w:divBdr>
    </w:div>
    <w:div w:id="1626081020">
      <w:bodyDiv w:val="1"/>
      <w:marLeft w:val="0"/>
      <w:marRight w:val="0"/>
      <w:marTop w:val="0"/>
      <w:marBottom w:val="0"/>
      <w:divBdr>
        <w:top w:val="none" w:sz="0" w:space="0" w:color="auto"/>
        <w:left w:val="none" w:sz="0" w:space="0" w:color="auto"/>
        <w:bottom w:val="none" w:sz="0" w:space="0" w:color="auto"/>
        <w:right w:val="none" w:sz="0" w:space="0" w:color="auto"/>
      </w:divBdr>
    </w:div>
    <w:div w:id="1628469128">
      <w:bodyDiv w:val="1"/>
      <w:marLeft w:val="0"/>
      <w:marRight w:val="0"/>
      <w:marTop w:val="0"/>
      <w:marBottom w:val="0"/>
      <w:divBdr>
        <w:top w:val="none" w:sz="0" w:space="0" w:color="auto"/>
        <w:left w:val="none" w:sz="0" w:space="0" w:color="auto"/>
        <w:bottom w:val="none" w:sz="0" w:space="0" w:color="auto"/>
        <w:right w:val="none" w:sz="0" w:space="0" w:color="auto"/>
      </w:divBdr>
    </w:div>
    <w:div w:id="1628777674">
      <w:bodyDiv w:val="1"/>
      <w:marLeft w:val="0"/>
      <w:marRight w:val="0"/>
      <w:marTop w:val="0"/>
      <w:marBottom w:val="0"/>
      <w:divBdr>
        <w:top w:val="none" w:sz="0" w:space="0" w:color="auto"/>
        <w:left w:val="none" w:sz="0" w:space="0" w:color="auto"/>
        <w:bottom w:val="none" w:sz="0" w:space="0" w:color="auto"/>
        <w:right w:val="none" w:sz="0" w:space="0" w:color="auto"/>
      </w:divBdr>
    </w:div>
    <w:div w:id="1631280326">
      <w:bodyDiv w:val="1"/>
      <w:marLeft w:val="0"/>
      <w:marRight w:val="0"/>
      <w:marTop w:val="0"/>
      <w:marBottom w:val="0"/>
      <w:divBdr>
        <w:top w:val="none" w:sz="0" w:space="0" w:color="auto"/>
        <w:left w:val="none" w:sz="0" w:space="0" w:color="auto"/>
        <w:bottom w:val="none" w:sz="0" w:space="0" w:color="auto"/>
        <w:right w:val="none" w:sz="0" w:space="0" w:color="auto"/>
      </w:divBdr>
    </w:div>
    <w:div w:id="1637755385">
      <w:bodyDiv w:val="1"/>
      <w:marLeft w:val="0"/>
      <w:marRight w:val="0"/>
      <w:marTop w:val="0"/>
      <w:marBottom w:val="0"/>
      <w:divBdr>
        <w:top w:val="none" w:sz="0" w:space="0" w:color="auto"/>
        <w:left w:val="none" w:sz="0" w:space="0" w:color="auto"/>
        <w:bottom w:val="none" w:sz="0" w:space="0" w:color="auto"/>
        <w:right w:val="none" w:sz="0" w:space="0" w:color="auto"/>
      </w:divBdr>
    </w:div>
    <w:div w:id="1646933443">
      <w:bodyDiv w:val="1"/>
      <w:marLeft w:val="0"/>
      <w:marRight w:val="0"/>
      <w:marTop w:val="0"/>
      <w:marBottom w:val="0"/>
      <w:divBdr>
        <w:top w:val="none" w:sz="0" w:space="0" w:color="auto"/>
        <w:left w:val="none" w:sz="0" w:space="0" w:color="auto"/>
        <w:bottom w:val="none" w:sz="0" w:space="0" w:color="auto"/>
        <w:right w:val="none" w:sz="0" w:space="0" w:color="auto"/>
      </w:divBdr>
    </w:div>
    <w:div w:id="1652827232">
      <w:bodyDiv w:val="1"/>
      <w:marLeft w:val="0"/>
      <w:marRight w:val="0"/>
      <w:marTop w:val="0"/>
      <w:marBottom w:val="0"/>
      <w:divBdr>
        <w:top w:val="none" w:sz="0" w:space="0" w:color="auto"/>
        <w:left w:val="none" w:sz="0" w:space="0" w:color="auto"/>
        <w:bottom w:val="none" w:sz="0" w:space="0" w:color="auto"/>
        <w:right w:val="none" w:sz="0" w:space="0" w:color="auto"/>
      </w:divBdr>
    </w:div>
    <w:div w:id="1663049933">
      <w:bodyDiv w:val="1"/>
      <w:marLeft w:val="0"/>
      <w:marRight w:val="0"/>
      <w:marTop w:val="0"/>
      <w:marBottom w:val="0"/>
      <w:divBdr>
        <w:top w:val="none" w:sz="0" w:space="0" w:color="auto"/>
        <w:left w:val="none" w:sz="0" w:space="0" w:color="auto"/>
        <w:bottom w:val="none" w:sz="0" w:space="0" w:color="auto"/>
        <w:right w:val="none" w:sz="0" w:space="0" w:color="auto"/>
      </w:divBdr>
    </w:div>
    <w:div w:id="1664117803">
      <w:bodyDiv w:val="1"/>
      <w:marLeft w:val="0"/>
      <w:marRight w:val="0"/>
      <w:marTop w:val="0"/>
      <w:marBottom w:val="0"/>
      <w:divBdr>
        <w:top w:val="none" w:sz="0" w:space="0" w:color="auto"/>
        <w:left w:val="none" w:sz="0" w:space="0" w:color="auto"/>
        <w:bottom w:val="none" w:sz="0" w:space="0" w:color="auto"/>
        <w:right w:val="none" w:sz="0" w:space="0" w:color="auto"/>
      </w:divBdr>
    </w:div>
    <w:div w:id="1664627518">
      <w:bodyDiv w:val="1"/>
      <w:marLeft w:val="0"/>
      <w:marRight w:val="0"/>
      <w:marTop w:val="0"/>
      <w:marBottom w:val="0"/>
      <w:divBdr>
        <w:top w:val="none" w:sz="0" w:space="0" w:color="auto"/>
        <w:left w:val="none" w:sz="0" w:space="0" w:color="auto"/>
        <w:bottom w:val="none" w:sz="0" w:space="0" w:color="auto"/>
        <w:right w:val="none" w:sz="0" w:space="0" w:color="auto"/>
      </w:divBdr>
    </w:div>
    <w:div w:id="1676104934">
      <w:bodyDiv w:val="1"/>
      <w:marLeft w:val="0"/>
      <w:marRight w:val="0"/>
      <w:marTop w:val="0"/>
      <w:marBottom w:val="0"/>
      <w:divBdr>
        <w:top w:val="none" w:sz="0" w:space="0" w:color="auto"/>
        <w:left w:val="none" w:sz="0" w:space="0" w:color="auto"/>
        <w:bottom w:val="none" w:sz="0" w:space="0" w:color="auto"/>
        <w:right w:val="none" w:sz="0" w:space="0" w:color="auto"/>
      </w:divBdr>
    </w:div>
    <w:div w:id="1677921119">
      <w:bodyDiv w:val="1"/>
      <w:marLeft w:val="0"/>
      <w:marRight w:val="0"/>
      <w:marTop w:val="0"/>
      <w:marBottom w:val="0"/>
      <w:divBdr>
        <w:top w:val="none" w:sz="0" w:space="0" w:color="auto"/>
        <w:left w:val="none" w:sz="0" w:space="0" w:color="auto"/>
        <w:bottom w:val="none" w:sz="0" w:space="0" w:color="auto"/>
        <w:right w:val="none" w:sz="0" w:space="0" w:color="auto"/>
      </w:divBdr>
    </w:div>
    <w:div w:id="1678077350">
      <w:bodyDiv w:val="1"/>
      <w:marLeft w:val="0"/>
      <w:marRight w:val="0"/>
      <w:marTop w:val="0"/>
      <w:marBottom w:val="0"/>
      <w:divBdr>
        <w:top w:val="none" w:sz="0" w:space="0" w:color="auto"/>
        <w:left w:val="none" w:sz="0" w:space="0" w:color="auto"/>
        <w:bottom w:val="none" w:sz="0" w:space="0" w:color="auto"/>
        <w:right w:val="none" w:sz="0" w:space="0" w:color="auto"/>
      </w:divBdr>
    </w:div>
    <w:div w:id="1682707326">
      <w:bodyDiv w:val="1"/>
      <w:marLeft w:val="0"/>
      <w:marRight w:val="0"/>
      <w:marTop w:val="0"/>
      <w:marBottom w:val="0"/>
      <w:divBdr>
        <w:top w:val="none" w:sz="0" w:space="0" w:color="auto"/>
        <w:left w:val="none" w:sz="0" w:space="0" w:color="auto"/>
        <w:bottom w:val="none" w:sz="0" w:space="0" w:color="auto"/>
        <w:right w:val="none" w:sz="0" w:space="0" w:color="auto"/>
      </w:divBdr>
    </w:div>
    <w:div w:id="1692030579">
      <w:bodyDiv w:val="1"/>
      <w:marLeft w:val="0"/>
      <w:marRight w:val="0"/>
      <w:marTop w:val="0"/>
      <w:marBottom w:val="0"/>
      <w:divBdr>
        <w:top w:val="none" w:sz="0" w:space="0" w:color="auto"/>
        <w:left w:val="none" w:sz="0" w:space="0" w:color="auto"/>
        <w:bottom w:val="none" w:sz="0" w:space="0" w:color="auto"/>
        <w:right w:val="none" w:sz="0" w:space="0" w:color="auto"/>
      </w:divBdr>
    </w:div>
    <w:div w:id="1703360486">
      <w:bodyDiv w:val="1"/>
      <w:marLeft w:val="0"/>
      <w:marRight w:val="0"/>
      <w:marTop w:val="0"/>
      <w:marBottom w:val="0"/>
      <w:divBdr>
        <w:top w:val="none" w:sz="0" w:space="0" w:color="auto"/>
        <w:left w:val="none" w:sz="0" w:space="0" w:color="auto"/>
        <w:bottom w:val="none" w:sz="0" w:space="0" w:color="auto"/>
        <w:right w:val="none" w:sz="0" w:space="0" w:color="auto"/>
      </w:divBdr>
    </w:div>
    <w:div w:id="1708868137">
      <w:bodyDiv w:val="1"/>
      <w:marLeft w:val="0"/>
      <w:marRight w:val="0"/>
      <w:marTop w:val="0"/>
      <w:marBottom w:val="0"/>
      <w:divBdr>
        <w:top w:val="none" w:sz="0" w:space="0" w:color="auto"/>
        <w:left w:val="none" w:sz="0" w:space="0" w:color="auto"/>
        <w:bottom w:val="none" w:sz="0" w:space="0" w:color="auto"/>
        <w:right w:val="none" w:sz="0" w:space="0" w:color="auto"/>
      </w:divBdr>
    </w:div>
    <w:div w:id="1716999678">
      <w:bodyDiv w:val="1"/>
      <w:marLeft w:val="0"/>
      <w:marRight w:val="0"/>
      <w:marTop w:val="0"/>
      <w:marBottom w:val="0"/>
      <w:divBdr>
        <w:top w:val="none" w:sz="0" w:space="0" w:color="auto"/>
        <w:left w:val="none" w:sz="0" w:space="0" w:color="auto"/>
        <w:bottom w:val="none" w:sz="0" w:space="0" w:color="auto"/>
        <w:right w:val="none" w:sz="0" w:space="0" w:color="auto"/>
      </w:divBdr>
    </w:div>
    <w:div w:id="1726181624">
      <w:bodyDiv w:val="1"/>
      <w:marLeft w:val="0"/>
      <w:marRight w:val="0"/>
      <w:marTop w:val="0"/>
      <w:marBottom w:val="0"/>
      <w:divBdr>
        <w:top w:val="none" w:sz="0" w:space="0" w:color="auto"/>
        <w:left w:val="none" w:sz="0" w:space="0" w:color="auto"/>
        <w:bottom w:val="none" w:sz="0" w:space="0" w:color="auto"/>
        <w:right w:val="none" w:sz="0" w:space="0" w:color="auto"/>
      </w:divBdr>
    </w:div>
    <w:div w:id="1726223448">
      <w:bodyDiv w:val="1"/>
      <w:marLeft w:val="0"/>
      <w:marRight w:val="0"/>
      <w:marTop w:val="0"/>
      <w:marBottom w:val="0"/>
      <w:divBdr>
        <w:top w:val="none" w:sz="0" w:space="0" w:color="auto"/>
        <w:left w:val="none" w:sz="0" w:space="0" w:color="auto"/>
        <w:bottom w:val="none" w:sz="0" w:space="0" w:color="auto"/>
        <w:right w:val="none" w:sz="0" w:space="0" w:color="auto"/>
      </w:divBdr>
    </w:div>
    <w:div w:id="1734353348">
      <w:bodyDiv w:val="1"/>
      <w:marLeft w:val="0"/>
      <w:marRight w:val="0"/>
      <w:marTop w:val="0"/>
      <w:marBottom w:val="0"/>
      <w:divBdr>
        <w:top w:val="none" w:sz="0" w:space="0" w:color="auto"/>
        <w:left w:val="none" w:sz="0" w:space="0" w:color="auto"/>
        <w:bottom w:val="none" w:sz="0" w:space="0" w:color="auto"/>
        <w:right w:val="none" w:sz="0" w:space="0" w:color="auto"/>
      </w:divBdr>
    </w:div>
    <w:div w:id="1742488202">
      <w:bodyDiv w:val="1"/>
      <w:marLeft w:val="0"/>
      <w:marRight w:val="0"/>
      <w:marTop w:val="0"/>
      <w:marBottom w:val="0"/>
      <w:divBdr>
        <w:top w:val="none" w:sz="0" w:space="0" w:color="auto"/>
        <w:left w:val="none" w:sz="0" w:space="0" w:color="auto"/>
        <w:bottom w:val="none" w:sz="0" w:space="0" w:color="auto"/>
        <w:right w:val="none" w:sz="0" w:space="0" w:color="auto"/>
      </w:divBdr>
    </w:div>
    <w:div w:id="1751652455">
      <w:bodyDiv w:val="1"/>
      <w:marLeft w:val="0"/>
      <w:marRight w:val="0"/>
      <w:marTop w:val="0"/>
      <w:marBottom w:val="0"/>
      <w:divBdr>
        <w:top w:val="none" w:sz="0" w:space="0" w:color="auto"/>
        <w:left w:val="none" w:sz="0" w:space="0" w:color="auto"/>
        <w:bottom w:val="none" w:sz="0" w:space="0" w:color="auto"/>
        <w:right w:val="none" w:sz="0" w:space="0" w:color="auto"/>
      </w:divBdr>
    </w:div>
    <w:div w:id="1763645286">
      <w:bodyDiv w:val="1"/>
      <w:marLeft w:val="0"/>
      <w:marRight w:val="0"/>
      <w:marTop w:val="0"/>
      <w:marBottom w:val="0"/>
      <w:divBdr>
        <w:top w:val="none" w:sz="0" w:space="0" w:color="auto"/>
        <w:left w:val="none" w:sz="0" w:space="0" w:color="auto"/>
        <w:bottom w:val="none" w:sz="0" w:space="0" w:color="auto"/>
        <w:right w:val="none" w:sz="0" w:space="0" w:color="auto"/>
      </w:divBdr>
    </w:div>
    <w:div w:id="1770151768">
      <w:bodyDiv w:val="1"/>
      <w:marLeft w:val="0"/>
      <w:marRight w:val="0"/>
      <w:marTop w:val="0"/>
      <w:marBottom w:val="0"/>
      <w:divBdr>
        <w:top w:val="none" w:sz="0" w:space="0" w:color="auto"/>
        <w:left w:val="none" w:sz="0" w:space="0" w:color="auto"/>
        <w:bottom w:val="none" w:sz="0" w:space="0" w:color="auto"/>
        <w:right w:val="none" w:sz="0" w:space="0" w:color="auto"/>
      </w:divBdr>
    </w:div>
    <w:div w:id="1774202678">
      <w:bodyDiv w:val="1"/>
      <w:marLeft w:val="0"/>
      <w:marRight w:val="0"/>
      <w:marTop w:val="0"/>
      <w:marBottom w:val="0"/>
      <w:divBdr>
        <w:top w:val="none" w:sz="0" w:space="0" w:color="auto"/>
        <w:left w:val="none" w:sz="0" w:space="0" w:color="auto"/>
        <w:bottom w:val="none" w:sz="0" w:space="0" w:color="auto"/>
        <w:right w:val="none" w:sz="0" w:space="0" w:color="auto"/>
      </w:divBdr>
    </w:div>
    <w:div w:id="1779519321">
      <w:bodyDiv w:val="1"/>
      <w:marLeft w:val="0"/>
      <w:marRight w:val="0"/>
      <w:marTop w:val="0"/>
      <w:marBottom w:val="0"/>
      <w:divBdr>
        <w:top w:val="none" w:sz="0" w:space="0" w:color="auto"/>
        <w:left w:val="none" w:sz="0" w:space="0" w:color="auto"/>
        <w:bottom w:val="none" w:sz="0" w:space="0" w:color="auto"/>
        <w:right w:val="none" w:sz="0" w:space="0" w:color="auto"/>
      </w:divBdr>
    </w:div>
    <w:div w:id="1782534370">
      <w:bodyDiv w:val="1"/>
      <w:marLeft w:val="0"/>
      <w:marRight w:val="0"/>
      <w:marTop w:val="0"/>
      <w:marBottom w:val="0"/>
      <w:divBdr>
        <w:top w:val="none" w:sz="0" w:space="0" w:color="auto"/>
        <w:left w:val="none" w:sz="0" w:space="0" w:color="auto"/>
        <w:bottom w:val="none" w:sz="0" w:space="0" w:color="auto"/>
        <w:right w:val="none" w:sz="0" w:space="0" w:color="auto"/>
      </w:divBdr>
    </w:div>
    <w:div w:id="1790973053">
      <w:bodyDiv w:val="1"/>
      <w:marLeft w:val="0"/>
      <w:marRight w:val="0"/>
      <w:marTop w:val="0"/>
      <w:marBottom w:val="0"/>
      <w:divBdr>
        <w:top w:val="none" w:sz="0" w:space="0" w:color="auto"/>
        <w:left w:val="none" w:sz="0" w:space="0" w:color="auto"/>
        <w:bottom w:val="none" w:sz="0" w:space="0" w:color="auto"/>
        <w:right w:val="none" w:sz="0" w:space="0" w:color="auto"/>
      </w:divBdr>
    </w:div>
    <w:div w:id="1793817732">
      <w:bodyDiv w:val="1"/>
      <w:marLeft w:val="0"/>
      <w:marRight w:val="0"/>
      <w:marTop w:val="0"/>
      <w:marBottom w:val="0"/>
      <w:divBdr>
        <w:top w:val="none" w:sz="0" w:space="0" w:color="auto"/>
        <w:left w:val="none" w:sz="0" w:space="0" w:color="auto"/>
        <w:bottom w:val="none" w:sz="0" w:space="0" w:color="auto"/>
        <w:right w:val="none" w:sz="0" w:space="0" w:color="auto"/>
      </w:divBdr>
    </w:div>
    <w:div w:id="1797601216">
      <w:bodyDiv w:val="1"/>
      <w:marLeft w:val="0"/>
      <w:marRight w:val="0"/>
      <w:marTop w:val="0"/>
      <w:marBottom w:val="0"/>
      <w:divBdr>
        <w:top w:val="none" w:sz="0" w:space="0" w:color="auto"/>
        <w:left w:val="none" w:sz="0" w:space="0" w:color="auto"/>
        <w:bottom w:val="none" w:sz="0" w:space="0" w:color="auto"/>
        <w:right w:val="none" w:sz="0" w:space="0" w:color="auto"/>
      </w:divBdr>
    </w:div>
    <w:div w:id="1799836422">
      <w:bodyDiv w:val="1"/>
      <w:marLeft w:val="0"/>
      <w:marRight w:val="0"/>
      <w:marTop w:val="0"/>
      <w:marBottom w:val="0"/>
      <w:divBdr>
        <w:top w:val="none" w:sz="0" w:space="0" w:color="auto"/>
        <w:left w:val="none" w:sz="0" w:space="0" w:color="auto"/>
        <w:bottom w:val="none" w:sz="0" w:space="0" w:color="auto"/>
        <w:right w:val="none" w:sz="0" w:space="0" w:color="auto"/>
      </w:divBdr>
    </w:div>
    <w:div w:id="1800341580">
      <w:bodyDiv w:val="1"/>
      <w:marLeft w:val="0"/>
      <w:marRight w:val="0"/>
      <w:marTop w:val="0"/>
      <w:marBottom w:val="0"/>
      <w:divBdr>
        <w:top w:val="none" w:sz="0" w:space="0" w:color="auto"/>
        <w:left w:val="none" w:sz="0" w:space="0" w:color="auto"/>
        <w:bottom w:val="none" w:sz="0" w:space="0" w:color="auto"/>
        <w:right w:val="none" w:sz="0" w:space="0" w:color="auto"/>
      </w:divBdr>
    </w:div>
    <w:div w:id="1800995238">
      <w:bodyDiv w:val="1"/>
      <w:marLeft w:val="0"/>
      <w:marRight w:val="0"/>
      <w:marTop w:val="0"/>
      <w:marBottom w:val="0"/>
      <w:divBdr>
        <w:top w:val="none" w:sz="0" w:space="0" w:color="auto"/>
        <w:left w:val="none" w:sz="0" w:space="0" w:color="auto"/>
        <w:bottom w:val="none" w:sz="0" w:space="0" w:color="auto"/>
        <w:right w:val="none" w:sz="0" w:space="0" w:color="auto"/>
      </w:divBdr>
    </w:div>
    <w:div w:id="1803619362">
      <w:bodyDiv w:val="1"/>
      <w:marLeft w:val="0"/>
      <w:marRight w:val="0"/>
      <w:marTop w:val="0"/>
      <w:marBottom w:val="0"/>
      <w:divBdr>
        <w:top w:val="none" w:sz="0" w:space="0" w:color="auto"/>
        <w:left w:val="none" w:sz="0" w:space="0" w:color="auto"/>
        <w:bottom w:val="none" w:sz="0" w:space="0" w:color="auto"/>
        <w:right w:val="none" w:sz="0" w:space="0" w:color="auto"/>
      </w:divBdr>
    </w:div>
    <w:div w:id="1808741979">
      <w:bodyDiv w:val="1"/>
      <w:marLeft w:val="0"/>
      <w:marRight w:val="0"/>
      <w:marTop w:val="0"/>
      <w:marBottom w:val="0"/>
      <w:divBdr>
        <w:top w:val="none" w:sz="0" w:space="0" w:color="auto"/>
        <w:left w:val="none" w:sz="0" w:space="0" w:color="auto"/>
        <w:bottom w:val="none" w:sz="0" w:space="0" w:color="auto"/>
        <w:right w:val="none" w:sz="0" w:space="0" w:color="auto"/>
      </w:divBdr>
    </w:div>
    <w:div w:id="1813865840">
      <w:bodyDiv w:val="1"/>
      <w:marLeft w:val="0"/>
      <w:marRight w:val="0"/>
      <w:marTop w:val="0"/>
      <w:marBottom w:val="0"/>
      <w:divBdr>
        <w:top w:val="none" w:sz="0" w:space="0" w:color="auto"/>
        <w:left w:val="none" w:sz="0" w:space="0" w:color="auto"/>
        <w:bottom w:val="none" w:sz="0" w:space="0" w:color="auto"/>
        <w:right w:val="none" w:sz="0" w:space="0" w:color="auto"/>
      </w:divBdr>
    </w:div>
    <w:div w:id="1829126113">
      <w:bodyDiv w:val="1"/>
      <w:marLeft w:val="0"/>
      <w:marRight w:val="0"/>
      <w:marTop w:val="0"/>
      <w:marBottom w:val="0"/>
      <w:divBdr>
        <w:top w:val="none" w:sz="0" w:space="0" w:color="auto"/>
        <w:left w:val="none" w:sz="0" w:space="0" w:color="auto"/>
        <w:bottom w:val="none" w:sz="0" w:space="0" w:color="auto"/>
        <w:right w:val="none" w:sz="0" w:space="0" w:color="auto"/>
      </w:divBdr>
    </w:div>
    <w:div w:id="1829636073">
      <w:bodyDiv w:val="1"/>
      <w:marLeft w:val="0"/>
      <w:marRight w:val="0"/>
      <w:marTop w:val="0"/>
      <w:marBottom w:val="0"/>
      <w:divBdr>
        <w:top w:val="none" w:sz="0" w:space="0" w:color="auto"/>
        <w:left w:val="none" w:sz="0" w:space="0" w:color="auto"/>
        <w:bottom w:val="none" w:sz="0" w:space="0" w:color="auto"/>
        <w:right w:val="none" w:sz="0" w:space="0" w:color="auto"/>
      </w:divBdr>
    </w:div>
    <w:div w:id="1832329948">
      <w:bodyDiv w:val="1"/>
      <w:marLeft w:val="0"/>
      <w:marRight w:val="0"/>
      <w:marTop w:val="0"/>
      <w:marBottom w:val="0"/>
      <w:divBdr>
        <w:top w:val="none" w:sz="0" w:space="0" w:color="auto"/>
        <w:left w:val="none" w:sz="0" w:space="0" w:color="auto"/>
        <w:bottom w:val="none" w:sz="0" w:space="0" w:color="auto"/>
        <w:right w:val="none" w:sz="0" w:space="0" w:color="auto"/>
      </w:divBdr>
    </w:div>
    <w:div w:id="1844315523">
      <w:bodyDiv w:val="1"/>
      <w:marLeft w:val="0"/>
      <w:marRight w:val="0"/>
      <w:marTop w:val="0"/>
      <w:marBottom w:val="0"/>
      <w:divBdr>
        <w:top w:val="none" w:sz="0" w:space="0" w:color="auto"/>
        <w:left w:val="none" w:sz="0" w:space="0" w:color="auto"/>
        <w:bottom w:val="none" w:sz="0" w:space="0" w:color="auto"/>
        <w:right w:val="none" w:sz="0" w:space="0" w:color="auto"/>
      </w:divBdr>
    </w:div>
    <w:div w:id="1848786575">
      <w:bodyDiv w:val="1"/>
      <w:marLeft w:val="0"/>
      <w:marRight w:val="0"/>
      <w:marTop w:val="0"/>
      <w:marBottom w:val="0"/>
      <w:divBdr>
        <w:top w:val="none" w:sz="0" w:space="0" w:color="auto"/>
        <w:left w:val="none" w:sz="0" w:space="0" w:color="auto"/>
        <w:bottom w:val="none" w:sz="0" w:space="0" w:color="auto"/>
        <w:right w:val="none" w:sz="0" w:space="0" w:color="auto"/>
      </w:divBdr>
    </w:div>
    <w:div w:id="1852252904">
      <w:bodyDiv w:val="1"/>
      <w:marLeft w:val="0"/>
      <w:marRight w:val="0"/>
      <w:marTop w:val="0"/>
      <w:marBottom w:val="0"/>
      <w:divBdr>
        <w:top w:val="none" w:sz="0" w:space="0" w:color="auto"/>
        <w:left w:val="none" w:sz="0" w:space="0" w:color="auto"/>
        <w:bottom w:val="none" w:sz="0" w:space="0" w:color="auto"/>
        <w:right w:val="none" w:sz="0" w:space="0" w:color="auto"/>
      </w:divBdr>
    </w:div>
    <w:div w:id="1853756992">
      <w:bodyDiv w:val="1"/>
      <w:marLeft w:val="0"/>
      <w:marRight w:val="0"/>
      <w:marTop w:val="0"/>
      <w:marBottom w:val="0"/>
      <w:divBdr>
        <w:top w:val="none" w:sz="0" w:space="0" w:color="auto"/>
        <w:left w:val="none" w:sz="0" w:space="0" w:color="auto"/>
        <w:bottom w:val="none" w:sz="0" w:space="0" w:color="auto"/>
        <w:right w:val="none" w:sz="0" w:space="0" w:color="auto"/>
      </w:divBdr>
    </w:div>
    <w:div w:id="1856382719">
      <w:bodyDiv w:val="1"/>
      <w:marLeft w:val="0"/>
      <w:marRight w:val="0"/>
      <w:marTop w:val="0"/>
      <w:marBottom w:val="0"/>
      <w:divBdr>
        <w:top w:val="none" w:sz="0" w:space="0" w:color="auto"/>
        <w:left w:val="none" w:sz="0" w:space="0" w:color="auto"/>
        <w:bottom w:val="none" w:sz="0" w:space="0" w:color="auto"/>
        <w:right w:val="none" w:sz="0" w:space="0" w:color="auto"/>
      </w:divBdr>
    </w:div>
    <w:div w:id="1862553348">
      <w:bodyDiv w:val="1"/>
      <w:marLeft w:val="0"/>
      <w:marRight w:val="0"/>
      <w:marTop w:val="0"/>
      <w:marBottom w:val="0"/>
      <w:divBdr>
        <w:top w:val="none" w:sz="0" w:space="0" w:color="auto"/>
        <w:left w:val="none" w:sz="0" w:space="0" w:color="auto"/>
        <w:bottom w:val="none" w:sz="0" w:space="0" w:color="auto"/>
        <w:right w:val="none" w:sz="0" w:space="0" w:color="auto"/>
      </w:divBdr>
    </w:div>
    <w:div w:id="1865901530">
      <w:bodyDiv w:val="1"/>
      <w:marLeft w:val="0"/>
      <w:marRight w:val="0"/>
      <w:marTop w:val="0"/>
      <w:marBottom w:val="0"/>
      <w:divBdr>
        <w:top w:val="none" w:sz="0" w:space="0" w:color="auto"/>
        <w:left w:val="none" w:sz="0" w:space="0" w:color="auto"/>
        <w:bottom w:val="none" w:sz="0" w:space="0" w:color="auto"/>
        <w:right w:val="none" w:sz="0" w:space="0" w:color="auto"/>
      </w:divBdr>
    </w:div>
    <w:div w:id="1882084236">
      <w:bodyDiv w:val="1"/>
      <w:marLeft w:val="0"/>
      <w:marRight w:val="0"/>
      <w:marTop w:val="0"/>
      <w:marBottom w:val="0"/>
      <w:divBdr>
        <w:top w:val="none" w:sz="0" w:space="0" w:color="auto"/>
        <w:left w:val="none" w:sz="0" w:space="0" w:color="auto"/>
        <w:bottom w:val="none" w:sz="0" w:space="0" w:color="auto"/>
        <w:right w:val="none" w:sz="0" w:space="0" w:color="auto"/>
      </w:divBdr>
    </w:div>
    <w:div w:id="1883591138">
      <w:bodyDiv w:val="1"/>
      <w:marLeft w:val="0"/>
      <w:marRight w:val="0"/>
      <w:marTop w:val="0"/>
      <w:marBottom w:val="0"/>
      <w:divBdr>
        <w:top w:val="none" w:sz="0" w:space="0" w:color="auto"/>
        <w:left w:val="none" w:sz="0" w:space="0" w:color="auto"/>
        <w:bottom w:val="none" w:sz="0" w:space="0" w:color="auto"/>
        <w:right w:val="none" w:sz="0" w:space="0" w:color="auto"/>
      </w:divBdr>
    </w:div>
    <w:div w:id="1886520347">
      <w:bodyDiv w:val="1"/>
      <w:marLeft w:val="0"/>
      <w:marRight w:val="0"/>
      <w:marTop w:val="0"/>
      <w:marBottom w:val="0"/>
      <w:divBdr>
        <w:top w:val="none" w:sz="0" w:space="0" w:color="auto"/>
        <w:left w:val="none" w:sz="0" w:space="0" w:color="auto"/>
        <w:bottom w:val="none" w:sz="0" w:space="0" w:color="auto"/>
        <w:right w:val="none" w:sz="0" w:space="0" w:color="auto"/>
      </w:divBdr>
    </w:div>
    <w:div w:id="1889607937">
      <w:bodyDiv w:val="1"/>
      <w:marLeft w:val="0"/>
      <w:marRight w:val="0"/>
      <w:marTop w:val="0"/>
      <w:marBottom w:val="0"/>
      <w:divBdr>
        <w:top w:val="none" w:sz="0" w:space="0" w:color="auto"/>
        <w:left w:val="none" w:sz="0" w:space="0" w:color="auto"/>
        <w:bottom w:val="none" w:sz="0" w:space="0" w:color="auto"/>
        <w:right w:val="none" w:sz="0" w:space="0" w:color="auto"/>
      </w:divBdr>
    </w:div>
    <w:div w:id="1894849050">
      <w:bodyDiv w:val="1"/>
      <w:marLeft w:val="0"/>
      <w:marRight w:val="0"/>
      <w:marTop w:val="0"/>
      <w:marBottom w:val="0"/>
      <w:divBdr>
        <w:top w:val="none" w:sz="0" w:space="0" w:color="auto"/>
        <w:left w:val="none" w:sz="0" w:space="0" w:color="auto"/>
        <w:bottom w:val="none" w:sz="0" w:space="0" w:color="auto"/>
        <w:right w:val="none" w:sz="0" w:space="0" w:color="auto"/>
      </w:divBdr>
    </w:div>
    <w:div w:id="1897275076">
      <w:bodyDiv w:val="1"/>
      <w:marLeft w:val="0"/>
      <w:marRight w:val="0"/>
      <w:marTop w:val="0"/>
      <w:marBottom w:val="0"/>
      <w:divBdr>
        <w:top w:val="none" w:sz="0" w:space="0" w:color="auto"/>
        <w:left w:val="none" w:sz="0" w:space="0" w:color="auto"/>
        <w:bottom w:val="none" w:sz="0" w:space="0" w:color="auto"/>
        <w:right w:val="none" w:sz="0" w:space="0" w:color="auto"/>
      </w:divBdr>
    </w:div>
    <w:div w:id="1909340076">
      <w:bodyDiv w:val="1"/>
      <w:marLeft w:val="0"/>
      <w:marRight w:val="0"/>
      <w:marTop w:val="0"/>
      <w:marBottom w:val="0"/>
      <w:divBdr>
        <w:top w:val="none" w:sz="0" w:space="0" w:color="auto"/>
        <w:left w:val="none" w:sz="0" w:space="0" w:color="auto"/>
        <w:bottom w:val="none" w:sz="0" w:space="0" w:color="auto"/>
        <w:right w:val="none" w:sz="0" w:space="0" w:color="auto"/>
      </w:divBdr>
    </w:div>
    <w:div w:id="1943417959">
      <w:bodyDiv w:val="1"/>
      <w:marLeft w:val="0"/>
      <w:marRight w:val="0"/>
      <w:marTop w:val="0"/>
      <w:marBottom w:val="0"/>
      <w:divBdr>
        <w:top w:val="none" w:sz="0" w:space="0" w:color="auto"/>
        <w:left w:val="none" w:sz="0" w:space="0" w:color="auto"/>
        <w:bottom w:val="none" w:sz="0" w:space="0" w:color="auto"/>
        <w:right w:val="none" w:sz="0" w:space="0" w:color="auto"/>
      </w:divBdr>
    </w:div>
    <w:div w:id="1947419235">
      <w:bodyDiv w:val="1"/>
      <w:marLeft w:val="0"/>
      <w:marRight w:val="0"/>
      <w:marTop w:val="0"/>
      <w:marBottom w:val="0"/>
      <w:divBdr>
        <w:top w:val="none" w:sz="0" w:space="0" w:color="auto"/>
        <w:left w:val="none" w:sz="0" w:space="0" w:color="auto"/>
        <w:bottom w:val="none" w:sz="0" w:space="0" w:color="auto"/>
        <w:right w:val="none" w:sz="0" w:space="0" w:color="auto"/>
      </w:divBdr>
    </w:div>
    <w:div w:id="1955094952">
      <w:bodyDiv w:val="1"/>
      <w:marLeft w:val="0"/>
      <w:marRight w:val="0"/>
      <w:marTop w:val="0"/>
      <w:marBottom w:val="0"/>
      <w:divBdr>
        <w:top w:val="none" w:sz="0" w:space="0" w:color="auto"/>
        <w:left w:val="none" w:sz="0" w:space="0" w:color="auto"/>
        <w:bottom w:val="none" w:sz="0" w:space="0" w:color="auto"/>
        <w:right w:val="none" w:sz="0" w:space="0" w:color="auto"/>
      </w:divBdr>
    </w:div>
    <w:div w:id="1968462336">
      <w:bodyDiv w:val="1"/>
      <w:marLeft w:val="0"/>
      <w:marRight w:val="0"/>
      <w:marTop w:val="0"/>
      <w:marBottom w:val="0"/>
      <w:divBdr>
        <w:top w:val="none" w:sz="0" w:space="0" w:color="auto"/>
        <w:left w:val="none" w:sz="0" w:space="0" w:color="auto"/>
        <w:bottom w:val="none" w:sz="0" w:space="0" w:color="auto"/>
        <w:right w:val="none" w:sz="0" w:space="0" w:color="auto"/>
      </w:divBdr>
    </w:div>
    <w:div w:id="1968929084">
      <w:bodyDiv w:val="1"/>
      <w:marLeft w:val="0"/>
      <w:marRight w:val="0"/>
      <w:marTop w:val="0"/>
      <w:marBottom w:val="0"/>
      <w:divBdr>
        <w:top w:val="none" w:sz="0" w:space="0" w:color="auto"/>
        <w:left w:val="none" w:sz="0" w:space="0" w:color="auto"/>
        <w:bottom w:val="none" w:sz="0" w:space="0" w:color="auto"/>
        <w:right w:val="none" w:sz="0" w:space="0" w:color="auto"/>
      </w:divBdr>
    </w:div>
    <w:div w:id="1990136204">
      <w:bodyDiv w:val="1"/>
      <w:marLeft w:val="0"/>
      <w:marRight w:val="0"/>
      <w:marTop w:val="0"/>
      <w:marBottom w:val="0"/>
      <w:divBdr>
        <w:top w:val="none" w:sz="0" w:space="0" w:color="auto"/>
        <w:left w:val="none" w:sz="0" w:space="0" w:color="auto"/>
        <w:bottom w:val="none" w:sz="0" w:space="0" w:color="auto"/>
        <w:right w:val="none" w:sz="0" w:space="0" w:color="auto"/>
      </w:divBdr>
    </w:div>
    <w:div w:id="2006011144">
      <w:bodyDiv w:val="1"/>
      <w:marLeft w:val="0"/>
      <w:marRight w:val="0"/>
      <w:marTop w:val="0"/>
      <w:marBottom w:val="0"/>
      <w:divBdr>
        <w:top w:val="none" w:sz="0" w:space="0" w:color="auto"/>
        <w:left w:val="none" w:sz="0" w:space="0" w:color="auto"/>
        <w:bottom w:val="none" w:sz="0" w:space="0" w:color="auto"/>
        <w:right w:val="none" w:sz="0" w:space="0" w:color="auto"/>
      </w:divBdr>
    </w:div>
    <w:div w:id="2009861603">
      <w:bodyDiv w:val="1"/>
      <w:marLeft w:val="0"/>
      <w:marRight w:val="0"/>
      <w:marTop w:val="0"/>
      <w:marBottom w:val="0"/>
      <w:divBdr>
        <w:top w:val="none" w:sz="0" w:space="0" w:color="auto"/>
        <w:left w:val="none" w:sz="0" w:space="0" w:color="auto"/>
        <w:bottom w:val="none" w:sz="0" w:space="0" w:color="auto"/>
        <w:right w:val="none" w:sz="0" w:space="0" w:color="auto"/>
      </w:divBdr>
    </w:div>
    <w:div w:id="2016808040">
      <w:bodyDiv w:val="1"/>
      <w:marLeft w:val="0"/>
      <w:marRight w:val="0"/>
      <w:marTop w:val="0"/>
      <w:marBottom w:val="0"/>
      <w:divBdr>
        <w:top w:val="none" w:sz="0" w:space="0" w:color="auto"/>
        <w:left w:val="none" w:sz="0" w:space="0" w:color="auto"/>
        <w:bottom w:val="none" w:sz="0" w:space="0" w:color="auto"/>
        <w:right w:val="none" w:sz="0" w:space="0" w:color="auto"/>
      </w:divBdr>
    </w:div>
    <w:div w:id="2021933335">
      <w:bodyDiv w:val="1"/>
      <w:marLeft w:val="0"/>
      <w:marRight w:val="0"/>
      <w:marTop w:val="0"/>
      <w:marBottom w:val="0"/>
      <w:divBdr>
        <w:top w:val="none" w:sz="0" w:space="0" w:color="auto"/>
        <w:left w:val="none" w:sz="0" w:space="0" w:color="auto"/>
        <w:bottom w:val="none" w:sz="0" w:space="0" w:color="auto"/>
        <w:right w:val="none" w:sz="0" w:space="0" w:color="auto"/>
      </w:divBdr>
    </w:div>
    <w:div w:id="2028213964">
      <w:bodyDiv w:val="1"/>
      <w:marLeft w:val="0"/>
      <w:marRight w:val="0"/>
      <w:marTop w:val="0"/>
      <w:marBottom w:val="0"/>
      <w:divBdr>
        <w:top w:val="none" w:sz="0" w:space="0" w:color="auto"/>
        <w:left w:val="none" w:sz="0" w:space="0" w:color="auto"/>
        <w:bottom w:val="none" w:sz="0" w:space="0" w:color="auto"/>
        <w:right w:val="none" w:sz="0" w:space="0" w:color="auto"/>
      </w:divBdr>
    </w:div>
    <w:div w:id="2036954069">
      <w:bodyDiv w:val="1"/>
      <w:marLeft w:val="0"/>
      <w:marRight w:val="0"/>
      <w:marTop w:val="0"/>
      <w:marBottom w:val="0"/>
      <w:divBdr>
        <w:top w:val="none" w:sz="0" w:space="0" w:color="auto"/>
        <w:left w:val="none" w:sz="0" w:space="0" w:color="auto"/>
        <w:bottom w:val="none" w:sz="0" w:space="0" w:color="auto"/>
        <w:right w:val="none" w:sz="0" w:space="0" w:color="auto"/>
      </w:divBdr>
    </w:div>
    <w:div w:id="2059739198">
      <w:bodyDiv w:val="1"/>
      <w:marLeft w:val="0"/>
      <w:marRight w:val="0"/>
      <w:marTop w:val="0"/>
      <w:marBottom w:val="0"/>
      <w:divBdr>
        <w:top w:val="none" w:sz="0" w:space="0" w:color="auto"/>
        <w:left w:val="none" w:sz="0" w:space="0" w:color="auto"/>
        <w:bottom w:val="none" w:sz="0" w:space="0" w:color="auto"/>
        <w:right w:val="none" w:sz="0" w:space="0" w:color="auto"/>
      </w:divBdr>
    </w:div>
    <w:div w:id="2072776023">
      <w:bodyDiv w:val="1"/>
      <w:marLeft w:val="0"/>
      <w:marRight w:val="0"/>
      <w:marTop w:val="0"/>
      <w:marBottom w:val="0"/>
      <w:divBdr>
        <w:top w:val="none" w:sz="0" w:space="0" w:color="auto"/>
        <w:left w:val="none" w:sz="0" w:space="0" w:color="auto"/>
        <w:bottom w:val="none" w:sz="0" w:space="0" w:color="auto"/>
        <w:right w:val="none" w:sz="0" w:space="0" w:color="auto"/>
      </w:divBdr>
    </w:div>
    <w:div w:id="2080785681">
      <w:bodyDiv w:val="1"/>
      <w:marLeft w:val="0"/>
      <w:marRight w:val="0"/>
      <w:marTop w:val="0"/>
      <w:marBottom w:val="0"/>
      <w:divBdr>
        <w:top w:val="none" w:sz="0" w:space="0" w:color="auto"/>
        <w:left w:val="none" w:sz="0" w:space="0" w:color="auto"/>
        <w:bottom w:val="none" w:sz="0" w:space="0" w:color="auto"/>
        <w:right w:val="none" w:sz="0" w:space="0" w:color="auto"/>
      </w:divBdr>
    </w:div>
    <w:div w:id="2081318734">
      <w:bodyDiv w:val="1"/>
      <w:marLeft w:val="0"/>
      <w:marRight w:val="0"/>
      <w:marTop w:val="0"/>
      <w:marBottom w:val="0"/>
      <w:divBdr>
        <w:top w:val="none" w:sz="0" w:space="0" w:color="auto"/>
        <w:left w:val="none" w:sz="0" w:space="0" w:color="auto"/>
        <w:bottom w:val="none" w:sz="0" w:space="0" w:color="auto"/>
        <w:right w:val="none" w:sz="0" w:space="0" w:color="auto"/>
      </w:divBdr>
    </w:div>
    <w:div w:id="2084254799">
      <w:bodyDiv w:val="1"/>
      <w:marLeft w:val="0"/>
      <w:marRight w:val="0"/>
      <w:marTop w:val="0"/>
      <w:marBottom w:val="0"/>
      <w:divBdr>
        <w:top w:val="none" w:sz="0" w:space="0" w:color="auto"/>
        <w:left w:val="none" w:sz="0" w:space="0" w:color="auto"/>
        <w:bottom w:val="none" w:sz="0" w:space="0" w:color="auto"/>
        <w:right w:val="none" w:sz="0" w:space="0" w:color="auto"/>
      </w:divBdr>
    </w:div>
    <w:div w:id="2089692369">
      <w:bodyDiv w:val="1"/>
      <w:marLeft w:val="0"/>
      <w:marRight w:val="0"/>
      <w:marTop w:val="0"/>
      <w:marBottom w:val="0"/>
      <w:divBdr>
        <w:top w:val="none" w:sz="0" w:space="0" w:color="auto"/>
        <w:left w:val="none" w:sz="0" w:space="0" w:color="auto"/>
        <w:bottom w:val="none" w:sz="0" w:space="0" w:color="auto"/>
        <w:right w:val="none" w:sz="0" w:space="0" w:color="auto"/>
      </w:divBdr>
    </w:div>
    <w:div w:id="2100372313">
      <w:bodyDiv w:val="1"/>
      <w:marLeft w:val="0"/>
      <w:marRight w:val="0"/>
      <w:marTop w:val="0"/>
      <w:marBottom w:val="0"/>
      <w:divBdr>
        <w:top w:val="none" w:sz="0" w:space="0" w:color="auto"/>
        <w:left w:val="none" w:sz="0" w:space="0" w:color="auto"/>
        <w:bottom w:val="none" w:sz="0" w:space="0" w:color="auto"/>
        <w:right w:val="none" w:sz="0" w:space="0" w:color="auto"/>
      </w:divBdr>
    </w:div>
    <w:div w:id="2106144964">
      <w:bodyDiv w:val="1"/>
      <w:marLeft w:val="0"/>
      <w:marRight w:val="0"/>
      <w:marTop w:val="0"/>
      <w:marBottom w:val="0"/>
      <w:divBdr>
        <w:top w:val="none" w:sz="0" w:space="0" w:color="auto"/>
        <w:left w:val="none" w:sz="0" w:space="0" w:color="auto"/>
        <w:bottom w:val="none" w:sz="0" w:space="0" w:color="auto"/>
        <w:right w:val="none" w:sz="0" w:space="0" w:color="auto"/>
      </w:divBdr>
    </w:div>
    <w:div w:id="2106342272">
      <w:bodyDiv w:val="1"/>
      <w:marLeft w:val="0"/>
      <w:marRight w:val="0"/>
      <w:marTop w:val="0"/>
      <w:marBottom w:val="0"/>
      <w:divBdr>
        <w:top w:val="none" w:sz="0" w:space="0" w:color="auto"/>
        <w:left w:val="none" w:sz="0" w:space="0" w:color="auto"/>
        <w:bottom w:val="none" w:sz="0" w:space="0" w:color="auto"/>
        <w:right w:val="none" w:sz="0" w:space="0" w:color="auto"/>
      </w:divBdr>
    </w:div>
    <w:div w:id="2107456850">
      <w:bodyDiv w:val="1"/>
      <w:marLeft w:val="0"/>
      <w:marRight w:val="0"/>
      <w:marTop w:val="0"/>
      <w:marBottom w:val="0"/>
      <w:divBdr>
        <w:top w:val="none" w:sz="0" w:space="0" w:color="auto"/>
        <w:left w:val="none" w:sz="0" w:space="0" w:color="auto"/>
        <w:bottom w:val="none" w:sz="0" w:space="0" w:color="auto"/>
        <w:right w:val="none" w:sz="0" w:space="0" w:color="auto"/>
      </w:divBdr>
    </w:div>
    <w:div w:id="2117864101">
      <w:bodyDiv w:val="1"/>
      <w:marLeft w:val="0"/>
      <w:marRight w:val="0"/>
      <w:marTop w:val="0"/>
      <w:marBottom w:val="0"/>
      <w:divBdr>
        <w:top w:val="none" w:sz="0" w:space="0" w:color="auto"/>
        <w:left w:val="none" w:sz="0" w:space="0" w:color="auto"/>
        <w:bottom w:val="none" w:sz="0" w:space="0" w:color="auto"/>
        <w:right w:val="none" w:sz="0" w:space="0" w:color="auto"/>
      </w:divBdr>
    </w:div>
    <w:div w:id="2120637884">
      <w:bodyDiv w:val="1"/>
      <w:marLeft w:val="0"/>
      <w:marRight w:val="0"/>
      <w:marTop w:val="0"/>
      <w:marBottom w:val="0"/>
      <w:divBdr>
        <w:top w:val="none" w:sz="0" w:space="0" w:color="auto"/>
        <w:left w:val="none" w:sz="0" w:space="0" w:color="auto"/>
        <w:bottom w:val="none" w:sz="0" w:space="0" w:color="auto"/>
        <w:right w:val="none" w:sz="0" w:space="0" w:color="auto"/>
      </w:divBdr>
    </w:div>
    <w:div w:id="2122532266">
      <w:bodyDiv w:val="1"/>
      <w:marLeft w:val="0"/>
      <w:marRight w:val="0"/>
      <w:marTop w:val="0"/>
      <w:marBottom w:val="0"/>
      <w:divBdr>
        <w:top w:val="none" w:sz="0" w:space="0" w:color="auto"/>
        <w:left w:val="none" w:sz="0" w:space="0" w:color="auto"/>
        <w:bottom w:val="none" w:sz="0" w:space="0" w:color="auto"/>
        <w:right w:val="none" w:sz="0" w:space="0" w:color="auto"/>
      </w:divBdr>
    </w:div>
    <w:div w:id="2128884635">
      <w:bodyDiv w:val="1"/>
      <w:marLeft w:val="0"/>
      <w:marRight w:val="0"/>
      <w:marTop w:val="0"/>
      <w:marBottom w:val="0"/>
      <w:divBdr>
        <w:top w:val="none" w:sz="0" w:space="0" w:color="auto"/>
        <w:left w:val="none" w:sz="0" w:space="0" w:color="auto"/>
        <w:bottom w:val="none" w:sz="0" w:space="0" w:color="auto"/>
        <w:right w:val="none" w:sz="0" w:space="0" w:color="auto"/>
      </w:divBdr>
    </w:div>
    <w:div w:id="2130974664">
      <w:bodyDiv w:val="1"/>
      <w:marLeft w:val="0"/>
      <w:marRight w:val="0"/>
      <w:marTop w:val="0"/>
      <w:marBottom w:val="0"/>
      <w:divBdr>
        <w:top w:val="none" w:sz="0" w:space="0" w:color="auto"/>
        <w:left w:val="none" w:sz="0" w:space="0" w:color="auto"/>
        <w:bottom w:val="none" w:sz="0" w:space="0" w:color="auto"/>
        <w:right w:val="none" w:sz="0" w:space="0" w:color="auto"/>
      </w:divBdr>
    </w:div>
    <w:div w:id="2133788555">
      <w:bodyDiv w:val="1"/>
      <w:marLeft w:val="0"/>
      <w:marRight w:val="0"/>
      <w:marTop w:val="0"/>
      <w:marBottom w:val="0"/>
      <w:divBdr>
        <w:top w:val="none" w:sz="0" w:space="0" w:color="auto"/>
        <w:left w:val="none" w:sz="0" w:space="0" w:color="auto"/>
        <w:bottom w:val="none" w:sz="0" w:space="0" w:color="auto"/>
        <w:right w:val="none" w:sz="0" w:space="0" w:color="auto"/>
      </w:divBdr>
    </w:div>
    <w:div w:id="2139446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cid:image004.jpg@01D0EBE3.A1DBBB20" TargetMode="External"/><Relationship Id="rId14" Type="http://schemas.microsoft.com/office/2007/relationships/diagramDrawing" Target="diagrams/drawing1.xml"/></Relationships>
</file>

<file path=word/_rels/footnotes.xml.rels><?xml version="1.0" encoding="UTF-8" standalone="yes"?>
<Relationships xmlns="http://schemas.openxmlformats.org/package/2006/relationships"><Relationship Id="rId1" Type="http://schemas.openxmlformats.org/officeDocument/2006/relationships/hyperlink" Target="https://www.citizensadvice.org.uk/Global/CitizensAdvice/Work%20Publications/JustAboutManaging-final.pdf"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7EF08E-55F9-4871-B3FB-8BC02C5D310F}" type="doc">
      <dgm:prSet loTypeId="urn:microsoft.com/office/officeart/2005/8/layout/process1" loCatId="process" qsTypeId="urn:microsoft.com/office/officeart/2005/8/quickstyle/simple1" qsCatId="simple" csTypeId="urn:microsoft.com/office/officeart/2005/8/colors/colorful4" csCatId="colorful" phldr="1"/>
      <dgm:spPr/>
    </dgm:pt>
    <dgm:pt modelId="{9D747C59-6023-4337-83E5-F06B4C9CAB3F}">
      <dgm:prSet phldrT="[Text]"/>
      <dgm:spPr/>
      <dgm:t>
        <a:bodyPr/>
        <a:lstStyle/>
        <a:p>
          <a:r>
            <a:rPr lang="en-GB"/>
            <a:t>Intervention</a:t>
          </a:r>
        </a:p>
      </dgm:t>
    </dgm:pt>
    <dgm:pt modelId="{F6BE8494-57D5-413B-B0FA-5B92CAE613D3}" type="parTrans" cxnId="{C28CF7EB-10F9-418B-AE51-AFDC8236FA18}">
      <dgm:prSet/>
      <dgm:spPr/>
      <dgm:t>
        <a:bodyPr/>
        <a:lstStyle/>
        <a:p>
          <a:endParaRPr lang="en-GB"/>
        </a:p>
      </dgm:t>
    </dgm:pt>
    <dgm:pt modelId="{E532F3AA-1801-4CD5-BAE1-187D454ADF3F}" type="sibTrans" cxnId="{C28CF7EB-10F9-418B-AE51-AFDC8236FA18}">
      <dgm:prSet/>
      <dgm:spPr/>
      <dgm:t>
        <a:bodyPr/>
        <a:lstStyle/>
        <a:p>
          <a:endParaRPr lang="en-GB"/>
        </a:p>
      </dgm:t>
    </dgm:pt>
    <dgm:pt modelId="{646C6B94-4F18-4DCE-AB77-BC82E0E3BDA8}">
      <dgm:prSet phldrT="[Text]"/>
      <dgm:spPr/>
      <dgm:t>
        <a:bodyPr/>
        <a:lstStyle/>
        <a:p>
          <a:r>
            <a:rPr lang="en-GB"/>
            <a:t>Change in aspiration, academic achievement, attitude, belief, behaviour, locus of control or valuing school.</a:t>
          </a:r>
        </a:p>
      </dgm:t>
    </dgm:pt>
    <dgm:pt modelId="{1502DB0A-6FEA-4B00-B35E-DD66726D1A66}" type="parTrans" cxnId="{3D86BE56-E3F2-464C-AA8E-9BD93D33ABB9}">
      <dgm:prSet/>
      <dgm:spPr/>
      <dgm:t>
        <a:bodyPr/>
        <a:lstStyle/>
        <a:p>
          <a:endParaRPr lang="en-GB"/>
        </a:p>
      </dgm:t>
    </dgm:pt>
    <dgm:pt modelId="{E37BB547-DC58-4455-AC17-B1E5F739C2FC}" type="sibTrans" cxnId="{3D86BE56-E3F2-464C-AA8E-9BD93D33ABB9}">
      <dgm:prSet/>
      <dgm:spPr/>
      <dgm:t>
        <a:bodyPr/>
        <a:lstStyle/>
        <a:p>
          <a:endParaRPr lang="en-GB"/>
        </a:p>
      </dgm:t>
    </dgm:pt>
    <dgm:pt modelId="{95EA8733-3BFF-4A42-8968-6DBF3390B3D6}">
      <dgm:prSet phldrT="[Text]"/>
      <dgm:spPr/>
      <dgm:t>
        <a:bodyPr/>
        <a:lstStyle/>
        <a:p>
          <a:r>
            <a:rPr lang="en-GB"/>
            <a:t>Rise in educational achievement</a:t>
          </a:r>
        </a:p>
      </dgm:t>
    </dgm:pt>
    <dgm:pt modelId="{128C7B23-28DA-4F5C-B81D-EEB6D4ACE574}" type="parTrans" cxnId="{554C3209-AF32-42AB-9069-1F43C88F1B42}">
      <dgm:prSet/>
      <dgm:spPr/>
      <dgm:t>
        <a:bodyPr/>
        <a:lstStyle/>
        <a:p>
          <a:endParaRPr lang="en-GB"/>
        </a:p>
      </dgm:t>
    </dgm:pt>
    <dgm:pt modelId="{153D1F8E-30BA-4207-A2B7-4B8335E6FDE5}" type="sibTrans" cxnId="{554C3209-AF32-42AB-9069-1F43C88F1B42}">
      <dgm:prSet/>
      <dgm:spPr/>
      <dgm:t>
        <a:bodyPr/>
        <a:lstStyle/>
        <a:p>
          <a:endParaRPr lang="en-GB"/>
        </a:p>
      </dgm:t>
    </dgm:pt>
    <dgm:pt modelId="{F0B38826-C93A-494A-8170-C4A8692286B7}" type="pres">
      <dgm:prSet presAssocID="{267EF08E-55F9-4871-B3FB-8BC02C5D310F}" presName="Name0" presStyleCnt="0">
        <dgm:presLayoutVars>
          <dgm:dir/>
          <dgm:resizeHandles val="exact"/>
        </dgm:presLayoutVars>
      </dgm:prSet>
      <dgm:spPr/>
    </dgm:pt>
    <dgm:pt modelId="{F59EB074-B34A-4401-BE96-0646FBBB7AF7}" type="pres">
      <dgm:prSet presAssocID="{9D747C59-6023-4337-83E5-F06B4C9CAB3F}" presName="node" presStyleLbl="node1" presStyleIdx="0" presStyleCnt="3">
        <dgm:presLayoutVars>
          <dgm:bulletEnabled val="1"/>
        </dgm:presLayoutVars>
      </dgm:prSet>
      <dgm:spPr/>
      <dgm:t>
        <a:bodyPr/>
        <a:lstStyle/>
        <a:p>
          <a:endParaRPr lang="en-GB"/>
        </a:p>
      </dgm:t>
    </dgm:pt>
    <dgm:pt modelId="{2BC3EF99-5F86-481E-A324-46A4E2CF069A}" type="pres">
      <dgm:prSet presAssocID="{E532F3AA-1801-4CD5-BAE1-187D454ADF3F}" presName="sibTrans" presStyleLbl="sibTrans2D1" presStyleIdx="0" presStyleCnt="2"/>
      <dgm:spPr/>
      <dgm:t>
        <a:bodyPr/>
        <a:lstStyle/>
        <a:p>
          <a:endParaRPr lang="en-GB"/>
        </a:p>
      </dgm:t>
    </dgm:pt>
    <dgm:pt modelId="{6F8C6DAD-A06C-46A0-AB59-006B2DEAFF06}" type="pres">
      <dgm:prSet presAssocID="{E532F3AA-1801-4CD5-BAE1-187D454ADF3F}" presName="connectorText" presStyleLbl="sibTrans2D1" presStyleIdx="0" presStyleCnt="2"/>
      <dgm:spPr/>
      <dgm:t>
        <a:bodyPr/>
        <a:lstStyle/>
        <a:p>
          <a:endParaRPr lang="en-GB"/>
        </a:p>
      </dgm:t>
    </dgm:pt>
    <dgm:pt modelId="{DDE2D0A0-A596-4641-9068-A75CE02B961D}" type="pres">
      <dgm:prSet presAssocID="{646C6B94-4F18-4DCE-AB77-BC82E0E3BDA8}" presName="node" presStyleLbl="node1" presStyleIdx="1" presStyleCnt="3">
        <dgm:presLayoutVars>
          <dgm:bulletEnabled val="1"/>
        </dgm:presLayoutVars>
      </dgm:prSet>
      <dgm:spPr/>
      <dgm:t>
        <a:bodyPr/>
        <a:lstStyle/>
        <a:p>
          <a:endParaRPr lang="en-GB"/>
        </a:p>
      </dgm:t>
    </dgm:pt>
    <dgm:pt modelId="{4E50C848-C683-450A-9C55-2D48E011AD62}" type="pres">
      <dgm:prSet presAssocID="{E37BB547-DC58-4455-AC17-B1E5F739C2FC}" presName="sibTrans" presStyleLbl="sibTrans2D1" presStyleIdx="1" presStyleCnt="2"/>
      <dgm:spPr/>
      <dgm:t>
        <a:bodyPr/>
        <a:lstStyle/>
        <a:p>
          <a:endParaRPr lang="en-GB"/>
        </a:p>
      </dgm:t>
    </dgm:pt>
    <dgm:pt modelId="{FCDB4D6D-7725-43C3-9BA6-C910714220C3}" type="pres">
      <dgm:prSet presAssocID="{E37BB547-DC58-4455-AC17-B1E5F739C2FC}" presName="connectorText" presStyleLbl="sibTrans2D1" presStyleIdx="1" presStyleCnt="2"/>
      <dgm:spPr/>
      <dgm:t>
        <a:bodyPr/>
        <a:lstStyle/>
        <a:p>
          <a:endParaRPr lang="en-GB"/>
        </a:p>
      </dgm:t>
    </dgm:pt>
    <dgm:pt modelId="{73919C67-E793-469B-A817-5682D405A43B}" type="pres">
      <dgm:prSet presAssocID="{95EA8733-3BFF-4A42-8968-6DBF3390B3D6}" presName="node" presStyleLbl="node1" presStyleIdx="2" presStyleCnt="3">
        <dgm:presLayoutVars>
          <dgm:bulletEnabled val="1"/>
        </dgm:presLayoutVars>
      </dgm:prSet>
      <dgm:spPr/>
      <dgm:t>
        <a:bodyPr/>
        <a:lstStyle/>
        <a:p>
          <a:endParaRPr lang="en-GB"/>
        </a:p>
      </dgm:t>
    </dgm:pt>
  </dgm:ptLst>
  <dgm:cxnLst>
    <dgm:cxn modelId="{4300E55E-2A3C-47FF-B7EA-5C69E4A3CBC0}" type="presOf" srcId="{E532F3AA-1801-4CD5-BAE1-187D454ADF3F}" destId="{6F8C6DAD-A06C-46A0-AB59-006B2DEAFF06}" srcOrd="1" destOrd="0" presId="urn:microsoft.com/office/officeart/2005/8/layout/process1"/>
    <dgm:cxn modelId="{205670B7-A623-425A-887D-3F6226F6B9E9}" type="presOf" srcId="{E37BB547-DC58-4455-AC17-B1E5F739C2FC}" destId="{FCDB4D6D-7725-43C3-9BA6-C910714220C3}" srcOrd="1" destOrd="0" presId="urn:microsoft.com/office/officeart/2005/8/layout/process1"/>
    <dgm:cxn modelId="{554C3209-AF32-42AB-9069-1F43C88F1B42}" srcId="{267EF08E-55F9-4871-B3FB-8BC02C5D310F}" destId="{95EA8733-3BFF-4A42-8968-6DBF3390B3D6}" srcOrd="2" destOrd="0" parTransId="{128C7B23-28DA-4F5C-B81D-EEB6D4ACE574}" sibTransId="{153D1F8E-30BA-4207-A2B7-4B8335E6FDE5}"/>
    <dgm:cxn modelId="{3D86BE56-E3F2-464C-AA8E-9BD93D33ABB9}" srcId="{267EF08E-55F9-4871-B3FB-8BC02C5D310F}" destId="{646C6B94-4F18-4DCE-AB77-BC82E0E3BDA8}" srcOrd="1" destOrd="0" parTransId="{1502DB0A-6FEA-4B00-B35E-DD66726D1A66}" sibTransId="{E37BB547-DC58-4455-AC17-B1E5F739C2FC}"/>
    <dgm:cxn modelId="{4C72C0FB-5595-40E2-979F-28160233AF37}" type="presOf" srcId="{646C6B94-4F18-4DCE-AB77-BC82E0E3BDA8}" destId="{DDE2D0A0-A596-4641-9068-A75CE02B961D}" srcOrd="0" destOrd="0" presId="urn:microsoft.com/office/officeart/2005/8/layout/process1"/>
    <dgm:cxn modelId="{F3342542-D556-4E0A-AA9A-5992C4665BFC}" type="presOf" srcId="{E37BB547-DC58-4455-AC17-B1E5F739C2FC}" destId="{4E50C848-C683-450A-9C55-2D48E011AD62}" srcOrd="0" destOrd="0" presId="urn:microsoft.com/office/officeart/2005/8/layout/process1"/>
    <dgm:cxn modelId="{596C2D8F-2D64-4E8D-8439-5309A3404A2B}" type="presOf" srcId="{267EF08E-55F9-4871-B3FB-8BC02C5D310F}" destId="{F0B38826-C93A-494A-8170-C4A8692286B7}" srcOrd="0" destOrd="0" presId="urn:microsoft.com/office/officeart/2005/8/layout/process1"/>
    <dgm:cxn modelId="{80CBFBBA-0163-4756-8BC0-8F58FD5F5E4F}" type="presOf" srcId="{E532F3AA-1801-4CD5-BAE1-187D454ADF3F}" destId="{2BC3EF99-5F86-481E-A324-46A4E2CF069A}" srcOrd="0" destOrd="0" presId="urn:microsoft.com/office/officeart/2005/8/layout/process1"/>
    <dgm:cxn modelId="{E619685E-1657-4DB1-B8D4-C0AE8E357F0C}" type="presOf" srcId="{9D747C59-6023-4337-83E5-F06B4C9CAB3F}" destId="{F59EB074-B34A-4401-BE96-0646FBBB7AF7}" srcOrd="0" destOrd="0" presId="urn:microsoft.com/office/officeart/2005/8/layout/process1"/>
    <dgm:cxn modelId="{C28CF7EB-10F9-418B-AE51-AFDC8236FA18}" srcId="{267EF08E-55F9-4871-B3FB-8BC02C5D310F}" destId="{9D747C59-6023-4337-83E5-F06B4C9CAB3F}" srcOrd="0" destOrd="0" parTransId="{F6BE8494-57D5-413B-B0FA-5B92CAE613D3}" sibTransId="{E532F3AA-1801-4CD5-BAE1-187D454ADF3F}"/>
    <dgm:cxn modelId="{BC8123ED-A0D7-46B7-9774-80A6589E97A4}" type="presOf" srcId="{95EA8733-3BFF-4A42-8968-6DBF3390B3D6}" destId="{73919C67-E793-469B-A817-5682D405A43B}" srcOrd="0" destOrd="0" presId="urn:microsoft.com/office/officeart/2005/8/layout/process1"/>
    <dgm:cxn modelId="{78A52DDB-E39C-469F-8120-5F3DD132CF50}" type="presParOf" srcId="{F0B38826-C93A-494A-8170-C4A8692286B7}" destId="{F59EB074-B34A-4401-BE96-0646FBBB7AF7}" srcOrd="0" destOrd="0" presId="urn:microsoft.com/office/officeart/2005/8/layout/process1"/>
    <dgm:cxn modelId="{8DB5F412-73AB-4CB3-AE8D-C58107CD4374}" type="presParOf" srcId="{F0B38826-C93A-494A-8170-C4A8692286B7}" destId="{2BC3EF99-5F86-481E-A324-46A4E2CF069A}" srcOrd="1" destOrd="0" presId="urn:microsoft.com/office/officeart/2005/8/layout/process1"/>
    <dgm:cxn modelId="{6E73910A-6184-4355-B83C-28E7F50E4A1C}" type="presParOf" srcId="{2BC3EF99-5F86-481E-A324-46A4E2CF069A}" destId="{6F8C6DAD-A06C-46A0-AB59-006B2DEAFF06}" srcOrd="0" destOrd="0" presId="urn:microsoft.com/office/officeart/2005/8/layout/process1"/>
    <dgm:cxn modelId="{A8B841CA-3244-49D0-8895-922CEA3F2823}" type="presParOf" srcId="{F0B38826-C93A-494A-8170-C4A8692286B7}" destId="{DDE2D0A0-A596-4641-9068-A75CE02B961D}" srcOrd="2" destOrd="0" presId="urn:microsoft.com/office/officeart/2005/8/layout/process1"/>
    <dgm:cxn modelId="{83A3C1AA-177D-49EE-8807-2622C39F7876}" type="presParOf" srcId="{F0B38826-C93A-494A-8170-C4A8692286B7}" destId="{4E50C848-C683-450A-9C55-2D48E011AD62}" srcOrd="3" destOrd="0" presId="urn:microsoft.com/office/officeart/2005/8/layout/process1"/>
    <dgm:cxn modelId="{20DE896D-7385-4BD5-8047-B2458E2BE5A1}" type="presParOf" srcId="{4E50C848-C683-450A-9C55-2D48E011AD62}" destId="{FCDB4D6D-7725-43C3-9BA6-C910714220C3}" srcOrd="0" destOrd="0" presId="urn:microsoft.com/office/officeart/2005/8/layout/process1"/>
    <dgm:cxn modelId="{FB260205-3E2B-4AAB-9277-6B3D8E08B0A3}" type="presParOf" srcId="{F0B38826-C93A-494A-8170-C4A8692286B7}" destId="{73919C67-E793-469B-A817-5682D405A43B}" srcOrd="4" destOrd="0" presId="urn:microsoft.com/office/officeart/2005/8/layout/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9EB074-B34A-4401-BE96-0646FBBB7AF7}">
      <dsp:nvSpPr>
        <dsp:cNvPr id="0" name=""/>
        <dsp:cNvSpPr/>
      </dsp:nvSpPr>
      <dsp:spPr>
        <a:xfrm>
          <a:off x="4822" y="0"/>
          <a:ext cx="1441251" cy="81877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Intervention</a:t>
          </a:r>
        </a:p>
      </dsp:txBody>
      <dsp:txXfrm>
        <a:off x="28803" y="23981"/>
        <a:ext cx="1393289" cy="770813"/>
      </dsp:txXfrm>
    </dsp:sp>
    <dsp:sp modelId="{2BC3EF99-5F86-481E-A324-46A4E2CF069A}">
      <dsp:nvSpPr>
        <dsp:cNvPr id="0" name=""/>
        <dsp:cNvSpPr/>
      </dsp:nvSpPr>
      <dsp:spPr>
        <a:xfrm>
          <a:off x="1590198" y="230672"/>
          <a:ext cx="305545" cy="35743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a:off x="1590198" y="302158"/>
        <a:ext cx="213882" cy="214458"/>
      </dsp:txXfrm>
    </dsp:sp>
    <dsp:sp modelId="{DDE2D0A0-A596-4641-9068-A75CE02B961D}">
      <dsp:nvSpPr>
        <dsp:cNvPr id="0" name=""/>
        <dsp:cNvSpPr/>
      </dsp:nvSpPr>
      <dsp:spPr>
        <a:xfrm>
          <a:off x="2022574" y="0"/>
          <a:ext cx="1441251" cy="818775"/>
        </a:xfrm>
        <a:prstGeom prst="roundRect">
          <a:avLst>
            <a:gd name="adj" fmla="val 10000"/>
          </a:avLst>
        </a:prstGeom>
        <a:solidFill>
          <a:schemeClr val="accent4">
            <a:hueOff val="5197846"/>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Change in aspiration, academic achievement, attitude, belief, behaviour, locus of control or valuing school.</a:t>
          </a:r>
        </a:p>
      </dsp:txBody>
      <dsp:txXfrm>
        <a:off x="2046555" y="23981"/>
        <a:ext cx="1393289" cy="770813"/>
      </dsp:txXfrm>
    </dsp:sp>
    <dsp:sp modelId="{4E50C848-C683-450A-9C55-2D48E011AD62}">
      <dsp:nvSpPr>
        <dsp:cNvPr id="0" name=""/>
        <dsp:cNvSpPr/>
      </dsp:nvSpPr>
      <dsp:spPr>
        <a:xfrm>
          <a:off x="3607950" y="230672"/>
          <a:ext cx="305545" cy="357430"/>
        </a:xfrm>
        <a:prstGeom prst="rightArrow">
          <a:avLst>
            <a:gd name="adj1" fmla="val 60000"/>
            <a:gd name="adj2" fmla="val 50000"/>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a:off x="3607950" y="302158"/>
        <a:ext cx="213882" cy="214458"/>
      </dsp:txXfrm>
    </dsp:sp>
    <dsp:sp modelId="{73919C67-E793-469B-A817-5682D405A43B}">
      <dsp:nvSpPr>
        <dsp:cNvPr id="0" name=""/>
        <dsp:cNvSpPr/>
      </dsp:nvSpPr>
      <dsp:spPr>
        <a:xfrm>
          <a:off x="4040326" y="0"/>
          <a:ext cx="1441251" cy="818775"/>
        </a:xfrm>
        <a:prstGeom prst="roundRect">
          <a:avLst>
            <a:gd name="adj" fmla="val 10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Rise in educational achievement</a:t>
          </a:r>
        </a:p>
      </dsp:txBody>
      <dsp:txXfrm>
        <a:off x="4064307" y="23981"/>
        <a:ext cx="1393289" cy="77081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BBC17</b:Tag>
    <b:SourceType>InternetSite</b:SourceType>
    <b:Guid>{0C47959D-A1F3-4D11-B2E2-E43BE6589833}</b:Guid>
    <b:Title>BBC News</b:Title>
    <b:Year>2017</b:Year>
    <b:Author>
      <b:Author>
        <b:Corporate>BBC News</b:Corporate>
      </b:Author>
    </b:Author>
    <b:YearAccessed>2018</b:YearAccessed>
    <b:MonthAccessed>4</b:MonthAccessed>
    <b:DayAccessed>8</b:DayAccessed>
    <b:URL>http://www.bbc.co.uk/news/uk-wales-politics-42152383</b:URL>
    <b:RefOrder>2</b:RefOrder>
  </b:Source>
  <b:Source>
    <b:Tag>Joe07</b:Tag>
    <b:SourceType>InternetSite</b:SourceType>
    <b:Guid>{3265C376-DE1C-4976-B266-78DFFE09634E}</b:Guid>
    <b:Title>A review of research on the links between education adn poverty</b:Title>
    <b:Year>2007</b:Year>
    <b:YearAccessed>2018</b:YearAccessed>
    <b:MonthAccessed>4</b:MonthAccessed>
    <b:DayAccessed>8</b:DayAccessed>
    <b:URL>https://www.jrf.org.uk/report/review-research-links-between-education-and-poverty</b:URL>
    <b:Author>
      <b:Author>
        <b:Corporate>Joesph Rowntree Foundation</b:Corporate>
      </b:Author>
    </b:Author>
    <b:RefOrder>3</b:RefOrder>
  </b:Source>
  <b:Source>
    <b:Tag>BER10</b:Tag>
    <b:SourceType>Report</b:SourceType>
    <b:Guid>{3B02BCB9-FC54-44FC-B1AB-8C87A46C5F4B}</b:Guid>
    <b:Author>
      <b:Author>
        <b:Corporate>BERA</b:Corporate>
      </b:Author>
    </b:Author>
    <b:Title>Socal inequlaity: can schools narrow the gap?</b:Title>
    <b:Year>2010</b:Year>
    <b:Publisher>BERA</b:Publisher>
    <b:City>Macclesfield</b:City>
    <b:RefOrder>4</b:RefOrder>
  </b:Source>
  <b:Source>
    <b:Tag>Gra15</b:Tag>
    <b:SourceType>Report</b:SourceType>
    <b:Guid>{6B7683D6-FB7C-4DAE-A7B5-9C19267762B1}</b:Guid>
    <b:Author>
      <b:Author>
        <b:NameList>
          <b:Person>
            <b:Last>Donaldson</b:Last>
            <b:First>Graham</b:First>
          </b:Person>
        </b:NameList>
      </b:Author>
    </b:Author>
    <b:Title>Successful Futures: Independent review of curriculum and assessment arrangements in Wales </b:Title>
    <b:Year>2015</b:Year>
    <b:Publisher>Welsh Assembly Government</b:Publisher>
    <b:City>Cardiff</b:City>
    <b:RefOrder>6</b:RefOrder>
  </b:Source>
  <b:Source>
    <b:Tag>Fos12</b:Tag>
    <b:SourceType>JournalArticle</b:SourceType>
    <b:Guid>{307B5DDF-1DFA-4BA5-A964-1DDE11B5DB0C}</b:Guid>
    <b:Author>
      <b:Author>
        <b:NameList>
          <b:Person>
            <b:Last>Foster</b:Last>
            <b:First>Brian</b:First>
          </b:Person>
          <b:Person>
            <b:Last>Norton</b:Last>
            <b:First>Peter</b:First>
          </b:Person>
        </b:NameList>
      </b:Author>
    </b:Author>
    <b:Title>Educational Equality fro Gypsy, Roma and Traveller Children and Young People in the UK</b:Title>
    <b:Year>2012</b:Year>
    <b:JournalName>The Equal Rights Review</b:JournalName>
    <b:Pages>85-112</b:Pages>
    <b:Volume>8</b:Volume>
    <b:RefOrder>7</b:RefOrder>
  </b:Source>
  <b:Source>
    <b:Tag>OFS14</b:Tag>
    <b:SourceType>Report</b:SourceType>
    <b:Guid>{179669CF-ACA1-41FC-84FA-AEAE94C7B2B2}</b:Guid>
    <b:Title>Overcoming barriers - ensuring that Roma children are fully engaged and achieving in education</b:Title>
    <b:Year>2014</b:Year>
    <b:Author>
      <b:Author>
        <b:Corporate>OFSTED</b:Corporate>
      </b:Author>
    </b:Author>
    <b:Publisher>HMSO</b:Publisher>
    <b:City>London</b:City>
    <b:RefOrder>8</b:RefOrder>
  </b:Source>
  <b:Source>
    <b:Tag>Wel17</b:Tag>
    <b:SourceType>Report</b:SourceType>
    <b:Guid>{B0E54537-E6D4-4807-B6AA-37912EE3F62A}</b:Guid>
    <b:Author>
      <b:Author>
        <b:Corporate>Welsh Assembly Government</b:Corporate>
      </b:Author>
    </b:Author>
    <b:Title>Evaluation of the Pupil Deprevation Grant</b:Title>
    <b:Year>2017</b:Year>
    <b:Publisher>HMSO</b:Publisher>
    <b:City>Cardiff</b:City>
    <b:RefOrder>9</b:RefOrder>
  </b:Source>
  <b:Source>
    <b:Tag>Edu16</b:Tag>
    <b:SourceType>InternetSite</b:SourceType>
    <b:Guid>{4019963A-E571-48A6-AD3C-E6874D543820}</b:Guid>
    <b:Title>Transparency Data: Pupil premium 2015-2016 conditions of grant</b:Title>
    <b:Year>2016</b:Year>
    <b:Author>
      <b:Author>
        <b:Corporate>Education Funding Agency</b:Corporate>
      </b:Author>
    </b:Author>
    <b:YearAccessed>2018</b:YearAccessed>
    <b:MonthAccessed>4</b:MonthAccessed>
    <b:DayAccessed>9</b:DayAccessed>
    <b:URL>https://www.gov.uk/government/publications/pupil-premium-2015-to-2016-allocations/pupil-premium-2015-to-2016-conditions-of-grant</b:URL>
    <b:RefOrder>10</b:RefOrder>
  </b:Source>
  <b:Source>
    <b:Tag>USC18</b:Tag>
    <b:SourceType>InternetSite</b:SourceType>
    <b:Guid>{BB02A18D-6A77-464F-9B30-A8C1EC46207C}</b:Guid>
    <b:Author>
      <b:Author>
        <b:Corporate>USC</b:Corporate>
      </b:Author>
    </b:Author>
    <b:Title>Organising Your Social Science Research Paper: 6. The Methodology</b:Title>
    <b:Year>2018</b:Year>
    <b:YearAccessed>2018</b:YearAccessed>
    <b:MonthAccessed>4</b:MonthAccessed>
    <b:DayAccessed>11</b:DayAccessed>
    <b:URL>http://libguides.usc.edu/writingguide/methodology</b:URL>
    <b:RefOrder>11</b:RefOrder>
  </b:Source>
  <b:Source>
    <b:Tag>Sch18</b:Tag>
    <b:SourceType>Report</b:SourceType>
    <b:Guid>{A3A862F5-FBD5-48E8-B8F9-29DB39755DE1}</b:Guid>
    <b:Author>
      <b:Author>
        <b:Corporate>School X</b:Corporate>
      </b:Author>
    </b:Author>
    <b:Title>SWOT Analysis of Pupil Mobility Rates</b:Title>
    <b:Year>2018</b:Year>
    <b:Publisher>Internal Document</b:Publisher>
    <b:RefOrder>12</b:RefOrder>
  </b:Source>
  <b:Source>
    <b:Tag>Wel14</b:Tag>
    <b:SourceType>Report</b:SourceType>
    <b:Guid>{7719C4D3-A225-4F11-833B-14E7FB5E12F3}</b:Guid>
    <b:Author>
      <b:Author>
        <b:Corporate>Wales Centre for Equity in Eduation</b:Corporate>
      </b:Author>
    </b:Author>
    <b:Title>Making effective use of the Pupil Deprevation Grant: A resource for education leaders and practitioners</b:Title>
    <b:Year>2014</b:Year>
    <b:Publisher>University of Wales Press</b:Publisher>
    <b:City>Cardiff</b:City>
    <b:RefOrder>5</b:RefOrder>
  </b:Source>
  <b:Source>
    <b:Tag>Sch181</b:Tag>
    <b:SourceType>Report</b:SourceType>
    <b:Guid>{8A76D878-7363-4126-9E99-EEB23B89ACFE}</b:Guid>
    <b:Author>
      <b:Author>
        <b:Corporate>School X</b:Corporate>
      </b:Author>
    </b:Author>
    <b:Title>School Improvement Plan</b:Title>
    <b:Year>2017-18</b:Year>
    <b:Publisher>School X</b:Publisher>
    <b:RefOrder>13</b:RefOrder>
  </b:Source>
  <b:Source>
    <b:Tag>Est12</b:Tag>
    <b:SourceType>Report</b:SourceType>
    <b:Guid>{6CDC37B3-F3D2-47FE-A097-C147CEF64E8E}</b:Guid>
    <b:Author>
      <b:Author>
        <b:Corporate>Estyn</b:Corporate>
      </b:Author>
    </b:Author>
    <b:Title>Tackling Poverty and Disadvantage in Schools</b:Title>
    <b:Year>2012</b:Year>
    <b:Publisher>HMSO</b:Publisher>
    <b:City>Cardiff</b:City>
    <b:RefOrder>14</b:RefOrder>
  </b:Source>
  <b:Source>
    <b:Tag>All17</b:Tag>
    <b:SourceType>Report</b:SourceType>
    <b:Guid>{DE0BC5F6-9E1E-4D91-8704-EBBD7B905CD9}</b:Guid>
    <b:Author>
      <b:Author>
        <b:Corporate>All Wales Core Data Set</b:Corporate>
      </b:Author>
    </b:Author>
    <b:Title>School X Attendence</b:Title>
    <b:Year>2016-17</b:Year>
    <b:Publisher>WAG</b:Publisher>
    <b:RefOrder>22</b:RefOrder>
  </b:Source>
  <b:Source>
    <b:Tag>Bri11</b:Tag>
    <b:SourceType>InternetSite</b:SourceType>
    <b:Guid>{EACEA735-2178-4509-814B-42C47B1B347F}</b:Guid>
    <b:Title>Ethics and Guidelines for Educational Research</b:Title>
    <b:Year>2011</b:Year>
    <b:Author>
      <b:Author>
        <b:Corporate>British Educational Research Association BERA</b:Corporate>
      </b:Author>
    </b:Author>
    <b:InternetSiteTitle>BERA</b:InternetSiteTitle>
    <b:URL>http://content.yudu.com/Library/A2xnp5/Bera/resources/index.htm?referrerUrl=http://free.yudu.com/item/details/2023387/Bera</b:URL>
    <b:RefOrder>1</b:RefOrder>
  </b:Source>
  <b:Source>
    <b:Tag>Edu12</b:Tag>
    <b:SourceType>InternetSite</b:SourceType>
    <b:Guid>{9A80BD09-FB40-4EC1-9901-3FD9194F8438}</b:Guid>
    <b:Title>Teaching and Learning Toolkit</b:Title>
    <b:Year>2012</b:Year>
    <b:Author>
      <b:Author>
        <b:Corporate>Education Endownment Fund</b:Corporate>
      </b:Author>
    </b:Author>
    <b:YearAccessed>2018</b:YearAccessed>
    <b:MonthAccessed>4</b:MonthAccessed>
    <b:DayAccessed>12</b:DayAccessed>
    <b:URL>https://educationendowmentfoundation.org.uk/evidence-summaries/teaching-learning-toolkit</b:URL>
    <b:RefOrder>15</b:RefOrder>
  </b:Source>
  <b:Source>
    <b:Tag>Dep14</b:Tag>
    <b:SourceType>InternetSite</b:SourceType>
    <b:Guid>{2263EBA7-474D-4D7E-9CCE-1A2EEBFAF971}</b:Guid>
    <b:Author>
      <b:Author>
        <b:Corporate>Department for Education</b:Corporate>
      </b:Author>
    </b:Author>
    <b:Title>Gypsy, Roma and Traveller pupils: supporting access to education</b:Title>
    <b:Year>2014</b:Year>
    <b:YearAccessed>2018</b:YearAccessed>
    <b:MonthAccessed>04</b:MonthAccessed>
    <b:DayAccessed>12</b:DayAccessed>
    <b:URL>https://www.gov.uk/government/case-studies/gypsy-roma-and-traveller-pupils-supporting-access-to-education</b:URL>
    <b:RefOrder>16</b:RefOrder>
  </b:Source>
  <b:Source>
    <b:Tag>Dep10</b:Tag>
    <b:SourceType>Report</b:SourceType>
    <b:Guid>{3BD0FFD3-FF91-4872-871A-CA7940679CB5}</b:Guid>
    <b:Author>
      <b:Author>
        <b:Corporate>Department for Education</b:Corporate>
      </b:Author>
    </b:Author>
    <b:Title>Improving the outcomes for Gypsy, Roma and Traveller pupils: final report</b:Title>
    <b:Year>2010</b:Year>
    <b:Publisher>HMSO</b:Publisher>
    <b:City>London</b:City>
    <b:RefOrder>17</b:RefOrder>
  </b:Source>
  <b:Source>
    <b:Tag>Joe12</b:Tag>
    <b:SourceType>Report</b:SourceType>
    <b:Guid>{40322568-9F9B-499D-BCC7-366CD801DFB1}</b:Guid>
    <b:Author>
      <b:Author>
        <b:Corporate>Joesph Rowntree Foundation</b:Corporate>
      </b:Author>
    </b:Author>
    <b:Title>Can changing aspirations and attitudes impact on eductaional attainment? A review of interventions</b:Title>
    <b:Year>2012</b:Year>
    <b:Publisher>JRF</b:Publisher>
    <b:City>York</b:City>
    <b:RefOrder>18</b:RefOrder>
  </b:Source>
  <b:Source>
    <b:Tag>Cen10</b:Tag>
    <b:SourceType>Report</b:SourceType>
    <b:Guid>{DC6DE23C-219D-488A-B1A2-A99D4DB11027}</b:Guid>
    <b:Author>
      <b:Author>
        <b:Corporate>Centre for Excellence and Outcomes in Children and Young People's Services</b:Corporate>
      </b:Author>
    </b:Author>
    <b:Title>Narrowing the gap in educational achievement and improving emotional resilience for children and young people with additional needs</b:Title>
    <b:Year>2010</b:Year>
    <b:Publisher>C4EO</b:Publisher>
    <b:City>London</b:City>
    <b:RefOrder>19</b:RefOrder>
  </b:Source>
  <b:Source>
    <b:Tag>Wel171</b:Tag>
    <b:SourceType>Report</b:SourceType>
    <b:Guid>{172E06B3-9243-4C52-976F-8AEBE178C3A5}</b:Guid>
    <b:Author>
      <b:Author>
        <b:Corporate>Welsh Assembly Government </b:Corporate>
      </b:Author>
    </b:Author>
    <b:Title>Guidence for using the Pupil Deprevation Grant: What really works? </b:Title>
    <b:Year>2017</b:Year>
    <b:Publisher>WAG</b:Publisher>
    <b:City>Cardiff</b:City>
    <b:RefOrder>20</b:RefOrder>
  </b:Source>
  <b:Source>
    <b:Tag>BBC171</b:Tag>
    <b:SourceType>InternetSite</b:SourceType>
    <b:Guid>{5A83A217-FC84-4C5E-B8BC-BB32D09210AD}</b:Guid>
    <b:Title>Scrapped School Challenge Cymru Scheme 'was remarkable'</b:Title>
    <b:Year>2017</b:Year>
    <b:Author>
      <b:Author>
        <b:Corporate>BBC News</b:Corporate>
      </b:Author>
    </b:Author>
    <b:YearAccessed>2018</b:YearAccessed>
    <b:MonthAccessed>4</b:MonthAccessed>
    <b:DayAccessed>12</b:DayAccessed>
    <b:URL>http://www.bbc.co.uk/news/uk-wales-politics-40433092</b:URL>
    <b:RefOrder>21</b:RefOrder>
  </b:Source>
</b:Sources>
</file>

<file path=customXml/itemProps1.xml><?xml version="1.0" encoding="utf-8"?>
<ds:datastoreItem xmlns:ds="http://schemas.openxmlformats.org/officeDocument/2006/customXml" ds:itemID="{7CC1E258-F104-47EB-B234-39C068E7F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3478</TotalTime>
  <Pages>16</Pages>
  <Words>6430</Words>
  <Characters>36655</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D Herbert</dc:creator>
  <cp:keywords/>
  <dc:description/>
  <cp:lastModifiedBy>Mr D Herbert</cp:lastModifiedBy>
  <cp:revision>53</cp:revision>
  <dcterms:created xsi:type="dcterms:W3CDTF">2018-04-07T17:17:00Z</dcterms:created>
  <dcterms:modified xsi:type="dcterms:W3CDTF">2018-04-13T12:57:00Z</dcterms:modified>
</cp:coreProperties>
</file>