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632EA" w:rsidRPr="00711519" w:rsidRDefault="002632EA" w:rsidP="00711519">
      <w:pPr>
        <w:pStyle w:val="q"/>
        <w:spacing w:line="360" w:lineRule="auto"/>
        <w:ind w:left="0" w:firstLine="0"/>
        <w:rPr>
          <w:rFonts w:ascii="Times New Roman" w:hAnsi="Times New Roman"/>
          <w:b w:val="0"/>
          <w:sz w:val="28"/>
          <w:szCs w:val="24"/>
          <w:u w:val="single"/>
        </w:rPr>
      </w:pPr>
      <w:r w:rsidRPr="00711519">
        <w:rPr>
          <w:rFonts w:ascii="Times New Roman" w:hAnsi="Times New Roman"/>
          <w:b w:val="0"/>
          <w:bCs/>
          <w:sz w:val="28"/>
          <w:szCs w:val="24"/>
          <w:u w:val="single"/>
        </w:rPr>
        <w:t xml:space="preserve">How useful is the Bayeux Tapestry as a source for the events </w:t>
      </w:r>
      <w:r w:rsidR="005165D0" w:rsidRPr="00711519">
        <w:rPr>
          <w:rFonts w:ascii="Times New Roman" w:hAnsi="Times New Roman"/>
          <w:b w:val="0"/>
          <w:bCs/>
          <w:sz w:val="28"/>
          <w:szCs w:val="24"/>
          <w:u w:val="single"/>
        </w:rPr>
        <w:t xml:space="preserve">surrounding the Norman invasion </w:t>
      </w:r>
      <w:r w:rsidRPr="00711519">
        <w:rPr>
          <w:rFonts w:ascii="Times New Roman" w:hAnsi="Times New Roman"/>
          <w:b w:val="0"/>
          <w:bCs/>
          <w:sz w:val="28"/>
          <w:szCs w:val="24"/>
          <w:u w:val="single"/>
        </w:rPr>
        <w:t>of England?</w:t>
      </w:r>
    </w:p>
    <w:p w:rsidR="00DF7494" w:rsidRPr="0037441E" w:rsidRDefault="0039793B">
      <w:pPr>
        <w:rPr>
          <w:sz w:val="22"/>
        </w:rPr>
      </w:pPr>
      <w:r w:rsidRPr="0037441E">
        <w:rPr>
          <w:sz w:val="22"/>
        </w:rPr>
        <w:tab/>
      </w:r>
    </w:p>
    <w:p w:rsidR="00BF077F" w:rsidRPr="0037441E" w:rsidRDefault="006572C4" w:rsidP="008A537C">
      <w:pPr>
        <w:spacing w:after="240" w:line="360" w:lineRule="auto"/>
        <w:ind w:firstLine="720"/>
        <w:jc w:val="both"/>
        <w:rPr>
          <w:sz w:val="22"/>
        </w:rPr>
      </w:pPr>
      <w:r w:rsidRPr="0037441E">
        <w:rPr>
          <w:sz w:val="22"/>
        </w:rPr>
        <w:t xml:space="preserve">The Bayeux Tapestry is perhaps one of the most well-known </w:t>
      </w:r>
      <w:r w:rsidR="00A935F7" w:rsidRPr="0037441E">
        <w:rPr>
          <w:sz w:val="22"/>
        </w:rPr>
        <w:t>sources for</w:t>
      </w:r>
      <w:r w:rsidRPr="0037441E">
        <w:rPr>
          <w:sz w:val="22"/>
        </w:rPr>
        <w:t xml:space="preserve"> the Norman invasion of England in 1066. However</w:t>
      </w:r>
      <w:r w:rsidR="008929EF" w:rsidRPr="0037441E">
        <w:rPr>
          <w:sz w:val="22"/>
        </w:rPr>
        <w:t>,</w:t>
      </w:r>
      <w:r w:rsidRPr="0037441E">
        <w:rPr>
          <w:sz w:val="22"/>
        </w:rPr>
        <w:t xml:space="preserve"> this is in no way the most reliable source </w:t>
      </w:r>
      <w:r w:rsidR="002916C5" w:rsidRPr="0037441E">
        <w:rPr>
          <w:sz w:val="22"/>
        </w:rPr>
        <w:t>for</w:t>
      </w:r>
      <w:r w:rsidRPr="0037441E">
        <w:rPr>
          <w:sz w:val="22"/>
        </w:rPr>
        <w:t xml:space="preserve"> the events of late September and October in </w:t>
      </w:r>
      <w:r w:rsidR="00995301" w:rsidRPr="0037441E">
        <w:rPr>
          <w:sz w:val="22"/>
        </w:rPr>
        <w:t>that year</w:t>
      </w:r>
      <w:r w:rsidRPr="0037441E">
        <w:rPr>
          <w:sz w:val="22"/>
        </w:rPr>
        <w:t>.</w:t>
      </w:r>
      <w:r w:rsidR="00C60425" w:rsidRPr="0037441E">
        <w:rPr>
          <w:sz w:val="22"/>
        </w:rPr>
        <w:t xml:space="preserve"> The tapestry covers a period from roughly 1064 to 1066 and therefore contains a large amount of detail surrounding the invasion</w:t>
      </w:r>
      <w:r w:rsidR="002916C5" w:rsidRPr="0037441E">
        <w:rPr>
          <w:sz w:val="22"/>
        </w:rPr>
        <w:t xml:space="preserve"> in a relatively small space</w:t>
      </w:r>
      <w:r w:rsidR="00C60425" w:rsidRPr="0037441E">
        <w:rPr>
          <w:sz w:val="22"/>
        </w:rPr>
        <w:t>.</w:t>
      </w:r>
      <w:r w:rsidRPr="0037441E">
        <w:rPr>
          <w:sz w:val="22"/>
        </w:rPr>
        <w:t xml:space="preserve"> Given the level of</w:t>
      </w:r>
      <w:r w:rsidR="005E35EF" w:rsidRPr="0037441E">
        <w:rPr>
          <w:sz w:val="22"/>
        </w:rPr>
        <w:t xml:space="preserve"> detail throughout the tapestry, it has received a high level of scrutiny amongst the academic community regarding its origins and accuracy. </w:t>
      </w:r>
      <w:r w:rsidR="004345C8" w:rsidRPr="0037441E">
        <w:rPr>
          <w:sz w:val="22"/>
        </w:rPr>
        <w:t xml:space="preserve">In order to gain </w:t>
      </w:r>
      <w:r w:rsidR="004345C8" w:rsidRPr="00084E44">
        <w:rPr>
          <w:noProof/>
          <w:sz w:val="22"/>
        </w:rPr>
        <w:t>a more</w:t>
      </w:r>
      <w:r w:rsidR="005E35EF" w:rsidRPr="00084E44">
        <w:rPr>
          <w:noProof/>
          <w:sz w:val="22"/>
        </w:rPr>
        <w:t xml:space="preserve"> complete</w:t>
      </w:r>
      <w:r w:rsidR="005E35EF" w:rsidRPr="0037441E">
        <w:rPr>
          <w:sz w:val="22"/>
        </w:rPr>
        <w:t xml:space="preserve"> understanding of the usefulness of the Bayeux Tapestry as a source for the events surrounding the Norman invasion of England, a </w:t>
      </w:r>
      <w:r w:rsidR="00995301" w:rsidRPr="0037441E">
        <w:rPr>
          <w:sz w:val="22"/>
        </w:rPr>
        <w:t xml:space="preserve">select number of depicted events </w:t>
      </w:r>
      <w:r w:rsidR="005E35EF" w:rsidRPr="0037441E">
        <w:rPr>
          <w:sz w:val="22"/>
        </w:rPr>
        <w:t xml:space="preserve">will be assessed, rather than the tapestry as a </w:t>
      </w:r>
      <w:r w:rsidR="00BC273D" w:rsidRPr="0037441E">
        <w:rPr>
          <w:sz w:val="22"/>
        </w:rPr>
        <w:t>whole. T</w:t>
      </w:r>
      <w:r w:rsidR="005E35EF" w:rsidRPr="0037441E">
        <w:rPr>
          <w:sz w:val="22"/>
        </w:rPr>
        <w:t>hese events will be</w:t>
      </w:r>
      <w:r w:rsidR="006A438A">
        <w:rPr>
          <w:sz w:val="22"/>
        </w:rPr>
        <w:t>;</w:t>
      </w:r>
      <w:r w:rsidR="005E35EF" w:rsidRPr="0037441E">
        <w:rPr>
          <w:sz w:val="22"/>
        </w:rPr>
        <w:t xml:space="preserve"> the construction </w:t>
      </w:r>
      <w:r w:rsidR="0039793B" w:rsidRPr="0037441E">
        <w:rPr>
          <w:sz w:val="22"/>
        </w:rPr>
        <w:t xml:space="preserve">of the boats </w:t>
      </w:r>
      <w:r w:rsidR="005E35EF" w:rsidRPr="0037441E">
        <w:rPr>
          <w:sz w:val="22"/>
        </w:rPr>
        <w:t>and</w:t>
      </w:r>
      <w:r w:rsidR="0039793B" w:rsidRPr="0037441E">
        <w:rPr>
          <w:sz w:val="22"/>
        </w:rPr>
        <w:t xml:space="preserve"> period of waiting </w:t>
      </w:r>
      <w:r w:rsidR="002916C5" w:rsidRPr="0037441E">
        <w:rPr>
          <w:sz w:val="22"/>
        </w:rPr>
        <w:t>prior to</w:t>
      </w:r>
      <w:r w:rsidR="0039793B" w:rsidRPr="0037441E">
        <w:rPr>
          <w:sz w:val="22"/>
        </w:rPr>
        <w:t xml:space="preserve"> the</w:t>
      </w:r>
      <w:r w:rsidR="005E35EF" w:rsidRPr="0037441E">
        <w:rPr>
          <w:sz w:val="22"/>
        </w:rPr>
        <w:t xml:space="preserve"> beginning of the invasion, the Battle of Hastings itself, including an assessment of the portrayal of King Harold</w:t>
      </w:r>
      <w:r w:rsidR="005D2D0A" w:rsidRPr="0037441E">
        <w:rPr>
          <w:sz w:val="22"/>
        </w:rPr>
        <w:t>’s death</w:t>
      </w:r>
      <w:r w:rsidR="005E35EF" w:rsidRPr="0037441E">
        <w:rPr>
          <w:sz w:val="22"/>
        </w:rPr>
        <w:t xml:space="preserve"> and </w:t>
      </w:r>
      <w:r w:rsidR="005D2D0A" w:rsidRPr="0037441E">
        <w:rPr>
          <w:sz w:val="22"/>
        </w:rPr>
        <w:t>the two opposing forces</w:t>
      </w:r>
      <w:r w:rsidR="00995301" w:rsidRPr="0037441E">
        <w:rPr>
          <w:sz w:val="22"/>
        </w:rPr>
        <w:t xml:space="preserve"> make-up</w:t>
      </w:r>
      <w:r w:rsidR="005E35EF" w:rsidRPr="0037441E">
        <w:rPr>
          <w:sz w:val="22"/>
        </w:rPr>
        <w:t>, and finally the aftermath of the battle and William the Bastard</w:t>
      </w:r>
      <w:r w:rsidR="005D2D0A" w:rsidRPr="0037441E">
        <w:rPr>
          <w:sz w:val="22"/>
        </w:rPr>
        <w:t>’</w:t>
      </w:r>
      <w:r w:rsidR="005E35EF" w:rsidRPr="0037441E">
        <w:rPr>
          <w:sz w:val="22"/>
        </w:rPr>
        <w:t xml:space="preserve">s subsequent </w:t>
      </w:r>
      <w:r w:rsidR="004345C8" w:rsidRPr="0037441E">
        <w:rPr>
          <w:sz w:val="22"/>
        </w:rPr>
        <w:t>conquest</w:t>
      </w:r>
      <w:r w:rsidR="005D2D0A" w:rsidRPr="0037441E">
        <w:rPr>
          <w:sz w:val="22"/>
        </w:rPr>
        <w:t xml:space="preserve"> of England.</w:t>
      </w:r>
      <w:r w:rsidR="005E35EF" w:rsidRPr="0037441E">
        <w:rPr>
          <w:sz w:val="22"/>
        </w:rPr>
        <w:t xml:space="preserve"> </w:t>
      </w:r>
      <w:r w:rsidR="00C60425" w:rsidRPr="0037441E">
        <w:rPr>
          <w:sz w:val="22"/>
        </w:rPr>
        <w:t>The period before the final moments in the lead up to William’s invasion will not be assessed, given the varying sources recounts of the aforementioned events.</w:t>
      </w:r>
    </w:p>
    <w:p w:rsidR="005D2D0A" w:rsidRPr="0037441E" w:rsidRDefault="005D2D0A" w:rsidP="008A537C">
      <w:pPr>
        <w:spacing w:after="240" w:line="360" w:lineRule="auto"/>
        <w:ind w:firstLine="720"/>
        <w:jc w:val="both"/>
        <w:rPr>
          <w:sz w:val="22"/>
        </w:rPr>
      </w:pPr>
      <w:r w:rsidRPr="0037441E">
        <w:rPr>
          <w:sz w:val="22"/>
        </w:rPr>
        <w:t xml:space="preserve">There are many available sources concerning the Norman invasion of England in 1066, however, only a </w:t>
      </w:r>
      <w:r w:rsidR="004345C8" w:rsidRPr="0037441E">
        <w:rPr>
          <w:sz w:val="22"/>
        </w:rPr>
        <w:t>few will be used</w:t>
      </w:r>
      <w:r w:rsidRPr="0037441E">
        <w:rPr>
          <w:sz w:val="22"/>
        </w:rPr>
        <w:t xml:space="preserve"> </w:t>
      </w:r>
      <w:r w:rsidR="002916C5" w:rsidRPr="0037441E">
        <w:rPr>
          <w:sz w:val="22"/>
        </w:rPr>
        <w:t xml:space="preserve">within this essay in order to </w:t>
      </w:r>
      <w:r w:rsidRPr="0037441E">
        <w:rPr>
          <w:sz w:val="22"/>
        </w:rPr>
        <w:t xml:space="preserve">understand the ways in which the invasion was presented in written form, </w:t>
      </w:r>
      <w:r w:rsidR="004345C8" w:rsidRPr="0037441E">
        <w:rPr>
          <w:sz w:val="22"/>
        </w:rPr>
        <w:t>which will</w:t>
      </w:r>
      <w:r w:rsidRPr="0037441E">
        <w:rPr>
          <w:sz w:val="22"/>
        </w:rPr>
        <w:t xml:space="preserve"> be directly compared to the events depicted upon the Bayeux Tapestry. The sources that shall be assessed with the tapestry are</w:t>
      </w:r>
      <w:r w:rsidR="004345C8" w:rsidRPr="0037441E">
        <w:rPr>
          <w:sz w:val="22"/>
        </w:rPr>
        <w:t>;</w:t>
      </w:r>
      <w:r w:rsidRPr="0037441E">
        <w:rPr>
          <w:sz w:val="22"/>
        </w:rPr>
        <w:t xml:space="preserve"> the </w:t>
      </w:r>
      <w:r w:rsidRPr="0037441E">
        <w:rPr>
          <w:i/>
          <w:sz w:val="22"/>
        </w:rPr>
        <w:t>Gesta Normannorum Ducum</w:t>
      </w:r>
      <w:r w:rsidRPr="0037441E">
        <w:rPr>
          <w:sz w:val="22"/>
        </w:rPr>
        <w:t xml:space="preserve"> written by William of Jumi</w:t>
      </w:r>
      <w:r w:rsidRPr="0037441E">
        <w:rPr>
          <w:bCs/>
          <w:color w:val="450C02"/>
          <w:sz w:val="22"/>
        </w:rPr>
        <w:t>èges</w:t>
      </w:r>
      <w:r w:rsidRPr="0037441E">
        <w:rPr>
          <w:sz w:val="22"/>
        </w:rPr>
        <w:t xml:space="preserve"> and later amended and added to by</w:t>
      </w:r>
      <w:r w:rsidR="005977F0" w:rsidRPr="0037441E">
        <w:rPr>
          <w:sz w:val="22"/>
        </w:rPr>
        <w:t xml:space="preserve"> Orderic Vitali</w:t>
      </w:r>
      <w:r w:rsidRPr="0037441E">
        <w:rPr>
          <w:sz w:val="22"/>
        </w:rPr>
        <w:t xml:space="preserve">s, the </w:t>
      </w:r>
      <w:r w:rsidRPr="0037441E">
        <w:rPr>
          <w:i/>
          <w:sz w:val="22"/>
        </w:rPr>
        <w:t>Gesta Willelmi</w:t>
      </w:r>
      <w:r w:rsidRPr="0037441E">
        <w:rPr>
          <w:sz w:val="22"/>
        </w:rPr>
        <w:t xml:space="preserve"> by William of Poitiers, the </w:t>
      </w:r>
      <w:r w:rsidRPr="0037441E">
        <w:rPr>
          <w:i/>
          <w:sz w:val="22"/>
        </w:rPr>
        <w:t>Gesta Regum Anglorum</w:t>
      </w:r>
      <w:r w:rsidRPr="0037441E">
        <w:rPr>
          <w:sz w:val="22"/>
        </w:rPr>
        <w:t xml:space="preserve"> by William of Malmesbury</w:t>
      </w:r>
      <w:r w:rsidR="00930597" w:rsidRPr="0037441E">
        <w:rPr>
          <w:sz w:val="22"/>
        </w:rPr>
        <w:t xml:space="preserve">, </w:t>
      </w:r>
      <w:r w:rsidR="00995301" w:rsidRPr="0037441E">
        <w:rPr>
          <w:sz w:val="22"/>
        </w:rPr>
        <w:t xml:space="preserve">Amatus of Montecassino’s </w:t>
      </w:r>
      <w:r w:rsidR="00995301" w:rsidRPr="0037441E">
        <w:rPr>
          <w:i/>
          <w:sz w:val="22"/>
        </w:rPr>
        <w:t xml:space="preserve">The History of the Normans </w:t>
      </w:r>
      <w:r w:rsidR="00930597" w:rsidRPr="0037441E">
        <w:rPr>
          <w:sz w:val="22"/>
        </w:rPr>
        <w:t xml:space="preserve">and the Anglo-Saxon Chronicle where applicable. </w:t>
      </w:r>
    </w:p>
    <w:p w:rsidR="00BA6EF0" w:rsidRPr="0037441E" w:rsidRDefault="00103CFA" w:rsidP="008A537C">
      <w:pPr>
        <w:spacing w:after="240" w:line="360" w:lineRule="auto"/>
        <w:ind w:firstLine="720"/>
        <w:jc w:val="both"/>
        <w:rPr>
          <w:sz w:val="22"/>
        </w:rPr>
      </w:pPr>
      <w:r w:rsidRPr="0037441E">
        <w:rPr>
          <w:sz w:val="22"/>
        </w:rPr>
        <w:t xml:space="preserve">Many of the sources surrounding the events </w:t>
      </w:r>
      <w:r w:rsidR="004345C8" w:rsidRPr="0037441E">
        <w:rPr>
          <w:sz w:val="22"/>
        </w:rPr>
        <w:t>of</w:t>
      </w:r>
      <w:r w:rsidRPr="0037441E">
        <w:rPr>
          <w:sz w:val="22"/>
        </w:rPr>
        <w:t xml:space="preserve"> the invasion support the Norman</w:t>
      </w:r>
      <w:r w:rsidR="00BF077F" w:rsidRPr="0037441E">
        <w:rPr>
          <w:sz w:val="22"/>
        </w:rPr>
        <w:t>s</w:t>
      </w:r>
      <w:r w:rsidR="00EB2FD6" w:rsidRPr="0037441E">
        <w:rPr>
          <w:sz w:val="22"/>
        </w:rPr>
        <w:t>’</w:t>
      </w:r>
      <w:r w:rsidR="00BF077F" w:rsidRPr="0037441E">
        <w:rPr>
          <w:sz w:val="22"/>
        </w:rPr>
        <w:t xml:space="preserve"> actions</w:t>
      </w:r>
      <w:r w:rsidRPr="0037441E">
        <w:rPr>
          <w:sz w:val="22"/>
        </w:rPr>
        <w:t xml:space="preserve"> and therefore portray the Anglo-Saxons</w:t>
      </w:r>
      <w:r w:rsidR="002916C5" w:rsidRPr="0037441E">
        <w:rPr>
          <w:sz w:val="22"/>
        </w:rPr>
        <w:t xml:space="preserve"> in a poor light. </w:t>
      </w:r>
      <w:r w:rsidRPr="0037441E">
        <w:rPr>
          <w:sz w:val="22"/>
        </w:rPr>
        <w:t xml:space="preserve">William of </w:t>
      </w:r>
      <w:r w:rsidRPr="00084E44">
        <w:rPr>
          <w:noProof/>
          <w:sz w:val="22"/>
        </w:rPr>
        <w:t>Poitiers</w:t>
      </w:r>
      <w:r w:rsidRPr="0037441E">
        <w:rPr>
          <w:sz w:val="22"/>
        </w:rPr>
        <w:t xml:space="preserve"> seem</w:t>
      </w:r>
      <w:r w:rsidR="001A75F5" w:rsidRPr="0037441E">
        <w:rPr>
          <w:sz w:val="22"/>
        </w:rPr>
        <w:t>ed</w:t>
      </w:r>
      <w:r w:rsidRPr="0037441E">
        <w:rPr>
          <w:sz w:val="22"/>
        </w:rPr>
        <w:t xml:space="preserve"> determined to tarnish the reputation of Harold, in favour of William</w:t>
      </w:r>
      <w:r w:rsidR="00BF077F" w:rsidRPr="0037441E">
        <w:rPr>
          <w:sz w:val="22"/>
        </w:rPr>
        <w:t xml:space="preserve">’s supposed religious </w:t>
      </w:r>
      <w:r w:rsidR="004345C8" w:rsidRPr="0037441E">
        <w:rPr>
          <w:sz w:val="22"/>
        </w:rPr>
        <w:t>superiority</w:t>
      </w:r>
      <w:r w:rsidR="00BF077F" w:rsidRPr="0037441E">
        <w:rPr>
          <w:sz w:val="22"/>
        </w:rPr>
        <w:t>.</w:t>
      </w:r>
      <w:r w:rsidRPr="0037441E">
        <w:rPr>
          <w:sz w:val="22"/>
        </w:rPr>
        <w:t xml:space="preserve"> However</w:t>
      </w:r>
      <w:r w:rsidR="008929EF" w:rsidRPr="0037441E">
        <w:rPr>
          <w:sz w:val="22"/>
        </w:rPr>
        <w:t>,</w:t>
      </w:r>
      <w:r w:rsidRPr="0037441E">
        <w:rPr>
          <w:sz w:val="22"/>
        </w:rPr>
        <w:t xml:space="preserve"> it cannot be said that the Bayeux Tapestry completely </w:t>
      </w:r>
      <w:r w:rsidR="00B659B4" w:rsidRPr="0037441E">
        <w:rPr>
          <w:sz w:val="22"/>
        </w:rPr>
        <w:t>vilifies</w:t>
      </w:r>
      <w:r w:rsidR="00BF077F" w:rsidRPr="0037441E">
        <w:rPr>
          <w:sz w:val="22"/>
        </w:rPr>
        <w:t xml:space="preserve"> Harold and therefore can be viewed as a less biased source, when compared to other </w:t>
      </w:r>
      <w:r w:rsidR="00EB2FD6" w:rsidRPr="0037441E">
        <w:rPr>
          <w:sz w:val="22"/>
        </w:rPr>
        <w:t xml:space="preserve">sources </w:t>
      </w:r>
      <w:r w:rsidR="00BF077F" w:rsidRPr="0037441E">
        <w:rPr>
          <w:sz w:val="22"/>
        </w:rPr>
        <w:t xml:space="preserve">such as William of </w:t>
      </w:r>
      <w:r w:rsidR="005D2D0A" w:rsidRPr="0037441E">
        <w:rPr>
          <w:sz w:val="22"/>
        </w:rPr>
        <w:t>Jumi</w:t>
      </w:r>
      <w:r w:rsidR="005D2D0A" w:rsidRPr="0037441E">
        <w:rPr>
          <w:bCs/>
          <w:color w:val="450C02"/>
          <w:sz w:val="22"/>
        </w:rPr>
        <w:t>èges</w:t>
      </w:r>
      <w:r w:rsidR="005D2D0A" w:rsidRPr="0037441E">
        <w:rPr>
          <w:sz w:val="22"/>
        </w:rPr>
        <w:t xml:space="preserve"> </w:t>
      </w:r>
      <w:r w:rsidR="00BF077F" w:rsidRPr="0037441E">
        <w:rPr>
          <w:sz w:val="22"/>
        </w:rPr>
        <w:t>and William of Poitier</w:t>
      </w:r>
      <w:r w:rsidR="00A935F7" w:rsidRPr="0037441E">
        <w:rPr>
          <w:sz w:val="22"/>
        </w:rPr>
        <w:t>s</w:t>
      </w:r>
      <w:r w:rsidR="002916C5" w:rsidRPr="0037441E">
        <w:rPr>
          <w:sz w:val="22"/>
        </w:rPr>
        <w:t xml:space="preserve"> although this would be more difficult to depict within a visual source, than within a literary source, such as those mentioned. </w:t>
      </w:r>
    </w:p>
    <w:p w:rsidR="00672EB5" w:rsidRPr="0037441E" w:rsidRDefault="0039793B" w:rsidP="00BA6EF0">
      <w:pPr>
        <w:spacing w:after="240" w:line="360" w:lineRule="auto"/>
        <w:ind w:firstLine="720"/>
        <w:jc w:val="both"/>
        <w:rPr>
          <w:sz w:val="22"/>
        </w:rPr>
      </w:pPr>
      <w:r w:rsidRPr="0037441E">
        <w:rPr>
          <w:sz w:val="22"/>
        </w:rPr>
        <w:t>S</w:t>
      </w:r>
      <w:r w:rsidR="00333BF8" w:rsidRPr="0037441E">
        <w:rPr>
          <w:sz w:val="22"/>
        </w:rPr>
        <w:t xml:space="preserve">ome of the earlier stages of the invasion are </w:t>
      </w:r>
      <w:r w:rsidR="00A935F7" w:rsidRPr="0037441E">
        <w:rPr>
          <w:sz w:val="22"/>
        </w:rPr>
        <w:t>clearly</w:t>
      </w:r>
      <w:r w:rsidR="00333BF8" w:rsidRPr="0037441E">
        <w:rPr>
          <w:sz w:val="22"/>
        </w:rPr>
        <w:t xml:space="preserve"> presented within the Bayeux Tapestry, one of these stages is the start of </w:t>
      </w:r>
      <w:r w:rsidRPr="0037441E">
        <w:rPr>
          <w:sz w:val="22"/>
        </w:rPr>
        <w:t>William’s</w:t>
      </w:r>
      <w:r w:rsidR="00333BF8" w:rsidRPr="0037441E">
        <w:rPr>
          <w:sz w:val="22"/>
        </w:rPr>
        <w:t xml:space="preserve"> crossing of the English Channel [See Appendix 1].  </w:t>
      </w:r>
      <w:r w:rsidRPr="0037441E">
        <w:rPr>
          <w:sz w:val="22"/>
        </w:rPr>
        <w:t xml:space="preserve">Here, where </w:t>
      </w:r>
      <w:r w:rsidR="00670B95" w:rsidRPr="0037441E">
        <w:rPr>
          <w:sz w:val="22"/>
        </w:rPr>
        <w:t xml:space="preserve">one of the first instances concerning the </w:t>
      </w:r>
      <w:r w:rsidRPr="0037441E">
        <w:rPr>
          <w:sz w:val="22"/>
        </w:rPr>
        <w:t xml:space="preserve">English </w:t>
      </w:r>
      <w:r w:rsidR="00670B95" w:rsidRPr="0037441E">
        <w:rPr>
          <w:sz w:val="22"/>
        </w:rPr>
        <w:t xml:space="preserve">invasion itself </w:t>
      </w:r>
      <w:r w:rsidR="008929EF" w:rsidRPr="0037441E">
        <w:rPr>
          <w:sz w:val="22"/>
        </w:rPr>
        <w:t>is</w:t>
      </w:r>
      <w:r w:rsidRPr="0037441E">
        <w:rPr>
          <w:sz w:val="22"/>
        </w:rPr>
        <w:t xml:space="preserve"> </w:t>
      </w:r>
      <w:r w:rsidR="001C3852" w:rsidRPr="0037441E">
        <w:rPr>
          <w:sz w:val="22"/>
        </w:rPr>
        <w:t>displayed</w:t>
      </w:r>
      <w:r w:rsidRPr="0037441E">
        <w:rPr>
          <w:sz w:val="22"/>
        </w:rPr>
        <w:t>,</w:t>
      </w:r>
      <w:r w:rsidR="00670B95" w:rsidRPr="0037441E">
        <w:rPr>
          <w:sz w:val="22"/>
        </w:rPr>
        <w:t xml:space="preserve"> events have clearly been omitted. It has been noted by s</w:t>
      </w:r>
      <w:r w:rsidR="00995301" w:rsidRPr="0037441E">
        <w:rPr>
          <w:sz w:val="22"/>
        </w:rPr>
        <w:t>cholars such as Rex that here, a lot</w:t>
      </w:r>
      <w:r w:rsidR="00670B95" w:rsidRPr="0037441E">
        <w:rPr>
          <w:sz w:val="22"/>
        </w:rPr>
        <w:t xml:space="preserve"> of</w:t>
      </w:r>
      <w:r w:rsidR="00EB2FD6" w:rsidRPr="0037441E">
        <w:rPr>
          <w:sz w:val="22"/>
        </w:rPr>
        <w:t xml:space="preserve"> detail surrounding the Norman b</w:t>
      </w:r>
      <w:r w:rsidR="00670B95" w:rsidRPr="0037441E">
        <w:rPr>
          <w:sz w:val="22"/>
        </w:rPr>
        <w:t xml:space="preserve">arons has been ignored in favour of a </w:t>
      </w:r>
      <w:r w:rsidR="00995301" w:rsidRPr="0037441E">
        <w:rPr>
          <w:sz w:val="22"/>
        </w:rPr>
        <w:t>more fluid</w:t>
      </w:r>
      <w:r w:rsidR="00670B95" w:rsidRPr="0037441E">
        <w:rPr>
          <w:sz w:val="22"/>
        </w:rPr>
        <w:t xml:space="preserve"> representation of the preparation of supplies and the </w:t>
      </w:r>
      <w:r w:rsidR="00670B95" w:rsidRPr="0037441E">
        <w:rPr>
          <w:sz w:val="22"/>
        </w:rPr>
        <w:lastRenderedPageBreak/>
        <w:t>building of the ships.</w:t>
      </w:r>
      <w:r w:rsidR="00670B95" w:rsidRPr="0037441E">
        <w:rPr>
          <w:rStyle w:val="FootnoteReference"/>
          <w:sz w:val="22"/>
        </w:rPr>
        <w:footnoteReference w:id="1"/>
      </w:r>
      <w:r w:rsidR="00670B95" w:rsidRPr="0037441E">
        <w:rPr>
          <w:sz w:val="22"/>
        </w:rPr>
        <w:t xml:space="preserve"> From this</w:t>
      </w:r>
      <w:r w:rsidR="008929EF" w:rsidRPr="0037441E">
        <w:rPr>
          <w:sz w:val="22"/>
        </w:rPr>
        <w:t>,</w:t>
      </w:r>
      <w:r w:rsidR="00670B95" w:rsidRPr="0037441E">
        <w:rPr>
          <w:sz w:val="22"/>
        </w:rPr>
        <w:t xml:space="preserve"> it can be postulated that the main purpose of the Bayeux Tapestry was </w:t>
      </w:r>
      <w:r w:rsidR="00C16EF9" w:rsidRPr="0037441E">
        <w:rPr>
          <w:sz w:val="22"/>
        </w:rPr>
        <w:t>a Norman attempt at aggrandisement</w:t>
      </w:r>
      <w:r w:rsidR="00EB2FD6" w:rsidRPr="0037441E">
        <w:rPr>
          <w:sz w:val="22"/>
        </w:rPr>
        <w:t xml:space="preserve"> and propaganda</w:t>
      </w:r>
      <w:r w:rsidR="00670B95" w:rsidRPr="0037441E">
        <w:rPr>
          <w:sz w:val="22"/>
        </w:rPr>
        <w:t>, rather than to accurately document the events of William the Bastard’s invasion.</w:t>
      </w:r>
      <w:r w:rsidR="00E91B9B" w:rsidRPr="0037441E">
        <w:rPr>
          <w:sz w:val="22"/>
        </w:rPr>
        <w:t xml:space="preserve"> Davies suggests that these </w:t>
      </w:r>
      <w:r w:rsidR="00995301" w:rsidRPr="0037441E">
        <w:rPr>
          <w:sz w:val="22"/>
        </w:rPr>
        <w:t>themes</w:t>
      </w:r>
      <w:r w:rsidR="00E91B9B" w:rsidRPr="0037441E">
        <w:rPr>
          <w:sz w:val="22"/>
        </w:rPr>
        <w:t xml:space="preserve"> of aggrandisement and propaganda are commonplace within Norman histories and instead must be understood in such a way that represents the views of the Normans at the time of the sources creation</w:t>
      </w:r>
      <w:r w:rsidR="00995301" w:rsidRPr="0037441E">
        <w:rPr>
          <w:sz w:val="22"/>
        </w:rPr>
        <w:t>, above their accuracy</w:t>
      </w:r>
      <w:r w:rsidR="006A438A">
        <w:rPr>
          <w:sz w:val="22"/>
        </w:rPr>
        <w:t>, a</w:t>
      </w:r>
      <w:r w:rsidR="00EB2FD6" w:rsidRPr="0037441E">
        <w:rPr>
          <w:sz w:val="22"/>
        </w:rPr>
        <w:t>lthough there were</w:t>
      </w:r>
      <w:r w:rsidR="001A75F5" w:rsidRPr="0037441E">
        <w:rPr>
          <w:sz w:val="22"/>
        </w:rPr>
        <w:t xml:space="preserve"> obvious size limits, </w:t>
      </w:r>
      <w:r w:rsidR="00EB2FD6" w:rsidRPr="0037441E">
        <w:rPr>
          <w:sz w:val="22"/>
        </w:rPr>
        <w:t>which may have affected the narrative.</w:t>
      </w:r>
      <w:r w:rsidR="006A438A" w:rsidRPr="0037441E">
        <w:rPr>
          <w:rStyle w:val="FootnoteReference"/>
          <w:sz w:val="22"/>
        </w:rPr>
        <w:footnoteReference w:id="2"/>
      </w:r>
      <w:r w:rsidR="00670B95" w:rsidRPr="0037441E">
        <w:rPr>
          <w:sz w:val="22"/>
        </w:rPr>
        <w:t xml:space="preserve"> </w:t>
      </w:r>
      <w:r w:rsidR="006446A5" w:rsidRPr="0037441E">
        <w:rPr>
          <w:sz w:val="22"/>
        </w:rPr>
        <w:t>Similarly, the period of waiting before the invasion itself appears to not have been incorporated into some modern versions of the invasion. McLynn</w:t>
      </w:r>
      <w:r w:rsidR="00995301" w:rsidRPr="0037441E">
        <w:rPr>
          <w:sz w:val="22"/>
        </w:rPr>
        <w:t>, for example</w:t>
      </w:r>
      <w:r w:rsidR="006446A5" w:rsidRPr="0037441E">
        <w:rPr>
          <w:sz w:val="22"/>
        </w:rPr>
        <w:t xml:space="preserve">, </w:t>
      </w:r>
      <w:r w:rsidR="00FC3D43" w:rsidRPr="0037441E">
        <w:rPr>
          <w:sz w:val="22"/>
        </w:rPr>
        <w:t>in his version of events, completely skips ov</w:t>
      </w:r>
      <w:r w:rsidR="001A75F5" w:rsidRPr="0037441E">
        <w:rPr>
          <w:sz w:val="22"/>
        </w:rPr>
        <w:t xml:space="preserve">er the invasions delay, instead, choosing to begin </w:t>
      </w:r>
      <w:r w:rsidR="00FC3D43" w:rsidRPr="0037441E">
        <w:rPr>
          <w:sz w:val="22"/>
        </w:rPr>
        <w:t>the invasion with William’s orders to begin the invasion.</w:t>
      </w:r>
      <w:r w:rsidR="00FC3D43" w:rsidRPr="0037441E">
        <w:rPr>
          <w:rStyle w:val="FootnoteReference"/>
          <w:sz w:val="22"/>
        </w:rPr>
        <w:footnoteReference w:id="3"/>
      </w:r>
      <w:r w:rsidR="00FC3D43" w:rsidRPr="0037441E">
        <w:rPr>
          <w:sz w:val="22"/>
        </w:rPr>
        <w:t xml:space="preserve"> </w:t>
      </w:r>
    </w:p>
    <w:p w:rsidR="004D3B2C" w:rsidRPr="0037441E" w:rsidRDefault="00A935F7" w:rsidP="00BA6EF0">
      <w:pPr>
        <w:spacing w:after="240" w:line="360" w:lineRule="auto"/>
        <w:ind w:firstLine="720"/>
        <w:jc w:val="both"/>
        <w:rPr>
          <w:sz w:val="22"/>
        </w:rPr>
      </w:pPr>
      <w:r w:rsidRPr="0037441E">
        <w:rPr>
          <w:sz w:val="22"/>
        </w:rPr>
        <w:t>For other historians at the ti</w:t>
      </w:r>
      <w:r w:rsidR="00EB2FD6" w:rsidRPr="0037441E">
        <w:rPr>
          <w:sz w:val="22"/>
        </w:rPr>
        <w:t>me, the councils of the Norman b</w:t>
      </w:r>
      <w:r w:rsidRPr="0037441E">
        <w:rPr>
          <w:sz w:val="22"/>
        </w:rPr>
        <w:t>arons seem to have been an important event as William of Poitiers gives an account of the events in such a way that it becomes evident that by divulging the topics of the council meetings, he also elevates William th</w:t>
      </w:r>
      <w:r w:rsidR="0004648E" w:rsidRPr="0037441E">
        <w:rPr>
          <w:sz w:val="22"/>
        </w:rPr>
        <w:t xml:space="preserve">e Bastard to a heroic level, </w:t>
      </w:r>
      <w:r w:rsidRPr="0037441E">
        <w:rPr>
          <w:sz w:val="22"/>
        </w:rPr>
        <w:t xml:space="preserve">which the other Norman </w:t>
      </w:r>
      <w:r w:rsidR="00EB2FD6" w:rsidRPr="0037441E">
        <w:rPr>
          <w:sz w:val="22"/>
        </w:rPr>
        <w:t>b</w:t>
      </w:r>
      <w:r w:rsidRPr="0037441E">
        <w:rPr>
          <w:sz w:val="22"/>
        </w:rPr>
        <w:t xml:space="preserve">arons fail </w:t>
      </w:r>
      <w:r w:rsidR="0004648E" w:rsidRPr="0037441E">
        <w:rPr>
          <w:sz w:val="22"/>
        </w:rPr>
        <w:t>to reach. William</w:t>
      </w:r>
      <w:r w:rsidR="001567CA" w:rsidRPr="0037441E">
        <w:rPr>
          <w:sz w:val="22"/>
        </w:rPr>
        <w:t xml:space="preserve"> of Poitiers</w:t>
      </w:r>
      <w:r w:rsidR="0004648E" w:rsidRPr="0037441E">
        <w:rPr>
          <w:sz w:val="22"/>
        </w:rPr>
        <w:t xml:space="preserve"> states that ‘… many of the Norman magnates did not hide their mistrust. Inspired by cowardice, they exaggerated in discussions of Harold’s army and the weakness of their own.’</w:t>
      </w:r>
      <w:r w:rsidR="0004648E" w:rsidRPr="0037441E">
        <w:rPr>
          <w:rStyle w:val="FootnoteReference"/>
          <w:sz w:val="22"/>
        </w:rPr>
        <w:footnoteReference w:id="4"/>
      </w:r>
      <w:r w:rsidR="00246DF5" w:rsidRPr="0037441E">
        <w:rPr>
          <w:sz w:val="22"/>
        </w:rPr>
        <w:t xml:space="preserve"> </w:t>
      </w:r>
      <w:r w:rsidR="00672EB5" w:rsidRPr="0037441E">
        <w:rPr>
          <w:sz w:val="22"/>
        </w:rPr>
        <w:t>By</w:t>
      </w:r>
      <w:r w:rsidR="00246DF5" w:rsidRPr="0037441E">
        <w:rPr>
          <w:sz w:val="22"/>
        </w:rPr>
        <w:t xml:space="preserve"> comparing this quote </w:t>
      </w:r>
      <w:r w:rsidR="00807FE7" w:rsidRPr="0037441E">
        <w:rPr>
          <w:sz w:val="22"/>
        </w:rPr>
        <w:t>to</w:t>
      </w:r>
      <w:r w:rsidR="00246DF5" w:rsidRPr="0037441E">
        <w:rPr>
          <w:sz w:val="22"/>
        </w:rPr>
        <w:t xml:space="preserve"> the relevant </w:t>
      </w:r>
      <w:r w:rsidR="00807FE7" w:rsidRPr="0037441E">
        <w:rPr>
          <w:sz w:val="22"/>
        </w:rPr>
        <w:t>scene within</w:t>
      </w:r>
      <w:r w:rsidR="00246DF5" w:rsidRPr="0037441E">
        <w:rPr>
          <w:sz w:val="22"/>
        </w:rPr>
        <w:t xml:space="preserve"> the Bayeux Tapestry, it becomes clear that, although the tapestry </w:t>
      </w:r>
      <w:r w:rsidR="006A438A">
        <w:rPr>
          <w:sz w:val="22"/>
        </w:rPr>
        <w:t xml:space="preserve">has merit </w:t>
      </w:r>
      <w:r w:rsidR="00246DF5" w:rsidRPr="0037441E">
        <w:rPr>
          <w:sz w:val="22"/>
        </w:rPr>
        <w:t xml:space="preserve">in the fact that it is a visual piece and therefore is accessible to more people, it fails to reach the same level of detail as works like William of Poitiers’ </w:t>
      </w:r>
      <w:r w:rsidR="00246DF5" w:rsidRPr="0037441E">
        <w:rPr>
          <w:i/>
          <w:sz w:val="22"/>
        </w:rPr>
        <w:t>Gesta Willelmi</w:t>
      </w:r>
      <w:r w:rsidR="004D3B2C" w:rsidRPr="0037441E">
        <w:rPr>
          <w:sz w:val="22"/>
        </w:rPr>
        <w:t>.</w:t>
      </w:r>
      <w:r w:rsidR="004D3B2C" w:rsidRPr="0037441E">
        <w:rPr>
          <w:rStyle w:val="FootnoteReference"/>
          <w:sz w:val="22"/>
        </w:rPr>
        <w:footnoteReference w:id="5"/>
      </w:r>
      <w:r w:rsidR="00807FE7" w:rsidRPr="0037441E">
        <w:rPr>
          <w:sz w:val="22"/>
        </w:rPr>
        <w:t xml:space="preserve"> However, it can be suggested that the council would have not been included within the Bayeux Tapestry in an attempt to warp the events of 1066 into a more favourable form of history, a feat seen many</w:t>
      </w:r>
      <w:r w:rsidR="004345C8" w:rsidRPr="0037441E">
        <w:rPr>
          <w:sz w:val="22"/>
        </w:rPr>
        <w:t xml:space="preserve"> times throughout Norman histories</w:t>
      </w:r>
      <w:r w:rsidR="00807FE7" w:rsidRPr="0037441E">
        <w:rPr>
          <w:sz w:val="22"/>
        </w:rPr>
        <w:t>, where events and individuals are made to adhere more strongly to the Norman ideals of religious superiority and heroism, which has become know</w:t>
      </w:r>
      <w:r w:rsidR="00995301" w:rsidRPr="0037441E">
        <w:rPr>
          <w:sz w:val="22"/>
        </w:rPr>
        <w:t>n as ‘Normanitas’.</w:t>
      </w:r>
      <w:r w:rsidR="00995301" w:rsidRPr="0037441E">
        <w:rPr>
          <w:rStyle w:val="FootnoteReference"/>
          <w:sz w:val="22"/>
        </w:rPr>
        <w:footnoteReference w:id="6"/>
      </w:r>
    </w:p>
    <w:p w:rsidR="00672EB5" w:rsidRPr="0037441E" w:rsidRDefault="00E43D8E" w:rsidP="00BA6EF0">
      <w:pPr>
        <w:spacing w:after="240" w:line="360" w:lineRule="auto"/>
        <w:ind w:firstLine="720"/>
        <w:jc w:val="both"/>
        <w:rPr>
          <w:sz w:val="22"/>
        </w:rPr>
      </w:pPr>
      <w:r w:rsidRPr="0037441E">
        <w:rPr>
          <w:sz w:val="22"/>
        </w:rPr>
        <w:t xml:space="preserve">Similarly, within his book </w:t>
      </w:r>
      <w:r w:rsidR="00046BFF" w:rsidRPr="0037441E">
        <w:rPr>
          <w:sz w:val="22"/>
        </w:rPr>
        <w:t xml:space="preserve">the </w:t>
      </w:r>
      <w:r w:rsidR="00046BFF" w:rsidRPr="0037441E">
        <w:rPr>
          <w:i/>
          <w:sz w:val="22"/>
        </w:rPr>
        <w:t>Gesta Regum Anglorum</w:t>
      </w:r>
      <w:r w:rsidR="00046BFF" w:rsidRPr="0037441E">
        <w:rPr>
          <w:sz w:val="22"/>
        </w:rPr>
        <w:t>,</w:t>
      </w:r>
      <w:r w:rsidRPr="0037441E">
        <w:rPr>
          <w:sz w:val="22"/>
        </w:rPr>
        <w:t xml:space="preserve"> William of Malmesbury makes reference to the councils taken before the invasion itself, however</w:t>
      </w:r>
      <w:r w:rsidR="008929EF" w:rsidRPr="0037441E">
        <w:rPr>
          <w:sz w:val="22"/>
        </w:rPr>
        <w:t>,</w:t>
      </w:r>
      <w:r w:rsidRPr="0037441E">
        <w:rPr>
          <w:sz w:val="22"/>
        </w:rPr>
        <w:t xml:space="preserve"> fails to mention Poitiers’ account of the cowardice of the other Dukes, and instead, acknowledges the ‘… knights of outstanding st</w:t>
      </w:r>
      <w:bookmarkStart w:id="0" w:name="_GoBack"/>
      <w:bookmarkEnd w:id="0"/>
      <w:r w:rsidRPr="0037441E">
        <w:rPr>
          <w:sz w:val="22"/>
        </w:rPr>
        <w:t>ature and strength, with captains and commanders remarkable no less for t</w:t>
      </w:r>
      <w:r w:rsidR="008929EF" w:rsidRPr="0037441E">
        <w:rPr>
          <w:sz w:val="22"/>
        </w:rPr>
        <w:t>heir maturity of years and judg</w:t>
      </w:r>
      <w:r w:rsidR="006446A5" w:rsidRPr="0037441E">
        <w:rPr>
          <w:sz w:val="22"/>
        </w:rPr>
        <w:t>e</w:t>
      </w:r>
      <w:r w:rsidRPr="0037441E">
        <w:rPr>
          <w:sz w:val="22"/>
        </w:rPr>
        <w:t>ment than for skills in arms…’</w:t>
      </w:r>
      <w:r w:rsidRPr="0037441E">
        <w:rPr>
          <w:rStyle w:val="FootnoteReference"/>
          <w:sz w:val="22"/>
        </w:rPr>
        <w:footnoteReference w:id="7"/>
      </w:r>
      <w:r w:rsidRPr="0037441E">
        <w:rPr>
          <w:sz w:val="22"/>
        </w:rPr>
        <w:t xml:space="preserve"> This is clearly an attempt to display the </w:t>
      </w:r>
      <w:r w:rsidR="00672EB5" w:rsidRPr="0037441E">
        <w:rPr>
          <w:sz w:val="22"/>
        </w:rPr>
        <w:t>grandeur</w:t>
      </w:r>
      <w:r w:rsidRPr="0037441E">
        <w:rPr>
          <w:sz w:val="22"/>
        </w:rPr>
        <w:t xml:space="preserve"> of William’s forces and thus hints at the notion that the Normans were destined to win the battle. </w:t>
      </w:r>
    </w:p>
    <w:p w:rsidR="00E43D8E" w:rsidRPr="0037441E" w:rsidRDefault="00E43D8E" w:rsidP="00BA6EF0">
      <w:pPr>
        <w:spacing w:after="240" w:line="360" w:lineRule="auto"/>
        <w:ind w:firstLine="720"/>
        <w:jc w:val="both"/>
        <w:rPr>
          <w:sz w:val="22"/>
        </w:rPr>
      </w:pPr>
      <w:r w:rsidRPr="0037441E">
        <w:rPr>
          <w:sz w:val="22"/>
        </w:rPr>
        <w:lastRenderedPageBreak/>
        <w:t xml:space="preserve">Yet, further within his </w:t>
      </w:r>
      <w:r w:rsidR="00897100" w:rsidRPr="0037441E">
        <w:rPr>
          <w:sz w:val="22"/>
        </w:rPr>
        <w:t>account</w:t>
      </w:r>
      <w:r w:rsidRPr="0037441E">
        <w:rPr>
          <w:sz w:val="22"/>
        </w:rPr>
        <w:t xml:space="preserve"> of the lead up to the invasion, William of Malmesbury indicate</w:t>
      </w:r>
      <w:r w:rsidR="00897100" w:rsidRPr="0037441E">
        <w:rPr>
          <w:sz w:val="22"/>
        </w:rPr>
        <w:t>s</w:t>
      </w:r>
      <w:r w:rsidRPr="0037441E">
        <w:rPr>
          <w:sz w:val="22"/>
        </w:rPr>
        <w:t xml:space="preserve"> that not all of William’s forces were so willing </w:t>
      </w:r>
      <w:r w:rsidR="00C16EF9" w:rsidRPr="0037441E">
        <w:rPr>
          <w:sz w:val="22"/>
        </w:rPr>
        <w:t>to fight for control over England</w:t>
      </w:r>
      <w:r w:rsidRPr="0037441E">
        <w:rPr>
          <w:sz w:val="22"/>
        </w:rPr>
        <w:t>.</w:t>
      </w:r>
      <w:r w:rsidRPr="0037441E">
        <w:rPr>
          <w:rStyle w:val="FootnoteReference"/>
          <w:sz w:val="22"/>
        </w:rPr>
        <w:footnoteReference w:id="8"/>
      </w:r>
      <w:r w:rsidRPr="0037441E">
        <w:rPr>
          <w:sz w:val="22"/>
        </w:rPr>
        <w:t xml:space="preserve"> He states how the soldiers ‘… grumbled in their tents.’</w:t>
      </w:r>
      <w:r w:rsidRPr="0037441E">
        <w:rPr>
          <w:rStyle w:val="FootnoteReference"/>
          <w:sz w:val="22"/>
        </w:rPr>
        <w:footnoteReference w:id="9"/>
      </w:r>
      <w:r w:rsidRPr="0037441E">
        <w:rPr>
          <w:sz w:val="22"/>
        </w:rPr>
        <w:t xml:space="preserve"> From this extract</w:t>
      </w:r>
      <w:r w:rsidR="00C7764E" w:rsidRPr="0037441E">
        <w:rPr>
          <w:sz w:val="22"/>
        </w:rPr>
        <w:t>,</w:t>
      </w:r>
      <w:r w:rsidRPr="0037441E">
        <w:rPr>
          <w:sz w:val="22"/>
        </w:rPr>
        <w:t xml:space="preserve"> it would seem that the soldiers</w:t>
      </w:r>
      <w:r w:rsidR="00995301" w:rsidRPr="0037441E">
        <w:rPr>
          <w:sz w:val="22"/>
        </w:rPr>
        <w:t>,</w:t>
      </w:r>
      <w:r w:rsidRPr="0037441E">
        <w:rPr>
          <w:sz w:val="22"/>
        </w:rPr>
        <w:t xml:space="preserve"> rather than the Dukes themselves</w:t>
      </w:r>
      <w:r w:rsidR="00995301" w:rsidRPr="0037441E">
        <w:rPr>
          <w:sz w:val="22"/>
        </w:rPr>
        <w:t xml:space="preserve">, </w:t>
      </w:r>
      <w:r w:rsidR="00672EB5" w:rsidRPr="0037441E">
        <w:rPr>
          <w:sz w:val="22"/>
        </w:rPr>
        <w:t>were questioning the</w:t>
      </w:r>
      <w:r w:rsidR="00995301" w:rsidRPr="0037441E">
        <w:rPr>
          <w:sz w:val="22"/>
        </w:rPr>
        <w:t xml:space="preserve"> validity of the</w:t>
      </w:r>
      <w:r w:rsidR="00672EB5" w:rsidRPr="0037441E">
        <w:rPr>
          <w:sz w:val="22"/>
        </w:rPr>
        <w:t xml:space="preserve"> invasion. This displays the numerous accounts of doubt during the lead up to the invasion</w:t>
      </w:r>
      <w:r w:rsidR="00C16EF9" w:rsidRPr="0037441E">
        <w:rPr>
          <w:sz w:val="22"/>
        </w:rPr>
        <w:t>, none of</w:t>
      </w:r>
      <w:r w:rsidR="00672EB5" w:rsidRPr="0037441E">
        <w:rPr>
          <w:sz w:val="22"/>
        </w:rPr>
        <w:t xml:space="preserve"> which is fou</w:t>
      </w:r>
      <w:r w:rsidR="006446A5" w:rsidRPr="0037441E">
        <w:rPr>
          <w:sz w:val="22"/>
        </w:rPr>
        <w:t>nd within the Bayeux Tapestry, th</w:t>
      </w:r>
      <w:r w:rsidR="00C16EF9" w:rsidRPr="0037441E">
        <w:rPr>
          <w:sz w:val="22"/>
        </w:rPr>
        <w:t>us</w:t>
      </w:r>
      <w:r w:rsidR="006446A5" w:rsidRPr="0037441E">
        <w:rPr>
          <w:sz w:val="22"/>
        </w:rPr>
        <w:t>,</w:t>
      </w:r>
      <w:r w:rsidR="00C16EF9" w:rsidRPr="0037441E">
        <w:rPr>
          <w:sz w:val="22"/>
        </w:rPr>
        <w:t xml:space="preserve"> r</w:t>
      </w:r>
      <w:r w:rsidR="00672EB5" w:rsidRPr="0037441E">
        <w:rPr>
          <w:sz w:val="22"/>
        </w:rPr>
        <w:t>evealing the limitations surrounding the use of the Bayeux Tapestry as a source for the Norman invasion of England in 1066.</w:t>
      </w:r>
    </w:p>
    <w:p w:rsidR="00103CFA" w:rsidRPr="0037441E" w:rsidRDefault="00960680" w:rsidP="00BA6EF0">
      <w:pPr>
        <w:spacing w:after="240" w:line="360" w:lineRule="auto"/>
        <w:ind w:firstLine="720"/>
        <w:jc w:val="both"/>
        <w:rPr>
          <w:sz w:val="22"/>
        </w:rPr>
      </w:pPr>
      <w:r w:rsidRPr="0037441E">
        <w:rPr>
          <w:sz w:val="22"/>
        </w:rPr>
        <w:t>A</w:t>
      </w:r>
      <w:r w:rsidR="00246DF5" w:rsidRPr="0037441E">
        <w:rPr>
          <w:sz w:val="22"/>
        </w:rPr>
        <w:t xml:space="preserve">dditionally, </w:t>
      </w:r>
      <w:r w:rsidR="00995301" w:rsidRPr="0037441E">
        <w:rPr>
          <w:sz w:val="22"/>
        </w:rPr>
        <w:t xml:space="preserve">a strong argument surrounding the detail found upon the Bayeux Tapestry is, that it is </w:t>
      </w:r>
      <w:r w:rsidR="004D3B2C" w:rsidRPr="0037441E">
        <w:rPr>
          <w:sz w:val="22"/>
        </w:rPr>
        <w:t xml:space="preserve">highly reliant upon </w:t>
      </w:r>
      <w:r w:rsidR="00246DF5" w:rsidRPr="0037441E">
        <w:rPr>
          <w:sz w:val="22"/>
        </w:rPr>
        <w:t>the individuals</w:t>
      </w:r>
      <w:r w:rsidR="00C7764E" w:rsidRPr="0037441E">
        <w:rPr>
          <w:sz w:val="22"/>
        </w:rPr>
        <w:t>’</w:t>
      </w:r>
      <w:r w:rsidR="00246DF5" w:rsidRPr="0037441E">
        <w:rPr>
          <w:sz w:val="22"/>
        </w:rPr>
        <w:t xml:space="preserve"> interpretation of the events displayed, whereas the opinions behind written sources clearly bleed through, making it easier for the readers to fully understand the </w:t>
      </w:r>
      <w:r w:rsidR="00995301" w:rsidRPr="0037441E">
        <w:rPr>
          <w:sz w:val="22"/>
        </w:rPr>
        <w:t xml:space="preserve">authors views on the </w:t>
      </w:r>
      <w:r w:rsidR="004D3B2C" w:rsidRPr="0037441E">
        <w:rPr>
          <w:sz w:val="22"/>
        </w:rPr>
        <w:t xml:space="preserve">events. </w:t>
      </w:r>
      <w:r w:rsidRPr="0037441E">
        <w:rPr>
          <w:sz w:val="22"/>
        </w:rPr>
        <w:t>Nevertheless, it seems that the council between th</w:t>
      </w:r>
      <w:r w:rsidR="00C7764E" w:rsidRPr="0037441E">
        <w:rPr>
          <w:sz w:val="22"/>
        </w:rPr>
        <w:t>e Dukes and William the Bastard</w:t>
      </w:r>
      <w:r w:rsidRPr="0037441E">
        <w:rPr>
          <w:sz w:val="22"/>
        </w:rPr>
        <w:t xml:space="preserve"> is not only neglected by the Bayeux Tapestry, other sources such as </w:t>
      </w:r>
      <w:r w:rsidR="00F17478" w:rsidRPr="0037441E">
        <w:rPr>
          <w:sz w:val="22"/>
        </w:rPr>
        <w:t xml:space="preserve">Orderic Vitalis’ work within </w:t>
      </w:r>
      <w:r w:rsidRPr="0037441E">
        <w:rPr>
          <w:sz w:val="22"/>
        </w:rPr>
        <w:t xml:space="preserve">the </w:t>
      </w:r>
      <w:r w:rsidR="00F01B26" w:rsidRPr="0037441E">
        <w:rPr>
          <w:i/>
          <w:sz w:val="22"/>
        </w:rPr>
        <w:t>Gesta Normannorum Ducum</w:t>
      </w:r>
      <w:r w:rsidR="00EB2FD6" w:rsidRPr="0037441E">
        <w:rPr>
          <w:sz w:val="22"/>
        </w:rPr>
        <w:t>,</w:t>
      </w:r>
      <w:r w:rsidRPr="0037441E">
        <w:rPr>
          <w:sz w:val="22"/>
        </w:rPr>
        <w:t xml:space="preserve"> fail to men</w:t>
      </w:r>
      <w:r w:rsidR="001A75F5" w:rsidRPr="0037441E">
        <w:rPr>
          <w:sz w:val="22"/>
        </w:rPr>
        <w:t>tion anything about the Normans’</w:t>
      </w:r>
      <w:r w:rsidRPr="0037441E">
        <w:rPr>
          <w:sz w:val="22"/>
        </w:rPr>
        <w:t xml:space="preserve"> actions prior to the invasion</w:t>
      </w:r>
      <w:r w:rsidR="001F28A6" w:rsidRPr="0037441E">
        <w:rPr>
          <w:sz w:val="22"/>
        </w:rPr>
        <w:t>, apart from Harold</w:t>
      </w:r>
      <w:r w:rsidRPr="0037441E">
        <w:rPr>
          <w:sz w:val="22"/>
        </w:rPr>
        <w:t>’s involvement with them.</w:t>
      </w:r>
      <w:r w:rsidR="006446A5" w:rsidRPr="0037441E">
        <w:rPr>
          <w:rStyle w:val="FootnoteReference"/>
          <w:sz w:val="22"/>
        </w:rPr>
        <w:footnoteReference w:id="10"/>
      </w:r>
      <w:r w:rsidRPr="0037441E">
        <w:rPr>
          <w:sz w:val="22"/>
        </w:rPr>
        <w:t xml:space="preserve"> Furthermore, more modern scholars, such as McLynn, often also gloss over the details of the lead up to the invasion</w:t>
      </w:r>
      <w:r w:rsidR="000E54E0" w:rsidRPr="0037441E">
        <w:rPr>
          <w:sz w:val="22"/>
        </w:rPr>
        <w:t>,</w:t>
      </w:r>
      <w:r w:rsidR="000E54E0" w:rsidRPr="0037441E">
        <w:rPr>
          <w:rStyle w:val="FootnoteReference"/>
          <w:sz w:val="22"/>
        </w:rPr>
        <w:footnoteReference w:id="11"/>
      </w:r>
      <w:r w:rsidR="000E54E0" w:rsidRPr="0037441E">
        <w:rPr>
          <w:sz w:val="22"/>
        </w:rPr>
        <w:t xml:space="preserve"> this fact does</w:t>
      </w:r>
      <w:r w:rsidR="00C7764E" w:rsidRPr="0037441E">
        <w:rPr>
          <w:sz w:val="22"/>
        </w:rPr>
        <w:t>,</w:t>
      </w:r>
      <w:r w:rsidR="000E54E0" w:rsidRPr="0037441E">
        <w:rPr>
          <w:sz w:val="22"/>
        </w:rPr>
        <w:t xml:space="preserve"> however</w:t>
      </w:r>
      <w:r w:rsidR="00C7764E" w:rsidRPr="0037441E">
        <w:rPr>
          <w:sz w:val="22"/>
        </w:rPr>
        <w:t>,</w:t>
      </w:r>
      <w:r w:rsidR="000E54E0" w:rsidRPr="0037441E">
        <w:rPr>
          <w:sz w:val="22"/>
        </w:rPr>
        <w:t xml:space="preserve"> suggest that a number of details within the other sources, such as William of Poitiers and William of Malmesbury’s work had been added to further support the actions of William the Bastard. </w:t>
      </w:r>
      <w:r w:rsidR="00EB2FD6" w:rsidRPr="0037441E">
        <w:rPr>
          <w:sz w:val="22"/>
        </w:rPr>
        <w:t>This displays</w:t>
      </w:r>
      <w:r w:rsidR="000E54E0" w:rsidRPr="0037441E">
        <w:rPr>
          <w:sz w:val="22"/>
        </w:rPr>
        <w:t xml:space="preserve"> how</w:t>
      </w:r>
      <w:r w:rsidR="0039793B" w:rsidRPr="0037441E">
        <w:rPr>
          <w:sz w:val="22"/>
        </w:rPr>
        <w:t>,</w:t>
      </w:r>
      <w:r w:rsidR="000E54E0" w:rsidRPr="0037441E">
        <w:rPr>
          <w:sz w:val="22"/>
        </w:rPr>
        <w:t xml:space="preserve"> although the Bayeux Tapestry does have its limitations, it is just as altered and biased as the other available </w:t>
      </w:r>
      <w:r w:rsidR="00C7764E" w:rsidRPr="0037441E">
        <w:rPr>
          <w:sz w:val="22"/>
        </w:rPr>
        <w:t>primary sources</w:t>
      </w:r>
      <w:r w:rsidR="0039793B" w:rsidRPr="0037441E">
        <w:rPr>
          <w:sz w:val="22"/>
        </w:rPr>
        <w:t xml:space="preserve"> and therefore is a useful source for the Norman invasion of England. </w:t>
      </w:r>
      <w:r w:rsidR="00995301" w:rsidRPr="0037441E">
        <w:rPr>
          <w:sz w:val="22"/>
        </w:rPr>
        <w:t>This idea of alteration comes from the fact that the tapestry is a physical item that can arguably be relatively easily altered to suit the preferred version of history.</w:t>
      </w:r>
    </w:p>
    <w:p w:rsidR="0039793B" w:rsidRPr="0037441E" w:rsidRDefault="00557CE5" w:rsidP="00BA6EF0">
      <w:pPr>
        <w:spacing w:after="240" w:line="360" w:lineRule="auto"/>
        <w:ind w:firstLine="720"/>
        <w:jc w:val="both"/>
        <w:rPr>
          <w:sz w:val="22"/>
        </w:rPr>
      </w:pPr>
      <w:r w:rsidRPr="0037441E">
        <w:rPr>
          <w:sz w:val="22"/>
        </w:rPr>
        <w:t xml:space="preserve">Moving on, the tapestry displays a detailed version of the </w:t>
      </w:r>
      <w:r w:rsidR="00BA6EF0" w:rsidRPr="0037441E">
        <w:rPr>
          <w:sz w:val="22"/>
        </w:rPr>
        <w:t>two opposing forces</w:t>
      </w:r>
      <w:r w:rsidRPr="0037441E">
        <w:rPr>
          <w:sz w:val="22"/>
        </w:rPr>
        <w:t xml:space="preserve">. </w:t>
      </w:r>
      <w:r w:rsidR="00BA6EF0" w:rsidRPr="0037441E">
        <w:rPr>
          <w:sz w:val="22"/>
        </w:rPr>
        <w:t>For the battle itself, the tapestry</w:t>
      </w:r>
      <w:r w:rsidR="00995301" w:rsidRPr="0037441E">
        <w:rPr>
          <w:sz w:val="22"/>
        </w:rPr>
        <w:t>,</w:t>
      </w:r>
      <w:r w:rsidR="00BA6EF0" w:rsidRPr="0037441E">
        <w:rPr>
          <w:sz w:val="22"/>
        </w:rPr>
        <w:t xml:space="preserve"> </w:t>
      </w:r>
      <w:r w:rsidR="00995301" w:rsidRPr="0037441E">
        <w:rPr>
          <w:sz w:val="22"/>
        </w:rPr>
        <w:t xml:space="preserve">again, </w:t>
      </w:r>
      <w:r w:rsidR="00BA6EF0" w:rsidRPr="0037441E">
        <w:rPr>
          <w:sz w:val="22"/>
        </w:rPr>
        <w:t xml:space="preserve">understandably fails to be as detailed as the available </w:t>
      </w:r>
      <w:r w:rsidR="00995301" w:rsidRPr="0037441E">
        <w:rPr>
          <w:sz w:val="22"/>
        </w:rPr>
        <w:t xml:space="preserve">written </w:t>
      </w:r>
      <w:r w:rsidR="00BA6EF0" w:rsidRPr="0037441E">
        <w:rPr>
          <w:sz w:val="22"/>
        </w:rPr>
        <w:t>sources. However</w:t>
      </w:r>
      <w:r w:rsidR="00C7764E" w:rsidRPr="0037441E">
        <w:rPr>
          <w:sz w:val="22"/>
        </w:rPr>
        <w:t>,</w:t>
      </w:r>
      <w:r w:rsidR="00BA6EF0" w:rsidRPr="0037441E">
        <w:rPr>
          <w:sz w:val="22"/>
        </w:rPr>
        <w:t xml:space="preserve"> the Bayeux Tapestry does present many of the facts surrounding the battle, by </w:t>
      </w:r>
      <w:r w:rsidR="00F17478" w:rsidRPr="0037441E">
        <w:rPr>
          <w:sz w:val="22"/>
        </w:rPr>
        <w:t>depicting</w:t>
      </w:r>
      <w:r w:rsidR="00BA6EF0" w:rsidRPr="0037441E">
        <w:rPr>
          <w:sz w:val="22"/>
        </w:rPr>
        <w:t xml:space="preserve"> the Anglo-Saxon forces</w:t>
      </w:r>
      <w:r w:rsidR="00F17478" w:rsidRPr="0037441E">
        <w:rPr>
          <w:sz w:val="22"/>
        </w:rPr>
        <w:t xml:space="preserve"> on foot</w:t>
      </w:r>
      <w:r w:rsidR="00BA6EF0" w:rsidRPr="0037441E">
        <w:rPr>
          <w:sz w:val="22"/>
        </w:rPr>
        <w:t xml:space="preserve"> </w:t>
      </w:r>
      <w:r w:rsidR="00F17478" w:rsidRPr="0037441E">
        <w:rPr>
          <w:sz w:val="22"/>
        </w:rPr>
        <w:t>in</w:t>
      </w:r>
      <w:r w:rsidR="00BA6EF0" w:rsidRPr="0037441E">
        <w:rPr>
          <w:sz w:val="22"/>
        </w:rPr>
        <w:t xml:space="preserve"> a shield wall</w:t>
      </w:r>
      <w:r w:rsidR="00F17478" w:rsidRPr="0037441E">
        <w:rPr>
          <w:sz w:val="22"/>
        </w:rPr>
        <w:t xml:space="preserve"> formation,</w:t>
      </w:r>
      <w:r w:rsidR="00BA6EF0" w:rsidRPr="0037441E">
        <w:rPr>
          <w:sz w:val="22"/>
        </w:rPr>
        <w:t xml:space="preserve"> which was </w:t>
      </w:r>
      <w:r w:rsidR="00F17478" w:rsidRPr="0037441E">
        <w:rPr>
          <w:sz w:val="22"/>
        </w:rPr>
        <w:t>the Anglo-Saxon’s</w:t>
      </w:r>
      <w:r w:rsidR="00BA6EF0" w:rsidRPr="0037441E">
        <w:rPr>
          <w:sz w:val="22"/>
        </w:rPr>
        <w:t xml:space="preserve"> main battle formation and style at this time.</w:t>
      </w:r>
      <w:r w:rsidR="00995301" w:rsidRPr="0037441E">
        <w:rPr>
          <w:rStyle w:val="FootnoteReference"/>
          <w:sz w:val="22"/>
        </w:rPr>
        <w:footnoteReference w:id="12"/>
      </w:r>
      <w:r w:rsidR="00BA6EF0" w:rsidRPr="0037441E">
        <w:rPr>
          <w:sz w:val="22"/>
        </w:rPr>
        <w:t xml:space="preserve"> William’s forces are shown to </w:t>
      </w:r>
      <w:r w:rsidR="00FF2D61" w:rsidRPr="0037441E">
        <w:rPr>
          <w:sz w:val="22"/>
        </w:rPr>
        <w:t xml:space="preserve">be </w:t>
      </w:r>
      <w:r w:rsidR="00F17478" w:rsidRPr="0037441E">
        <w:rPr>
          <w:sz w:val="22"/>
        </w:rPr>
        <w:t>on horseback, as</w:t>
      </w:r>
      <w:r w:rsidR="00FF2D61" w:rsidRPr="0037441E">
        <w:rPr>
          <w:sz w:val="22"/>
        </w:rPr>
        <w:t xml:space="preserve"> </w:t>
      </w:r>
      <w:r w:rsidR="00F17478" w:rsidRPr="0037441E">
        <w:rPr>
          <w:sz w:val="22"/>
        </w:rPr>
        <w:t>a</w:t>
      </w:r>
      <w:r w:rsidR="00FF2D61" w:rsidRPr="0037441E">
        <w:rPr>
          <w:sz w:val="22"/>
        </w:rPr>
        <w:t xml:space="preserve"> cavalry was often used by the Norma</w:t>
      </w:r>
      <w:r w:rsidR="00F17478" w:rsidRPr="0037441E">
        <w:rPr>
          <w:sz w:val="22"/>
        </w:rPr>
        <w:t>ns in battle during this period</w:t>
      </w:r>
      <w:r w:rsidR="0037441E" w:rsidRPr="0037441E">
        <w:rPr>
          <w:sz w:val="22"/>
        </w:rPr>
        <w:t xml:space="preserve"> [See Appendix 2]</w:t>
      </w:r>
      <w:r w:rsidR="00F17478" w:rsidRPr="0037441E">
        <w:rPr>
          <w:sz w:val="22"/>
        </w:rPr>
        <w:t>.</w:t>
      </w:r>
      <w:r w:rsidR="00F17478" w:rsidRPr="0037441E">
        <w:rPr>
          <w:rStyle w:val="FootnoteReference"/>
          <w:sz w:val="22"/>
        </w:rPr>
        <w:footnoteReference w:id="13"/>
      </w:r>
      <w:r w:rsidR="00FF2D61" w:rsidRPr="0037441E">
        <w:rPr>
          <w:sz w:val="22"/>
        </w:rPr>
        <w:t xml:space="preserve"> </w:t>
      </w:r>
      <w:r w:rsidR="00F17478" w:rsidRPr="0037441E">
        <w:rPr>
          <w:sz w:val="22"/>
        </w:rPr>
        <w:t>G</w:t>
      </w:r>
      <w:r w:rsidR="00FF2D61" w:rsidRPr="0037441E">
        <w:rPr>
          <w:sz w:val="22"/>
        </w:rPr>
        <w:t>iven these details</w:t>
      </w:r>
      <w:r w:rsidR="00F17478" w:rsidRPr="0037441E">
        <w:rPr>
          <w:sz w:val="22"/>
        </w:rPr>
        <w:t xml:space="preserve">, along with the presentation of </w:t>
      </w:r>
      <w:r w:rsidR="00995301" w:rsidRPr="0037441E">
        <w:rPr>
          <w:sz w:val="22"/>
        </w:rPr>
        <w:t xml:space="preserve">the </w:t>
      </w:r>
      <w:r w:rsidR="00F17478" w:rsidRPr="0037441E">
        <w:rPr>
          <w:sz w:val="22"/>
        </w:rPr>
        <w:t>battle,</w:t>
      </w:r>
      <w:r w:rsidR="00FF2D61" w:rsidRPr="0037441E">
        <w:rPr>
          <w:sz w:val="22"/>
        </w:rPr>
        <w:t xml:space="preserve"> the Bayeux Tapestry can again be seen as a useful source for the Norman </w:t>
      </w:r>
      <w:r w:rsidR="00FF2D61" w:rsidRPr="0037441E">
        <w:rPr>
          <w:sz w:val="22"/>
        </w:rPr>
        <w:lastRenderedPageBreak/>
        <w:t xml:space="preserve">invasion of England in 1066, as it is </w:t>
      </w:r>
      <w:r w:rsidR="00FF2D61" w:rsidRPr="00FB4A5E">
        <w:rPr>
          <w:noProof/>
          <w:sz w:val="22"/>
        </w:rPr>
        <w:t>clearly</w:t>
      </w:r>
      <w:r w:rsidR="00FF2D61" w:rsidRPr="0037441E">
        <w:rPr>
          <w:sz w:val="22"/>
        </w:rPr>
        <w:t xml:space="preserve"> </w:t>
      </w:r>
      <w:r w:rsidR="00FB4A5E">
        <w:rPr>
          <w:sz w:val="22"/>
        </w:rPr>
        <w:t>the most</w:t>
      </w:r>
      <w:r w:rsidR="00FF2D61" w:rsidRPr="0037441E">
        <w:rPr>
          <w:sz w:val="22"/>
        </w:rPr>
        <w:t xml:space="preserve"> accurate </w:t>
      </w:r>
      <w:r w:rsidR="00FB4A5E">
        <w:rPr>
          <w:sz w:val="22"/>
        </w:rPr>
        <w:t>that</w:t>
      </w:r>
      <w:r w:rsidR="00FF2D61" w:rsidRPr="0037441E">
        <w:rPr>
          <w:sz w:val="22"/>
        </w:rPr>
        <w:t xml:space="preserve"> a visual source could have been at this time</w:t>
      </w:r>
      <w:r w:rsidR="00995301" w:rsidRPr="0037441E">
        <w:rPr>
          <w:sz w:val="22"/>
        </w:rPr>
        <w:t>, as well as displaying the popular interpretations of the battle at the time of its creation</w:t>
      </w:r>
      <w:r w:rsidR="001F28A6" w:rsidRPr="0037441E">
        <w:rPr>
          <w:sz w:val="22"/>
        </w:rPr>
        <w:t xml:space="preserve">. </w:t>
      </w:r>
    </w:p>
    <w:p w:rsidR="00F17478" w:rsidRPr="0037441E" w:rsidRDefault="00F17478" w:rsidP="00BA6EF0">
      <w:pPr>
        <w:spacing w:after="240" w:line="360" w:lineRule="auto"/>
        <w:ind w:firstLine="720"/>
        <w:jc w:val="both"/>
        <w:rPr>
          <w:sz w:val="22"/>
        </w:rPr>
      </w:pPr>
      <w:r w:rsidRPr="0037441E">
        <w:rPr>
          <w:sz w:val="22"/>
        </w:rPr>
        <w:t>Additionally, the way in which the battle is displaye</w:t>
      </w:r>
      <w:r w:rsidR="00C7764E" w:rsidRPr="0037441E">
        <w:rPr>
          <w:sz w:val="22"/>
        </w:rPr>
        <w:t>d within the Bayeux Tapestry is</w:t>
      </w:r>
      <w:r w:rsidRPr="0037441E">
        <w:rPr>
          <w:sz w:val="22"/>
        </w:rPr>
        <w:t xml:space="preserve"> again supported by other, written, primary sources. In the instan</w:t>
      </w:r>
      <w:r w:rsidR="005977F0" w:rsidRPr="0037441E">
        <w:rPr>
          <w:sz w:val="22"/>
        </w:rPr>
        <w:t>ce of the battle, Orderic Vitali</w:t>
      </w:r>
      <w:r w:rsidRPr="0037441E">
        <w:rPr>
          <w:sz w:val="22"/>
        </w:rPr>
        <w:t xml:space="preserve">s’ retelling of the Battle of Hastings within the </w:t>
      </w:r>
      <w:r w:rsidRPr="0037441E">
        <w:rPr>
          <w:i/>
          <w:sz w:val="22"/>
        </w:rPr>
        <w:t>Gesta Normannorum Ducum</w:t>
      </w:r>
      <w:r w:rsidRPr="0037441E">
        <w:rPr>
          <w:sz w:val="22"/>
        </w:rPr>
        <w:t xml:space="preserve"> supports the image of </w:t>
      </w:r>
      <w:r w:rsidR="00995301" w:rsidRPr="0037441E">
        <w:rPr>
          <w:sz w:val="22"/>
        </w:rPr>
        <w:t>both sides suffering large losses</w:t>
      </w:r>
      <w:r w:rsidRPr="0037441E">
        <w:rPr>
          <w:sz w:val="22"/>
        </w:rPr>
        <w:t xml:space="preserve">, as Orderic writes ‘Battle was joined at the third hour </w:t>
      </w:r>
      <w:r w:rsidR="00512FA9" w:rsidRPr="0037441E">
        <w:rPr>
          <w:sz w:val="22"/>
        </w:rPr>
        <w:t>and the slaughter on both sides continued until late in the evening.’</w:t>
      </w:r>
      <w:r w:rsidR="00512FA9" w:rsidRPr="0037441E">
        <w:rPr>
          <w:rStyle w:val="FootnoteReference"/>
          <w:sz w:val="22"/>
        </w:rPr>
        <w:footnoteReference w:id="14"/>
      </w:r>
      <w:r w:rsidR="00512FA9" w:rsidRPr="0037441E">
        <w:rPr>
          <w:sz w:val="22"/>
        </w:rPr>
        <w:t xml:space="preserve"> Although this does conform </w:t>
      </w:r>
      <w:r w:rsidR="001F28A6" w:rsidRPr="0037441E">
        <w:rPr>
          <w:sz w:val="22"/>
        </w:rPr>
        <w:t>to the knowledge that during the battle, the English were beginning to be surrounded</w:t>
      </w:r>
      <w:r w:rsidR="00EB2FD6" w:rsidRPr="0037441E">
        <w:rPr>
          <w:sz w:val="22"/>
        </w:rPr>
        <w:t>, and both sides were experiencing a large number of casualties. T</w:t>
      </w:r>
      <w:r w:rsidR="00512FA9" w:rsidRPr="0037441E">
        <w:rPr>
          <w:sz w:val="22"/>
        </w:rPr>
        <w:t xml:space="preserve">he </w:t>
      </w:r>
      <w:r w:rsidR="00512FA9" w:rsidRPr="0037441E">
        <w:rPr>
          <w:i/>
          <w:sz w:val="22"/>
        </w:rPr>
        <w:t xml:space="preserve">Gesta Normannorum Ducum </w:t>
      </w:r>
      <w:r w:rsidR="00512FA9" w:rsidRPr="0037441E">
        <w:rPr>
          <w:sz w:val="22"/>
        </w:rPr>
        <w:t>then fails to recount some specific details of the event that are clearly shown within the Bayeux Tapestry, namely that the Anglo-Saxons were fighting the Norman cav</w:t>
      </w:r>
      <w:r w:rsidR="002B727F" w:rsidRPr="0037441E">
        <w:rPr>
          <w:sz w:val="22"/>
        </w:rPr>
        <w:t>alry as an infantry with a shield wall formation</w:t>
      </w:r>
      <w:r w:rsidR="00FC3D43" w:rsidRPr="0037441E">
        <w:rPr>
          <w:sz w:val="22"/>
        </w:rPr>
        <w:t xml:space="preserve"> [See Appendix 2]</w:t>
      </w:r>
      <w:r w:rsidR="00512FA9" w:rsidRPr="0037441E">
        <w:rPr>
          <w:sz w:val="22"/>
        </w:rPr>
        <w:t>.</w:t>
      </w:r>
      <w:r w:rsidR="00FC3D43" w:rsidRPr="0037441E">
        <w:rPr>
          <w:rStyle w:val="FootnoteReference"/>
          <w:sz w:val="22"/>
        </w:rPr>
        <w:footnoteReference w:id="15"/>
      </w:r>
      <w:r w:rsidR="00512FA9" w:rsidRPr="0037441E">
        <w:rPr>
          <w:sz w:val="22"/>
        </w:rPr>
        <w:t xml:space="preserve"> </w:t>
      </w:r>
    </w:p>
    <w:p w:rsidR="00512FA9" w:rsidRPr="0037441E" w:rsidRDefault="00512FA9" w:rsidP="00512FA9">
      <w:pPr>
        <w:spacing w:after="240" w:line="360" w:lineRule="auto"/>
        <w:jc w:val="both"/>
        <w:rPr>
          <w:sz w:val="22"/>
        </w:rPr>
      </w:pPr>
      <w:r w:rsidRPr="0037441E">
        <w:rPr>
          <w:sz w:val="22"/>
        </w:rPr>
        <w:tab/>
        <w:t>Conversely, William of Poi</w:t>
      </w:r>
      <w:r w:rsidR="004D4EC7" w:rsidRPr="0037441E">
        <w:rPr>
          <w:sz w:val="22"/>
        </w:rPr>
        <w:t>tiers goes into detail surroundi</w:t>
      </w:r>
      <w:r w:rsidR="002B727F" w:rsidRPr="0037441E">
        <w:rPr>
          <w:sz w:val="22"/>
        </w:rPr>
        <w:t>ng the actions of the Anglo-Saxons before the battle ‘They immediately dismounted and went up on foot, drawn up one close to the other.’</w:t>
      </w:r>
      <w:r w:rsidR="002B727F" w:rsidRPr="0037441E">
        <w:rPr>
          <w:rStyle w:val="FootnoteReference"/>
          <w:sz w:val="22"/>
        </w:rPr>
        <w:footnoteReference w:id="16"/>
      </w:r>
      <w:r w:rsidR="002B727F" w:rsidRPr="0037441E">
        <w:rPr>
          <w:sz w:val="22"/>
        </w:rPr>
        <w:t xml:space="preserve"> This undoubtedly demonstrate</w:t>
      </w:r>
      <w:r w:rsidR="00C7764E" w:rsidRPr="0037441E">
        <w:rPr>
          <w:sz w:val="22"/>
        </w:rPr>
        <w:t>s</w:t>
      </w:r>
      <w:r w:rsidR="002B727F" w:rsidRPr="0037441E">
        <w:rPr>
          <w:sz w:val="22"/>
        </w:rPr>
        <w:t xml:space="preserve"> the fighting styles of the Anglo-Saxons that can also be found within the Bayeux Tapestry. Given the le</w:t>
      </w:r>
      <w:r w:rsidR="008A537C" w:rsidRPr="0037441E">
        <w:rPr>
          <w:sz w:val="22"/>
        </w:rPr>
        <w:t>vel of similarities between the</w:t>
      </w:r>
      <w:r w:rsidR="002B727F" w:rsidRPr="0037441E">
        <w:rPr>
          <w:sz w:val="22"/>
        </w:rPr>
        <w:t xml:space="preserve"> </w:t>
      </w:r>
      <w:r w:rsidR="002B727F" w:rsidRPr="0037441E">
        <w:rPr>
          <w:i/>
          <w:sz w:val="22"/>
        </w:rPr>
        <w:t xml:space="preserve">Gesta </w:t>
      </w:r>
      <w:r w:rsidR="002B727F" w:rsidRPr="00FB4A5E">
        <w:rPr>
          <w:i/>
          <w:noProof/>
          <w:sz w:val="22"/>
        </w:rPr>
        <w:t>Willeiml</w:t>
      </w:r>
      <w:r w:rsidR="008A537C" w:rsidRPr="0037441E">
        <w:rPr>
          <w:sz w:val="22"/>
        </w:rPr>
        <w:t xml:space="preserve"> and the Bayeux T</w:t>
      </w:r>
      <w:r w:rsidR="002B727F" w:rsidRPr="0037441E">
        <w:rPr>
          <w:sz w:val="22"/>
        </w:rPr>
        <w:t>apestry, it can be suggested that the tapestry</w:t>
      </w:r>
      <w:r w:rsidR="00642AAE" w:rsidRPr="0037441E">
        <w:rPr>
          <w:sz w:val="22"/>
        </w:rPr>
        <w:t xml:space="preserve"> was in fact based upon</w:t>
      </w:r>
      <w:r w:rsidR="00995301" w:rsidRPr="0037441E">
        <w:rPr>
          <w:sz w:val="22"/>
        </w:rPr>
        <w:t xml:space="preserve"> accounts </w:t>
      </w:r>
      <w:r w:rsidR="00642AAE" w:rsidRPr="0037441E">
        <w:rPr>
          <w:sz w:val="22"/>
        </w:rPr>
        <w:t>such as</w:t>
      </w:r>
      <w:r w:rsidR="00995301" w:rsidRPr="0037441E">
        <w:rPr>
          <w:sz w:val="22"/>
        </w:rPr>
        <w:t xml:space="preserve"> </w:t>
      </w:r>
      <w:r w:rsidR="00642AAE" w:rsidRPr="0037441E">
        <w:rPr>
          <w:sz w:val="22"/>
        </w:rPr>
        <w:t>William of Poitiers, rather than primary evidence from the event itself.</w:t>
      </w:r>
    </w:p>
    <w:p w:rsidR="00D03FC4" w:rsidRPr="0037441E" w:rsidRDefault="00D03FC4" w:rsidP="00711519">
      <w:pPr>
        <w:spacing w:after="240" w:line="360" w:lineRule="auto"/>
        <w:ind w:firstLine="720"/>
        <w:jc w:val="both"/>
        <w:rPr>
          <w:sz w:val="22"/>
        </w:rPr>
      </w:pPr>
      <w:r w:rsidRPr="0037441E">
        <w:rPr>
          <w:sz w:val="22"/>
        </w:rPr>
        <w:t>Yet with the instanc</w:t>
      </w:r>
      <w:r w:rsidR="00084E44">
        <w:rPr>
          <w:sz w:val="22"/>
        </w:rPr>
        <w:t xml:space="preserve">e of the battle itself, </w:t>
      </w:r>
      <w:r w:rsidRPr="0037441E">
        <w:rPr>
          <w:sz w:val="22"/>
        </w:rPr>
        <w:t xml:space="preserve">the sources </w:t>
      </w:r>
      <w:r w:rsidR="00084E44">
        <w:rPr>
          <w:sz w:val="22"/>
        </w:rPr>
        <w:t xml:space="preserve">do not </w:t>
      </w:r>
      <w:r w:rsidRPr="00084E44">
        <w:rPr>
          <w:noProof/>
          <w:sz w:val="22"/>
        </w:rPr>
        <w:t>appear</w:t>
      </w:r>
      <w:r w:rsidRPr="0037441E">
        <w:rPr>
          <w:sz w:val="22"/>
        </w:rPr>
        <w:t xml:space="preserve"> to belittle the Anglo-Saxon king, Harold. Although some sources, such as the William of Poitiers, do allude to the belief that Harold broke an oath of fealty towards William the Bastard, the sources instead seem to portray Harold as a brave warrior, not dissimilar from even William himself during the battle.</w:t>
      </w:r>
      <w:r w:rsidR="00642AAE" w:rsidRPr="0037441E">
        <w:rPr>
          <w:rStyle w:val="FootnoteReference"/>
          <w:sz w:val="22"/>
        </w:rPr>
        <w:footnoteReference w:id="17"/>
      </w:r>
      <w:r w:rsidRPr="0037441E">
        <w:rPr>
          <w:sz w:val="22"/>
        </w:rPr>
        <w:t xml:space="preserve"> For this, the Bayeux Tapestry also </w:t>
      </w:r>
      <w:r w:rsidR="00250195" w:rsidRPr="0037441E">
        <w:rPr>
          <w:sz w:val="22"/>
        </w:rPr>
        <w:t>concurs</w:t>
      </w:r>
      <w:r w:rsidRPr="0037441E">
        <w:rPr>
          <w:sz w:val="22"/>
        </w:rPr>
        <w:t>, as it often shows Harold fighting alongside his men and makes no attempt to insult or belittle his efforts on the battlefield</w:t>
      </w:r>
      <w:r w:rsidR="00642AAE" w:rsidRPr="0037441E">
        <w:rPr>
          <w:sz w:val="22"/>
        </w:rPr>
        <w:t xml:space="preserve"> [See Appendices 2 and 3]</w:t>
      </w:r>
      <w:r w:rsidRPr="0037441E">
        <w:rPr>
          <w:sz w:val="22"/>
        </w:rPr>
        <w:t xml:space="preserve">. </w:t>
      </w:r>
      <w:r w:rsidR="00594589" w:rsidRPr="0037441E">
        <w:rPr>
          <w:sz w:val="22"/>
        </w:rPr>
        <w:t>However, this lack of belittling</w:t>
      </w:r>
      <w:r w:rsidR="00EB2FD6" w:rsidRPr="0037441E">
        <w:rPr>
          <w:sz w:val="22"/>
        </w:rPr>
        <w:t xml:space="preserve"> does suggest that the Normans wished to maintain the greatness of their victory, which would have been somewhat lessened had they lessened the skills of their adversary.</w:t>
      </w:r>
    </w:p>
    <w:p w:rsidR="008A537C" w:rsidRPr="0037441E" w:rsidRDefault="008A537C" w:rsidP="008A537C">
      <w:pPr>
        <w:spacing w:after="240" w:line="360" w:lineRule="auto"/>
        <w:ind w:firstLine="720"/>
        <w:jc w:val="both"/>
        <w:rPr>
          <w:bCs/>
          <w:color w:val="450C02"/>
          <w:sz w:val="22"/>
          <w:szCs w:val="27"/>
        </w:rPr>
      </w:pPr>
      <w:r w:rsidRPr="0037441E">
        <w:rPr>
          <w:sz w:val="22"/>
        </w:rPr>
        <w:t>With Harold’s role throughout the battle itself, comes the tapestry’s arguably most famous and recognisable section, th</w:t>
      </w:r>
      <w:r w:rsidR="00C7764E" w:rsidRPr="0037441E">
        <w:rPr>
          <w:sz w:val="22"/>
        </w:rPr>
        <w:t>e death of Harold himself [See A</w:t>
      </w:r>
      <w:r w:rsidRPr="0037441E">
        <w:rPr>
          <w:sz w:val="22"/>
        </w:rPr>
        <w:t>ppendix 3]. This section of the tapestry has become one of the main sources for the death of Harold, however</w:t>
      </w:r>
      <w:r w:rsidR="00C7764E" w:rsidRPr="0037441E">
        <w:rPr>
          <w:sz w:val="22"/>
        </w:rPr>
        <w:t>,</w:t>
      </w:r>
      <w:r w:rsidRPr="0037441E">
        <w:rPr>
          <w:sz w:val="22"/>
        </w:rPr>
        <w:t xml:space="preserve"> it does not conform </w:t>
      </w:r>
      <w:r w:rsidR="00A95DFD" w:rsidRPr="0037441E">
        <w:rPr>
          <w:sz w:val="22"/>
        </w:rPr>
        <w:t>to</w:t>
      </w:r>
      <w:r w:rsidRPr="0037441E">
        <w:rPr>
          <w:sz w:val="22"/>
        </w:rPr>
        <w:t xml:space="preserve"> all of the other available written </w:t>
      </w:r>
      <w:r w:rsidR="00A95DFD" w:rsidRPr="0037441E">
        <w:rPr>
          <w:sz w:val="22"/>
        </w:rPr>
        <w:t xml:space="preserve">sources for the battle. Scholars have deduced that the figure, famously displayed with an arrow in his eye is </w:t>
      </w:r>
      <w:r w:rsidR="00642AAE" w:rsidRPr="0037441E">
        <w:rPr>
          <w:sz w:val="22"/>
        </w:rPr>
        <w:t xml:space="preserve">most likely to be </w:t>
      </w:r>
      <w:r w:rsidR="00A95DFD" w:rsidRPr="0037441E">
        <w:rPr>
          <w:sz w:val="22"/>
        </w:rPr>
        <w:t xml:space="preserve">the fallen King Harold, yet within the </w:t>
      </w:r>
      <w:r w:rsidR="00A95DFD" w:rsidRPr="0037441E">
        <w:rPr>
          <w:i/>
          <w:sz w:val="22"/>
        </w:rPr>
        <w:t xml:space="preserve">Gesta Normannorum </w:t>
      </w:r>
      <w:r w:rsidR="00A95DFD" w:rsidRPr="0037441E">
        <w:rPr>
          <w:i/>
          <w:sz w:val="22"/>
        </w:rPr>
        <w:lastRenderedPageBreak/>
        <w:t>Ducum</w:t>
      </w:r>
      <w:r w:rsidR="00250195" w:rsidRPr="0037441E">
        <w:rPr>
          <w:sz w:val="22"/>
        </w:rPr>
        <w:t>,</w:t>
      </w:r>
      <w:r w:rsidR="00A95DFD" w:rsidRPr="0037441E">
        <w:rPr>
          <w:sz w:val="22"/>
        </w:rPr>
        <w:t xml:space="preserve"> William of </w:t>
      </w:r>
      <w:r w:rsidR="00A95DFD" w:rsidRPr="00084E44">
        <w:rPr>
          <w:noProof/>
          <w:sz w:val="22"/>
        </w:rPr>
        <w:t>Jumi</w:t>
      </w:r>
      <w:r w:rsidR="00A95DFD" w:rsidRPr="00084E44">
        <w:rPr>
          <w:bCs/>
          <w:noProof/>
          <w:color w:val="450C02"/>
          <w:sz w:val="22"/>
        </w:rPr>
        <w:t>èges</w:t>
      </w:r>
      <w:r w:rsidR="00A95DFD" w:rsidRPr="0037441E">
        <w:rPr>
          <w:bCs/>
          <w:color w:val="450C02"/>
          <w:sz w:val="22"/>
        </w:rPr>
        <w:t xml:space="preserve"> fails to mention the </w:t>
      </w:r>
      <w:r w:rsidR="00642AAE" w:rsidRPr="0037441E">
        <w:rPr>
          <w:bCs/>
          <w:color w:val="450C02"/>
          <w:sz w:val="22"/>
        </w:rPr>
        <w:t>infamous</w:t>
      </w:r>
      <w:r w:rsidR="00A95DFD" w:rsidRPr="0037441E">
        <w:rPr>
          <w:bCs/>
          <w:color w:val="450C02"/>
          <w:sz w:val="22"/>
        </w:rPr>
        <w:t xml:space="preserve"> arrow in the eye version of Harold’s death</w:t>
      </w:r>
      <w:r w:rsidR="00A95DFD" w:rsidRPr="0037441E">
        <w:rPr>
          <w:bCs/>
          <w:sz w:val="22"/>
        </w:rPr>
        <w:t>.</w:t>
      </w:r>
      <w:r w:rsidR="00642AAE" w:rsidRPr="0037441E">
        <w:rPr>
          <w:rStyle w:val="FootnoteReference"/>
          <w:bCs/>
          <w:sz w:val="22"/>
        </w:rPr>
        <w:footnoteReference w:id="18"/>
      </w:r>
      <w:r w:rsidR="00A95DFD" w:rsidRPr="0037441E">
        <w:rPr>
          <w:bCs/>
          <w:szCs w:val="27"/>
        </w:rPr>
        <w:t xml:space="preserve"> </w:t>
      </w:r>
      <w:r w:rsidR="00A95DFD" w:rsidRPr="0037441E">
        <w:rPr>
          <w:bCs/>
          <w:sz w:val="22"/>
          <w:szCs w:val="27"/>
        </w:rPr>
        <w:t>Instead</w:t>
      </w:r>
      <w:r w:rsidR="00C7764E" w:rsidRPr="0037441E">
        <w:rPr>
          <w:bCs/>
          <w:sz w:val="22"/>
          <w:szCs w:val="27"/>
        </w:rPr>
        <w:t>,</w:t>
      </w:r>
      <w:r w:rsidR="00A95DFD" w:rsidRPr="0037441E">
        <w:rPr>
          <w:bCs/>
          <w:sz w:val="22"/>
          <w:szCs w:val="27"/>
        </w:rPr>
        <w:t xml:space="preserve"> he writes ‘Harold himself was slain, pierced with mortal wounds, during the first assault.’</w:t>
      </w:r>
      <w:r w:rsidR="00A95DFD" w:rsidRPr="0037441E">
        <w:rPr>
          <w:rStyle w:val="FootnoteReference"/>
          <w:bCs/>
          <w:sz w:val="22"/>
          <w:szCs w:val="27"/>
        </w:rPr>
        <w:footnoteReference w:id="19"/>
      </w:r>
      <w:r w:rsidR="001F28A6" w:rsidRPr="0037441E">
        <w:rPr>
          <w:bCs/>
          <w:sz w:val="22"/>
          <w:szCs w:val="27"/>
        </w:rPr>
        <w:t xml:space="preserve"> Many, more modern</w:t>
      </w:r>
      <w:r w:rsidR="00A95DFD" w:rsidRPr="0037441E">
        <w:rPr>
          <w:bCs/>
          <w:sz w:val="22"/>
          <w:szCs w:val="27"/>
        </w:rPr>
        <w:t xml:space="preserve"> scholars</w:t>
      </w:r>
      <w:r w:rsidR="001F28A6" w:rsidRPr="0037441E">
        <w:rPr>
          <w:bCs/>
          <w:sz w:val="22"/>
          <w:szCs w:val="27"/>
        </w:rPr>
        <w:t>,</w:t>
      </w:r>
      <w:r w:rsidR="00A95DFD" w:rsidRPr="0037441E">
        <w:rPr>
          <w:bCs/>
          <w:sz w:val="22"/>
          <w:szCs w:val="27"/>
        </w:rPr>
        <w:t xml:space="preserve"> have noted how this version of events depicts Harold’s death much earlier in the Battle of Hastings when compared to others</w:t>
      </w:r>
      <w:r w:rsidR="001F28A6" w:rsidRPr="0037441E">
        <w:rPr>
          <w:bCs/>
          <w:sz w:val="22"/>
          <w:szCs w:val="27"/>
        </w:rPr>
        <w:t>,</w:t>
      </w:r>
      <w:r w:rsidR="00A95DFD" w:rsidRPr="0037441E">
        <w:rPr>
          <w:bCs/>
          <w:sz w:val="22"/>
          <w:szCs w:val="27"/>
        </w:rPr>
        <w:t xml:space="preserve"> such as the Bayeu</w:t>
      </w:r>
      <w:r w:rsidR="001F28A6" w:rsidRPr="0037441E">
        <w:rPr>
          <w:bCs/>
          <w:sz w:val="22"/>
          <w:szCs w:val="27"/>
        </w:rPr>
        <w:t>x Tapestry, which appears to</w:t>
      </w:r>
      <w:r w:rsidR="00A95DFD" w:rsidRPr="0037441E">
        <w:rPr>
          <w:bCs/>
          <w:sz w:val="22"/>
          <w:szCs w:val="27"/>
        </w:rPr>
        <w:t xml:space="preserve"> time Harold’s death much later within the battle</w:t>
      </w:r>
      <w:r w:rsidR="00642AAE" w:rsidRPr="0037441E">
        <w:rPr>
          <w:bCs/>
          <w:sz w:val="22"/>
          <w:szCs w:val="27"/>
        </w:rPr>
        <w:t xml:space="preserve"> [See Appendix 3]</w:t>
      </w:r>
      <w:r w:rsidR="00A95DFD" w:rsidRPr="0037441E">
        <w:rPr>
          <w:bCs/>
          <w:sz w:val="22"/>
          <w:szCs w:val="27"/>
        </w:rPr>
        <w:t>.</w:t>
      </w:r>
      <w:r w:rsidR="00EB2FD6" w:rsidRPr="0037441E">
        <w:rPr>
          <w:bCs/>
          <w:sz w:val="22"/>
          <w:szCs w:val="27"/>
        </w:rPr>
        <w:t xml:space="preserve"> This does bring into question </w:t>
      </w:r>
      <w:r w:rsidR="00EB2FD6" w:rsidRPr="0037441E">
        <w:rPr>
          <w:bCs/>
          <w:color w:val="450C02"/>
          <w:sz w:val="22"/>
          <w:szCs w:val="27"/>
        </w:rPr>
        <w:t xml:space="preserve">the usefulness of the tapestry as a source for these events, given that modern scholars often disagree </w:t>
      </w:r>
      <w:r w:rsidR="00262B71" w:rsidRPr="0037441E">
        <w:rPr>
          <w:bCs/>
          <w:color w:val="450C02"/>
          <w:sz w:val="22"/>
          <w:szCs w:val="27"/>
        </w:rPr>
        <w:t>with the tapestry’s claim that this figure is in fact</w:t>
      </w:r>
      <w:r w:rsidR="00CC30C0" w:rsidRPr="0037441E">
        <w:rPr>
          <w:bCs/>
          <w:color w:val="450C02"/>
          <w:sz w:val="22"/>
          <w:szCs w:val="27"/>
        </w:rPr>
        <w:t>,</w:t>
      </w:r>
      <w:r w:rsidR="00262B71" w:rsidRPr="0037441E">
        <w:rPr>
          <w:bCs/>
          <w:color w:val="450C02"/>
          <w:sz w:val="22"/>
          <w:szCs w:val="27"/>
        </w:rPr>
        <w:t xml:space="preserve"> Harold.</w:t>
      </w:r>
      <w:r w:rsidR="00874FAA" w:rsidRPr="0037441E">
        <w:rPr>
          <w:rStyle w:val="FootnoteReference"/>
          <w:bCs/>
          <w:color w:val="450C02"/>
          <w:sz w:val="22"/>
          <w:szCs w:val="27"/>
        </w:rPr>
        <w:footnoteReference w:id="20"/>
      </w:r>
    </w:p>
    <w:p w:rsidR="00EC4355" w:rsidRPr="0037441E" w:rsidRDefault="00EC4355" w:rsidP="00EC4355">
      <w:pPr>
        <w:spacing w:after="240" w:line="360" w:lineRule="auto"/>
        <w:ind w:firstLine="720"/>
        <w:jc w:val="both"/>
        <w:rPr>
          <w:sz w:val="22"/>
        </w:rPr>
      </w:pPr>
      <w:r w:rsidRPr="0037441E">
        <w:rPr>
          <w:sz w:val="22"/>
        </w:rPr>
        <w:t>Nevertheless, it has been suggested that the Bayeux Tapestry is a highly edited piece, this is</w:t>
      </w:r>
      <w:r w:rsidR="00642AAE" w:rsidRPr="0037441E">
        <w:rPr>
          <w:sz w:val="22"/>
        </w:rPr>
        <w:t>, again,</w:t>
      </w:r>
      <w:r w:rsidRPr="0037441E">
        <w:rPr>
          <w:sz w:val="22"/>
        </w:rPr>
        <w:t xml:space="preserve"> mainly due to the death scene relating to Harold’s death, this is mainly due to the ea</w:t>
      </w:r>
      <w:r w:rsidR="00CC30C0" w:rsidRPr="0037441E">
        <w:rPr>
          <w:sz w:val="22"/>
        </w:rPr>
        <w:t>rly writing of Amatus of Montec</w:t>
      </w:r>
      <w:r w:rsidRPr="0037441E">
        <w:rPr>
          <w:sz w:val="22"/>
        </w:rPr>
        <w:t>assino, who writes ‘William first went against Harold, fought against him, gouged out his eye with an arrow, and slew a great many Englishmen.’</w:t>
      </w:r>
      <w:r w:rsidRPr="0037441E">
        <w:rPr>
          <w:rStyle w:val="FootnoteReference"/>
          <w:sz w:val="22"/>
        </w:rPr>
        <w:footnoteReference w:id="21"/>
      </w:r>
      <w:r w:rsidRPr="0037441E">
        <w:rPr>
          <w:sz w:val="22"/>
        </w:rPr>
        <w:t xml:space="preserve"> From this, it is plausible to suggest that Amatus’ work directly influenced Norman history, thus creating one of the most famous events in English history.</w:t>
      </w:r>
      <w:r w:rsidR="00642AAE" w:rsidRPr="0037441E">
        <w:rPr>
          <w:rStyle w:val="FootnoteReference"/>
          <w:sz w:val="22"/>
        </w:rPr>
        <w:footnoteReference w:id="22"/>
      </w:r>
      <w:r w:rsidRPr="0037441E">
        <w:rPr>
          <w:sz w:val="22"/>
        </w:rPr>
        <w:t xml:space="preserve"> Additionally, this is further supported by research that has been conducted upon the tapestry itself, which has led many to believe that the arrow was</w:t>
      </w:r>
      <w:r w:rsidR="00084E44">
        <w:rPr>
          <w:sz w:val="22"/>
        </w:rPr>
        <w:t>, in fact,</w:t>
      </w:r>
      <w:r w:rsidRPr="0037441E">
        <w:rPr>
          <w:sz w:val="22"/>
        </w:rPr>
        <w:t xml:space="preserve"> a later addition, added to make the tapestry conform to the accounts of the written sources such as Ama</w:t>
      </w:r>
      <w:r w:rsidR="00CC30C0" w:rsidRPr="0037441E">
        <w:rPr>
          <w:sz w:val="22"/>
        </w:rPr>
        <w:t>tus of Montec</w:t>
      </w:r>
      <w:r w:rsidRPr="0037441E">
        <w:rPr>
          <w:sz w:val="22"/>
        </w:rPr>
        <w:t>assino and William of Malmesbury.</w:t>
      </w:r>
      <w:r w:rsidR="009175B5" w:rsidRPr="0037441E">
        <w:rPr>
          <w:rStyle w:val="FootnoteReference"/>
          <w:sz w:val="22"/>
        </w:rPr>
        <w:footnoteReference w:id="23"/>
      </w:r>
    </w:p>
    <w:p w:rsidR="00A95DFD" w:rsidRPr="0037441E" w:rsidRDefault="00A95DFD" w:rsidP="008A537C">
      <w:pPr>
        <w:spacing w:after="240" w:line="360" w:lineRule="auto"/>
        <w:ind w:firstLine="720"/>
        <w:jc w:val="both"/>
        <w:rPr>
          <w:sz w:val="22"/>
        </w:rPr>
      </w:pPr>
      <w:r w:rsidRPr="0037441E">
        <w:rPr>
          <w:sz w:val="22"/>
        </w:rPr>
        <w:t xml:space="preserve">Moreover, William of Poitiers, within his </w:t>
      </w:r>
      <w:r w:rsidRPr="0037441E">
        <w:rPr>
          <w:i/>
          <w:sz w:val="22"/>
        </w:rPr>
        <w:t xml:space="preserve">Gesta </w:t>
      </w:r>
      <w:r w:rsidRPr="00FB4A5E">
        <w:rPr>
          <w:i/>
          <w:noProof/>
          <w:sz w:val="22"/>
        </w:rPr>
        <w:t>Willeiml</w:t>
      </w:r>
      <w:r w:rsidRPr="0037441E">
        <w:rPr>
          <w:sz w:val="22"/>
        </w:rPr>
        <w:t xml:space="preserve">, </w:t>
      </w:r>
      <w:r w:rsidR="00C5601B" w:rsidRPr="0037441E">
        <w:rPr>
          <w:sz w:val="22"/>
        </w:rPr>
        <w:t>fails to provide any specific details surrounding Harold’s death.</w:t>
      </w:r>
      <w:r w:rsidR="00C5601B" w:rsidRPr="0037441E">
        <w:rPr>
          <w:rStyle w:val="FootnoteReference"/>
          <w:sz w:val="22"/>
        </w:rPr>
        <w:footnoteReference w:id="24"/>
      </w:r>
      <w:r w:rsidR="00C5601B" w:rsidRPr="0037441E">
        <w:rPr>
          <w:sz w:val="22"/>
        </w:rPr>
        <w:t xml:space="preserve"> Poitiers note</w:t>
      </w:r>
      <w:r w:rsidR="00C7764E" w:rsidRPr="0037441E">
        <w:rPr>
          <w:sz w:val="22"/>
        </w:rPr>
        <w:t>s that the English had only begu</w:t>
      </w:r>
      <w:r w:rsidR="00C5601B" w:rsidRPr="0037441E">
        <w:rPr>
          <w:sz w:val="22"/>
        </w:rPr>
        <w:t>n to falter in strength by the end of the day, furthermore, he writes ‘The king himself, his brothers and the leading men of the kingdom had been killed.’</w:t>
      </w:r>
      <w:r w:rsidR="00FC3D43" w:rsidRPr="0037441E">
        <w:rPr>
          <w:rStyle w:val="FootnoteReference"/>
          <w:sz w:val="22"/>
        </w:rPr>
        <w:footnoteReference w:id="25"/>
      </w:r>
      <w:r w:rsidR="00C5601B" w:rsidRPr="0037441E">
        <w:rPr>
          <w:sz w:val="22"/>
        </w:rPr>
        <w:t xml:space="preserve"> From this</w:t>
      </w:r>
      <w:r w:rsidR="00C7764E" w:rsidRPr="0037441E">
        <w:rPr>
          <w:sz w:val="22"/>
        </w:rPr>
        <w:t>,</w:t>
      </w:r>
      <w:r w:rsidR="00C5601B" w:rsidRPr="0037441E">
        <w:rPr>
          <w:sz w:val="22"/>
        </w:rPr>
        <w:t xml:space="preserve"> it is possible to infer that the details of Harold’s death were a later addition, intended to add a more dramatic end to the English king, by authors such as William of Malmesbury.</w:t>
      </w:r>
      <w:r w:rsidR="00C5601B" w:rsidRPr="0037441E">
        <w:rPr>
          <w:rStyle w:val="FootnoteReference"/>
          <w:sz w:val="22"/>
        </w:rPr>
        <w:footnoteReference w:id="26"/>
      </w:r>
      <w:r w:rsidR="00C5601B" w:rsidRPr="0037441E">
        <w:rPr>
          <w:sz w:val="22"/>
        </w:rPr>
        <w:t xml:space="preserve"> </w:t>
      </w:r>
      <w:r w:rsidR="00890265" w:rsidRPr="0037441E">
        <w:rPr>
          <w:sz w:val="22"/>
        </w:rPr>
        <w:t xml:space="preserve">However, modern scholars </w:t>
      </w:r>
      <w:r w:rsidR="00594589" w:rsidRPr="0037441E">
        <w:rPr>
          <w:sz w:val="22"/>
        </w:rPr>
        <w:t xml:space="preserve">such as Rex, </w:t>
      </w:r>
      <w:r w:rsidR="00890265" w:rsidRPr="0037441E">
        <w:rPr>
          <w:sz w:val="22"/>
        </w:rPr>
        <w:t>believe that the tapestry would have been commissioned around the year 1070 by the Bishop of Bayeux, who was</w:t>
      </w:r>
      <w:r w:rsidR="00C7764E" w:rsidRPr="0037441E">
        <w:rPr>
          <w:sz w:val="22"/>
        </w:rPr>
        <w:t>,</w:t>
      </w:r>
      <w:r w:rsidR="00890265" w:rsidRPr="0037441E">
        <w:rPr>
          <w:sz w:val="22"/>
        </w:rPr>
        <w:t xml:space="preserve"> in fact</w:t>
      </w:r>
      <w:r w:rsidR="00C7764E" w:rsidRPr="0037441E">
        <w:rPr>
          <w:sz w:val="22"/>
        </w:rPr>
        <w:t>,</w:t>
      </w:r>
      <w:r w:rsidR="00890265" w:rsidRPr="0037441E">
        <w:rPr>
          <w:sz w:val="22"/>
        </w:rPr>
        <w:t xml:space="preserve"> William the Conquerors half-brother, Odo.</w:t>
      </w:r>
      <w:r w:rsidR="00B33F54" w:rsidRPr="0037441E">
        <w:rPr>
          <w:rStyle w:val="FootnoteReference"/>
          <w:sz w:val="22"/>
        </w:rPr>
        <w:footnoteReference w:id="27"/>
      </w:r>
      <w:r w:rsidR="00890265" w:rsidRPr="0037441E">
        <w:rPr>
          <w:sz w:val="22"/>
        </w:rPr>
        <w:t xml:space="preserve"> Given the suggested date of the tapestry’s creation, it would be prudent to believe that the work shown upon it, had affected the later written histories</w:t>
      </w:r>
      <w:r w:rsidR="00642AAE" w:rsidRPr="0037441E">
        <w:rPr>
          <w:sz w:val="22"/>
        </w:rPr>
        <w:t xml:space="preserve"> and visa </w:t>
      </w:r>
      <w:r w:rsidR="00642AAE" w:rsidRPr="00FB4A5E">
        <w:rPr>
          <w:noProof/>
          <w:sz w:val="22"/>
        </w:rPr>
        <w:t>versa</w:t>
      </w:r>
      <w:r w:rsidR="00890265" w:rsidRPr="0037441E">
        <w:rPr>
          <w:sz w:val="22"/>
        </w:rPr>
        <w:t xml:space="preserve">, thus elevating the Bayeux Tapestry to a more influential position and further, becoming a more useful source for the </w:t>
      </w:r>
      <w:r w:rsidR="00890265" w:rsidRPr="0037441E">
        <w:rPr>
          <w:sz w:val="22"/>
        </w:rPr>
        <w:lastRenderedPageBreak/>
        <w:t>Norman invasion, as it was clearly understood at the time to be an accurate representation of the events surrounding the invasion of Britain.</w:t>
      </w:r>
    </w:p>
    <w:p w:rsidR="00A05A90" w:rsidRPr="0037441E" w:rsidRDefault="00A05A90" w:rsidP="005977F0">
      <w:pPr>
        <w:spacing w:after="240" w:line="360" w:lineRule="auto"/>
        <w:ind w:firstLine="720"/>
        <w:jc w:val="both"/>
        <w:rPr>
          <w:sz w:val="22"/>
        </w:rPr>
      </w:pPr>
      <w:r w:rsidRPr="0037441E">
        <w:rPr>
          <w:sz w:val="22"/>
        </w:rPr>
        <w:t xml:space="preserve">This understanding of the tapestry’s importance and usefulness as a source can be directly seen within William of Malmesbury’s </w:t>
      </w:r>
      <w:r w:rsidRPr="0037441E">
        <w:rPr>
          <w:i/>
          <w:sz w:val="22"/>
        </w:rPr>
        <w:t>Gesta Regum Anglorum</w:t>
      </w:r>
      <w:r w:rsidRPr="0037441E">
        <w:rPr>
          <w:sz w:val="22"/>
        </w:rPr>
        <w:t xml:space="preserve"> where he described how ‘ … [Harold’s] brain was pierced by an arrow and he fell …’,</w:t>
      </w:r>
      <w:r w:rsidR="00691D42" w:rsidRPr="0037441E">
        <w:rPr>
          <w:rStyle w:val="FootnoteReference"/>
          <w:sz w:val="22"/>
        </w:rPr>
        <w:footnoteReference w:id="28"/>
      </w:r>
      <w:r w:rsidRPr="0037441E">
        <w:rPr>
          <w:sz w:val="22"/>
        </w:rPr>
        <w:t xml:space="preserve"> clearly Malmesbury’s account of the battle and death of Harold share many similarities, proceeding to the notion that as William of Malmesbury was writing in the early 12</w:t>
      </w:r>
      <w:r w:rsidRPr="0037441E">
        <w:rPr>
          <w:sz w:val="22"/>
          <w:vertAlign w:val="superscript"/>
        </w:rPr>
        <w:t>th</w:t>
      </w:r>
      <w:r w:rsidR="00C7764E" w:rsidRPr="0037441E">
        <w:rPr>
          <w:sz w:val="22"/>
        </w:rPr>
        <w:t xml:space="preserve"> century, his work</w:t>
      </w:r>
      <w:r w:rsidRPr="0037441E">
        <w:rPr>
          <w:sz w:val="22"/>
        </w:rPr>
        <w:t xml:space="preserve"> could have easily been influenced by the events </w:t>
      </w:r>
      <w:r w:rsidR="001F28A6" w:rsidRPr="0037441E">
        <w:rPr>
          <w:sz w:val="22"/>
        </w:rPr>
        <w:t xml:space="preserve">as </w:t>
      </w:r>
      <w:r w:rsidRPr="0037441E">
        <w:rPr>
          <w:sz w:val="22"/>
        </w:rPr>
        <w:t xml:space="preserve">depicted within the tapestry. </w:t>
      </w:r>
      <w:r w:rsidR="00B33F54" w:rsidRPr="0037441E">
        <w:rPr>
          <w:sz w:val="22"/>
        </w:rPr>
        <w:t>This creat</w:t>
      </w:r>
      <w:r w:rsidR="001F28A6" w:rsidRPr="0037441E">
        <w:rPr>
          <w:sz w:val="22"/>
        </w:rPr>
        <w:t xml:space="preserve">es a </w:t>
      </w:r>
      <w:r w:rsidR="00B33F54" w:rsidRPr="0037441E">
        <w:rPr>
          <w:sz w:val="22"/>
        </w:rPr>
        <w:t xml:space="preserve">web of resources, and it seems that in order to gain a more solidly detailed version of the events of the Norman invasion, all of the sources have to be </w:t>
      </w:r>
      <w:r w:rsidR="001F28A6" w:rsidRPr="0037441E">
        <w:rPr>
          <w:sz w:val="22"/>
        </w:rPr>
        <w:t>consulted</w:t>
      </w:r>
      <w:r w:rsidR="00B33F54" w:rsidRPr="0037441E">
        <w:rPr>
          <w:sz w:val="22"/>
        </w:rPr>
        <w:t>, which then enables a clearer image of added, later, information, along with common themes running throughout, such as the period of waiting and councils before William the Bastard</w:t>
      </w:r>
      <w:r w:rsidR="00556783" w:rsidRPr="0037441E">
        <w:rPr>
          <w:sz w:val="22"/>
        </w:rPr>
        <w:t>’</w:t>
      </w:r>
      <w:r w:rsidR="00B33F54" w:rsidRPr="0037441E">
        <w:rPr>
          <w:sz w:val="22"/>
        </w:rPr>
        <w:t>s invasion actually commenced.</w:t>
      </w:r>
      <w:r w:rsidR="00B33F54" w:rsidRPr="0037441E">
        <w:rPr>
          <w:rStyle w:val="FootnoteReference"/>
          <w:sz w:val="22"/>
        </w:rPr>
        <w:footnoteReference w:id="29"/>
      </w:r>
    </w:p>
    <w:p w:rsidR="00EB2FD6" w:rsidRPr="0037441E" w:rsidRDefault="00EB2FD6" w:rsidP="00EB2FD6">
      <w:pPr>
        <w:spacing w:after="240" w:line="360" w:lineRule="auto"/>
        <w:ind w:firstLine="720"/>
        <w:jc w:val="both"/>
        <w:rPr>
          <w:sz w:val="22"/>
        </w:rPr>
      </w:pPr>
      <w:r w:rsidRPr="0037441E">
        <w:rPr>
          <w:sz w:val="22"/>
        </w:rPr>
        <w:t xml:space="preserve">All of the </w:t>
      </w:r>
      <w:r w:rsidR="00CC30C0" w:rsidRPr="0037441E">
        <w:rPr>
          <w:sz w:val="22"/>
        </w:rPr>
        <w:t>sources that have been assessed</w:t>
      </w:r>
      <w:r w:rsidRPr="0037441E">
        <w:rPr>
          <w:sz w:val="22"/>
        </w:rPr>
        <w:t xml:space="preserve"> have been in favour of the Normans, this is mainly due to the fact that the English source, namely the </w:t>
      </w:r>
      <w:r w:rsidRPr="0037441E">
        <w:rPr>
          <w:i/>
          <w:sz w:val="22"/>
        </w:rPr>
        <w:t>Anglo-Saxon Chronicle</w:t>
      </w:r>
      <w:r w:rsidRPr="0037441E">
        <w:rPr>
          <w:sz w:val="22"/>
        </w:rPr>
        <w:t>, provides few specific details surrounding the invasion itself.</w:t>
      </w:r>
      <w:r w:rsidR="00642AAE" w:rsidRPr="0037441E">
        <w:rPr>
          <w:rStyle w:val="FootnoteReference"/>
          <w:sz w:val="22"/>
        </w:rPr>
        <w:footnoteReference w:id="30"/>
      </w:r>
      <w:r w:rsidRPr="0037441E">
        <w:rPr>
          <w:sz w:val="22"/>
        </w:rPr>
        <w:t xml:space="preserve"> Within the chronicle, the Worchester Manuscript does state that Harold was killed durin</w:t>
      </w:r>
      <w:r w:rsidR="00CC30C0" w:rsidRPr="0037441E">
        <w:rPr>
          <w:sz w:val="22"/>
        </w:rPr>
        <w:t>g the battle, however, gives no</w:t>
      </w:r>
      <w:r w:rsidRPr="0037441E">
        <w:rPr>
          <w:sz w:val="22"/>
        </w:rPr>
        <w:t xml:space="preserve"> details surrounding the means of his death, this can also be said for Manuscript E.</w:t>
      </w:r>
      <w:r w:rsidRPr="0037441E">
        <w:rPr>
          <w:rStyle w:val="FootnoteReference"/>
          <w:sz w:val="22"/>
        </w:rPr>
        <w:footnoteReference w:id="31"/>
      </w:r>
      <w:r w:rsidRPr="0037441E">
        <w:rPr>
          <w:sz w:val="22"/>
        </w:rPr>
        <w:t xml:space="preserve"> This would suggest that many of the details surrounding th</w:t>
      </w:r>
      <w:r w:rsidR="00CC30C0" w:rsidRPr="0037441E">
        <w:rPr>
          <w:sz w:val="22"/>
        </w:rPr>
        <w:t>e events of the Norman invasion</w:t>
      </w:r>
      <w:r w:rsidRPr="0037441E">
        <w:rPr>
          <w:sz w:val="22"/>
        </w:rPr>
        <w:t xml:space="preserve"> have indeed been heavily influenced by the Normans themselves, in favour supporting the idea of ‘Normanitas’. </w:t>
      </w:r>
      <w:r w:rsidR="008C222C" w:rsidRPr="0037441E">
        <w:rPr>
          <w:sz w:val="22"/>
        </w:rPr>
        <w:t>For scholars such as Albu, the warped details surrounding Norman histories are often a result of attempts made by the Normans themselves to solidify their claims on a land.</w:t>
      </w:r>
      <w:r w:rsidR="008C222C" w:rsidRPr="0037441E">
        <w:rPr>
          <w:rStyle w:val="FootnoteReference"/>
          <w:sz w:val="22"/>
        </w:rPr>
        <w:footnoteReference w:id="32"/>
      </w:r>
    </w:p>
    <w:p w:rsidR="005977F0" w:rsidRPr="0037441E" w:rsidRDefault="00691D42" w:rsidP="005977F0">
      <w:pPr>
        <w:spacing w:after="240" w:line="360" w:lineRule="auto"/>
        <w:ind w:firstLine="720"/>
        <w:jc w:val="both"/>
        <w:rPr>
          <w:sz w:val="22"/>
        </w:rPr>
      </w:pPr>
      <w:r w:rsidRPr="0037441E">
        <w:rPr>
          <w:sz w:val="22"/>
        </w:rPr>
        <w:t>The Bayeux Tapestry ends abruptly with the Norman victory and the murdering of the fleeing English soldiers, yet after this event</w:t>
      </w:r>
      <w:r w:rsidR="00C7764E" w:rsidRPr="0037441E">
        <w:rPr>
          <w:sz w:val="22"/>
        </w:rPr>
        <w:t>,</w:t>
      </w:r>
      <w:r w:rsidRPr="0037441E">
        <w:rPr>
          <w:sz w:val="22"/>
        </w:rPr>
        <w:t xml:space="preserve"> the written sources continue to </w:t>
      </w:r>
      <w:r w:rsidR="00250195" w:rsidRPr="0037441E">
        <w:rPr>
          <w:sz w:val="22"/>
        </w:rPr>
        <w:t>describe</w:t>
      </w:r>
      <w:r w:rsidRPr="0037441E">
        <w:rPr>
          <w:sz w:val="22"/>
        </w:rPr>
        <w:t xml:space="preserve"> the actions of William, his coronation and his task of conquering the rebellious Anglo-Saxons. </w:t>
      </w:r>
      <w:r w:rsidR="00B33F54" w:rsidRPr="0037441E">
        <w:rPr>
          <w:sz w:val="22"/>
        </w:rPr>
        <w:t>As the tapestry displays none of</w:t>
      </w:r>
      <w:r w:rsidRPr="0037441E">
        <w:rPr>
          <w:sz w:val="22"/>
        </w:rPr>
        <w:t xml:space="preserve"> the events after the battle it</w:t>
      </w:r>
      <w:r w:rsidR="00B33F54" w:rsidRPr="0037441E">
        <w:rPr>
          <w:sz w:val="22"/>
        </w:rPr>
        <w:t>self, this lack of subsequent events is one of the tapestry’s greatest limitations as a source for the Norman invasion of England in 1066. Many of the other, literary, sources appear to han</w:t>
      </w:r>
      <w:r w:rsidR="00250195" w:rsidRPr="0037441E">
        <w:rPr>
          <w:sz w:val="22"/>
        </w:rPr>
        <w:t>dle the aftermath of the battle</w:t>
      </w:r>
      <w:r w:rsidR="00B33F54" w:rsidRPr="0037441E">
        <w:rPr>
          <w:sz w:val="22"/>
        </w:rPr>
        <w:t xml:space="preserve"> somewhat </w:t>
      </w:r>
      <w:r w:rsidR="00250195" w:rsidRPr="0037441E">
        <w:rPr>
          <w:sz w:val="22"/>
        </w:rPr>
        <w:t>carefully</w:t>
      </w:r>
      <w:r w:rsidR="00B33F54" w:rsidRPr="0037441E">
        <w:rPr>
          <w:sz w:val="22"/>
        </w:rPr>
        <w:t>, given what is now widely known of the rebellions</w:t>
      </w:r>
      <w:r w:rsidR="00642AAE" w:rsidRPr="0037441E">
        <w:rPr>
          <w:sz w:val="22"/>
        </w:rPr>
        <w:t>,</w:t>
      </w:r>
      <w:r w:rsidR="00B33F54" w:rsidRPr="0037441E">
        <w:rPr>
          <w:sz w:val="22"/>
        </w:rPr>
        <w:t xml:space="preserve"> </w:t>
      </w:r>
      <w:r w:rsidR="00642AAE" w:rsidRPr="0037441E">
        <w:rPr>
          <w:sz w:val="22"/>
        </w:rPr>
        <w:t>such as</w:t>
      </w:r>
      <w:r w:rsidR="00B33F54" w:rsidRPr="0037441E">
        <w:rPr>
          <w:sz w:val="22"/>
        </w:rPr>
        <w:t xml:space="preserve"> the Ha</w:t>
      </w:r>
      <w:r w:rsidR="00250195" w:rsidRPr="0037441E">
        <w:rPr>
          <w:sz w:val="22"/>
        </w:rPr>
        <w:t>rrying of the North.</w:t>
      </w:r>
      <w:r w:rsidR="00642AAE" w:rsidRPr="0037441E">
        <w:rPr>
          <w:rStyle w:val="FootnoteReference"/>
          <w:sz w:val="22"/>
        </w:rPr>
        <w:footnoteReference w:id="33"/>
      </w:r>
      <w:r w:rsidR="00250195" w:rsidRPr="0037441E">
        <w:rPr>
          <w:sz w:val="22"/>
        </w:rPr>
        <w:t xml:space="preserve"> I</w:t>
      </w:r>
      <w:r w:rsidR="00B33F54" w:rsidRPr="0037441E">
        <w:rPr>
          <w:sz w:val="22"/>
        </w:rPr>
        <w:t>t is clear that the written sources atte</w:t>
      </w:r>
      <w:r w:rsidR="00492568" w:rsidRPr="0037441E">
        <w:rPr>
          <w:sz w:val="22"/>
        </w:rPr>
        <w:t xml:space="preserve">mpted to heavily </w:t>
      </w:r>
      <w:r w:rsidR="00492568" w:rsidRPr="0037441E">
        <w:rPr>
          <w:sz w:val="22"/>
        </w:rPr>
        <w:lastRenderedPageBreak/>
        <w:t>whit</w:t>
      </w:r>
      <w:r w:rsidR="00250195" w:rsidRPr="0037441E">
        <w:rPr>
          <w:sz w:val="22"/>
        </w:rPr>
        <w:t>ewash the skirmishes and clashes</w:t>
      </w:r>
      <w:r w:rsidR="00492568" w:rsidRPr="0037441E">
        <w:rPr>
          <w:sz w:val="22"/>
        </w:rPr>
        <w:t xml:space="preserve"> between the Normans and the Anglo-Saxons after the battle and fall of Harold. </w:t>
      </w:r>
    </w:p>
    <w:p w:rsidR="005977F0" w:rsidRPr="0037441E" w:rsidRDefault="005977F0" w:rsidP="00F60D77">
      <w:pPr>
        <w:spacing w:after="240" w:line="360" w:lineRule="auto"/>
        <w:ind w:firstLine="720"/>
        <w:jc w:val="both"/>
        <w:rPr>
          <w:sz w:val="22"/>
        </w:rPr>
      </w:pPr>
      <w:r w:rsidRPr="0037441E">
        <w:rPr>
          <w:sz w:val="22"/>
        </w:rPr>
        <w:t>To highlight this period of instability, William of Malmesbury wrote</w:t>
      </w:r>
      <w:r w:rsidR="00930597" w:rsidRPr="0037441E">
        <w:rPr>
          <w:sz w:val="22"/>
        </w:rPr>
        <w:t xml:space="preserve"> ‘All the campaigns which he the</w:t>
      </w:r>
      <w:r w:rsidR="00250195" w:rsidRPr="0037441E">
        <w:rPr>
          <w:sz w:val="22"/>
        </w:rPr>
        <w:t>n</w:t>
      </w:r>
      <w:r w:rsidR="00930597" w:rsidRPr="0037441E">
        <w:rPr>
          <w:sz w:val="22"/>
        </w:rPr>
        <w:t xml:space="preserve"> foug</w:t>
      </w:r>
      <w:r w:rsidR="00046BFF" w:rsidRPr="0037441E">
        <w:rPr>
          <w:sz w:val="22"/>
        </w:rPr>
        <w:t>ht can be summarized as follows,</w:t>
      </w:r>
      <w:r w:rsidR="00930597" w:rsidRPr="0037441E">
        <w:rPr>
          <w:sz w:val="22"/>
        </w:rPr>
        <w:t xml:space="preserve"> </w:t>
      </w:r>
      <w:r w:rsidR="00046BFF" w:rsidRPr="0037441E">
        <w:rPr>
          <w:sz w:val="22"/>
        </w:rPr>
        <w:t>‘</w:t>
      </w:r>
      <w:r w:rsidR="00930597" w:rsidRPr="0037441E">
        <w:rPr>
          <w:sz w:val="22"/>
        </w:rPr>
        <w:t>The city of Exeter, which was in revolt, he easily subdued, aided as he was by the help of Heaven…</w:t>
      </w:r>
      <w:r w:rsidRPr="0037441E">
        <w:rPr>
          <w:sz w:val="22"/>
        </w:rPr>
        <w:t>’</w:t>
      </w:r>
      <w:r w:rsidR="00930597" w:rsidRPr="0037441E">
        <w:rPr>
          <w:rStyle w:val="FootnoteReference"/>
          <w:sz w:val="22"/>
        </w:rPr>
        <w:footnoteReference w:id="34"/>
      </w:r>
      <w:r w:rsidR="00046BFF" w:rsidRPr="0037441E">
        <w:rPr>
          <w:sz w:val="22"/>
        </w:rPr>
        <w:t xml:space="preserve"> T</w:t>
      </w:r>
      <w:r w:rsidRPr="0037441E">
        <w:rPr>
          <w:sz w:val="22"/>
        </w:rPr>
        <w:t>his indeed displays the disarray throughout the kingdom after the Battle of Hastings.</w:t>
      </w:r>
      <w:r w:rsidR="00642AAE" w:rsidRPr="0037441E">
        <w:rPr>
          <w:rStyle w:val="FootnoteReference"/>
          <w:sz w:val="22"/>
        </w:rPr>
        <w:footnoteReference w:id="35"/>
      </w:r>
      <w:r w:rsidRPr="0037441E">
        <w:rPr>
          <w:sz w:val="22"/>
        </w:rPr>
        <w:t xml:space="preserve"> Undeniably, England was resisting the Norman influence and control, this, again, is </w:t>
      </w:r>
      <w:r w:rsidR="00250195" w:rsidRPr="0037441E">
        <w:rPr>
          <w:sz w:val="22"/>
        </w:rPr>
        <w:t>described in detail</w:t>
      </w:r>
      <w:r w:rsidRPr="0037441E">
        <w:rPr>
          <w:sz w:val="22"/>
        </w:rPr>
        <w:t xml:space="preserve"> by </w:t>
      </w:r>
      <w:r w:rsidRPr="00504CA2">
        <w:rPr>
          <w:sz w:val="22"/>
        </w:rPr>
        <w:t>Orderic Vitalis;</w:t>
      </w:r>
      <w:r w:rsidRPr="0037441E">
        <w:rPr>
          <w:sz w:val="22"/>
        </w:rPr>
        <w:t xml:space="preserve"> ‘throughout the </w:t>
      </w:r>
      <w:r w:rsidRPr="00084E44">
        <w:rPr>
          <w:noProof/>
          <w:sz w:val="22"/>
        </w:rPr>
        <w:t>country</w:t>
      </w:r>
      <w:r w:rsidRPr="0037441E">
        <w:rPr>
          <w:sz w:val="22"/>
        </w:rPr>
        <w:t xml:space="preserve"> bandits conspired with the intention of slaying the soldiers whom the king [William] had everywhere left behind to defend the kingdom…</w:t>
      </w:r>
      <w:r w:rsidRPr="0037441E">
        <w:rPr>
          <w:rStyle w:val="FootnoteReference"/>
          <w:sz w:val="22"/>
        </w:rPr>
        <w:footnoteReference w:id="36"/>
      </w:r>
      <w:r w:rsidRPr="0037441E">
        <w:rPr>
          <w:sz w:val="22"/>
        </w:rPr>
        <w:t xml:space="preserve"> </w:t>
      </w:r>
      <w:r w:rsidR="00262D66" w:rsidRPr="0037441E">
        <w:rPr>
          <w:sz w:val="22"/>
        </w:rPr>
        <w:t>The combination of these two sources alone portray</w:t>
      </w:r>
      <w:r w:rsidR="00C7764E" w:rsidRPr="0037441E">
        <w:rPr>
          <w:sz w:val="22"/>
        </w:rPr>
        <w:t>s</w:t>
      </w:r>
      <w:r w:rsidR="00262D66" w:rsidRPr="0037441E">
        <w:rPr>
          <w:sz w:val="22"/>
        </w:rPr>
        <w:t xml:space="preserve"> irrefutable evidence that England was </w:t>
      </w:r>
      <w:r w:rsidR="00250195" w:rsidRPr="0037441E">
        <w:rPr>
          <w:sz w:val="22"/>
        </w:rPr>
        <w:t>descending</w:t>
      </w:r>
      <w:r w:rsidR="00262D66" w:rsidRPr="0037441E">
        <w:rPr>
          <w:sz w:val="22"/>
        </w:rPr>
        <w:t xml:space="preserve"> into a form of rebellion. Yet the lack of reference to this period of chaos so soon after William’s victory at Hastings hints towards the ratiocination surrounding the Bayeux Tapestry’s real purpose, a celebratory piece rather than a wholly accurate retelling of events. </w:t>
      </w:r>
    </w:p>
    <w:p w:rsidR="00711519" w:rsidRDefault="00465464" w:rsidP="005977F0">
      <w:pPr>
        <w:spacing w:after="240" w:line="360" w:lineRule="auto"/>
        <w:ind w:firstLine="720"/>
        <w:jc w:val="both"/>
        <w:rPr>
          <w:sz w:val="22"/>
        </w:rPr>
      </w:pPr>
      <w:r w:rsidRPr="0037441E">
        <w:rPr>
          <w:sz w:val="22"/>
        </w:rPr>
        <w:t xml:space="preserve">To conclude, it is clear that the Bayeux Tapestry is indeed an undeniably important source for the Norman invasion of England in 1066, however, it has been shown to be by no means the most accurate source. This is clearly due to a number of contributing factors, be it the reason for its commission, which, if the theory surrounding Odo, Bishop of Bayeux and the half-brother of William the Conqueror, is to be understood as the most plausible origin, then the piece is clearly biased towards Norman </w:t>
      </w:r>
      <w:r w:rsidR="00642AAE" w:rsidRPr="0037441E">
        <w:rPr>
          <w:sz w:val="22"/>
        </w:rPr>
        <w:t>ideology</w:t>
      </w:r>
      <w:r w:rsidRPr="0037441E">
        <w:rPr>
          <w:sz w:val="22"/>
        </w:rPr>
        <w:t xml:space="preserve">, rather than upholding a non-biased version of the events. Next, the events within the tapestry itself have clearly been highly edited, with many sections simply being cut from the narrative altogether. The delay experienced by William’s fleet before the invasion has seemingly been omitted altogether, although the textual sources had clearly utilised the event by emphasising William’s role as a great Norman leader, donned with religious support. </w:t>
      </w:r>
    </w:p>
    <w:p w:rsidR="00930597" w:rsidRDefault="00945863" w:rsidP="005977F0">
      <w:pPr>
        <w:spacing w:after="240" w:line="360" w:lineRule="auto"/>
        <w:ind w:firstLine="720"/>
        <w:jc w:val="both"/>
        <w:rPr>
          <w:sz w:val="22"/>
        </w:rPr>
      </w:pPr>
      <w:r>
        <w:rPr>
          <w:sz w:val="22"/>
        </w:rPr>
        <w:t>Finally</w:t>
      </w:r>
      <w:r w:rsidR="00465464" w:rsidRPr="0037441E">
        <w:rPr>
          <w:sz w:val="22"/>
        </w:rPr>
        <w:t xml:space="preserve">, the battle itself has been well represented within the tapestry, with many scholars such as </w:t>
      </w:r>
      <w:r w:rsidR="00BC273D" w:rsidRPr="0037441E">
        <w:rPr>
          <w:sz w:val="22"/>
        </w:rPr>
        <w:t>Rex and McLynn</w:t>
      </w:r>
      <w:r w:rsidR="00465464" w:rsidRPr="0037441E">
        <w:rPr>
          <w:sz w:val="22"/>
        </w:rPr>
        <w:t xml:space="preserve"> noting how the ancient tactic of an infantry shield wall was used by Harold and his forces. As aforementioned, the hindrances associated with the Bayeux Tapestry appear to be more so obvious to the viewer given the</w:t>
      </w:r>
      <w:r w:rsidR="00C60425" w:rsidRPr="0037441E">
        <w:rPr>
          <w:sz w:val="22"/>
        </w:rPr>
        <w:t xml:space="preserve"> fact that it is a visual source, whereas the textual sources, such as the </w:t>
      </w:r>
      <w:r w:rsidR="00C60425" w:rsidRPr="0037441E">
        <w:rPr>
          <w:i/>
          <w:sz w:val="22"/>
        </w:rPr>
        <w:t>Gesta Willelmi</w:t>
      </w:r>
      <w:r w:rsidR="00556783" w:rsidRPr="0037441E">
        <w:rPr>
          <w:sz w:val="22"/>
        </w:rPr>
        <w:t xml:space="preserve"> appear to be less </w:t>
      </w:r>
      <w:r w:rsidR="00C60425" w:rsidRPr="0037441E">
        <w:rPr>
          <w:sz w:val="22"/>
        </w:rPr>
        <w:t xml:space="preserve">lacking in certain details. </w:t>
      </w:r>
      <w:r w:rsidR="00711519">
        <w:rPr>
          <w:sz w:val="22"/>
        </w:rPr>
        <w:t>T</w:t>
      </w:r>
      <w:r w:rsidR="00C60425" w:rsidRPr="0037441E">
        <w:rPr>
          <w:sz w:val="22"/>
        </w:rPr>
        <w:t xml:space="preserve">he lack of detail surrounding William’s struggle for control of England does cause the Bayeux Tapestry to seem shadowed somewhat behind the textual sources, however, given that it is the only visual source for the battle itself, it clearly is a resource for the invasion that cannot be ignored. </w:t>
      </w:r>
      <w:r w:rsidR="00711519">
        <w:rPr>
          <w:sz w:val="22"/>
        </w:rPr>
        <w:t xml:space="preserve">Lastly, more research into the later edits made to the Bayeux Tapestry is required, in order to fully </w:t>
      </w:r>
      <w:r>
        <w:rPr>
          <w:sz w:val="22"/>
        </w:rPr>
        <w:t>grasp</w:t>
      </w:r>
      <w:r w:rsidR="00711519">
        <w:rPr>
          <w:sz w:val="22"/>
        </w:rPr>
        <w:t xml:space="preserve"> the </w:t>
      </w:r>
      <w:r>
        <w:rPr>
          <w:sz w:val="22"/>
        </w:rPr>
        <w:t xml:space="preserve">ways in which </w:t>
      </w:r>
      <w:r w:rsidR="00711519">
        <w:rPr>
          <w:sz w:val="22"/>
        </w:rPr>
        <w:t xml:space="preserve">tapestry has influenced and </w:t>
      </w:r>
      <w:r>
        <w:rPr>
          <w:sz w:val="22"/>
        </w:rPr>
        <w:t xml:space="preserve">has </w:t>
      </w:r>
      <w:r w:rsidR="00711519">
        <w:rPr>
          <w:sz w:val="22"/>
        </w:rPr>
        <w:lastRenderedPageBreak/>
        <w:t>been influenced by other sources from the period</w:t>
      </w:r>
      <w:r>
        <w:rPr>
          <w:sz w:val="22"/>
        </w:rPr>
        <w:t>, thus gaining a clearer understanding of its already obvious usefulness</w:t>
      </w:r>
      <w:r w:rsidR="00711519">
        <w:rPr>
          <w:sz w:val="22"/>
        </w:rPr>
        <w:t xml:space="preserve">. </w:t>
      </w:r>
    </w:p>
    <w:p w:rsidR="00504CA2" w:rsidRDefault="00504CA2"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Default="00711519" w:rsidP="005977F0">
      <w:pPr>
        <w:spacing w:after="240" w:line="360" w:lineRule="auto"/>
        <w:ind w:firstLine="720"/>
        <w:jc w:val="both"/>
        <w:rPr>
          <w:sz w:val="22"/>
        </w:rPr>
      </w:pPr>
    </w:p>
    <w:p w:rsidR="00711519" w:rsidRPr="0037441E" w:rsidRDefault="00711519" w:rsidP="005977F0">
      <w:pPr>
        <w:spacing w:after="240" w:line="360" w:lineRule="auto"/>
        <w:ind w:firstLine="720"/>
        <w:jc w:val="both"/>
        <w:rPr>
          <w:sz w:val="22"/>
        </w:rPr>
      </w:pPr>
    </w:p>
    <w:p w:rsidR="001C4345" w:rsidRDefault="001C4345"/>
    <w:p w:rsidR="00172C34" w:rsidRDefault="00333BF8" w:rsidP="00333BF8">
      <w:pPr>
        <w:jc w:val="center"/>
        <w:rPr>
          <w:b/>
          <w:u w:val="single"/>
        </w:rPr>
      </w:pPr>
      <w:r w:rsidRPr="00333BF8">
        <w:rPr>
          <w:b/>
          <w:u w:val="single"/>
        </w:rPr>
        <w:t>Appendices</w:t>
      </w:r>
    </w:p>
    <w:p w:rsidR="00333BF8" w:rsidRDefault="00333BF8" w:rsidP="00333BF8">
      <w:pPr>
        <w:jc w:val="center"/>
        <w:rPr>
          <w:b/>
          <w:u w:val="single"/>
        </w:rPr>
      </w:pPr>
    </w:p>
    <w:p w:rsidR="00333BF8" w:rsidRPr="00333BF8" w:rsidRDefault="00333BF8" w:rsidP="00333BF8">
      <w:pPr>
        <w:rPr>
          <w:b/>
          <w:u w:val="single"/>
        </w:rPr>
      </w:pPr>
      <w:r>
        <w:rPr>
          <w:b/>
          <w:u w:val="single"/>
        </w:rPr>
        <w:t xml:space="preserve">Appendix 1: </w:t>
      </w:r>
    </w:p>
    <w:p w:rsidR="00172C34" w:rsidRDefault="00172C34"/>
    <w:p w:rsidR="00A34729" w:rsidRPr="001C4345" w:rsidRDefault="00670B95">
      <w:pPr>
        <w:rPr>
          <w:u w:val="single"/>
        </w:rPr>
      </w:pPr>
      <w:r w:rsidRPr="001C4345">
        <w:rPr>
          <w:u w:val="single"/>
        </w:rPr>
        <w:t>The Normans crossing the English Channel</w:t>
      </w:r>
      <w:r w:rsidR="00A34729" w:rsidRPr="001C4345">
        <w:rPr>
          <w:u w:val="single"/>
        </w:rPr>
        <w:t>, Scene 18</w:t>
      </w:r>
      <w:r w:rsidRPr="001C4345">
        <w:rPr>
          <w:u w:val="single"/>
        </w:rPr>
        <w:t>.</w:t>
      </w:r>
    </w:p>
    <w:p w:rsidR="00A34729" w:rsidRPr="00EB2FD6" w:rsidRDefault="0037441E">
      <w:pPr>
        <w:rPr>
          <w:lang w:val="en-US"/>
        </w:rPr>
      </w:pPr>
      <w:r>
        <w:rPr>
          <w:noProof/>
          <w:lang w:eastAsia="en-GB"/>
        </w:rPr>
        <w:drawing>
          <wp:anchor distT="0" distB="0" distL="114300" distR="114300" simplePos="0" relativeHeight="251659264" behindDoc="1" locked="0" layoutInCell="1" allowOverlap="1">
            <wp:simplePos x="0" y="0"/>
            <wp:positionH relativeFrom="margin">
              <wp:posOffset>0</wp:posOffset>
            </wp:positionH>
            <wp:positionV relativeFrom="page">
              <wp:posOffset>2438400</wp:posOffset>
            </wp:positionV>
            <wp:extent cx="5731510" cy="1585595"/>
            <wp:effectExtent l="0" t="0" r="2540" b="0"/>
            <wp:wrapTight wrapText="bothSides">
              <wp:wrapPolygon edited="0">
                <wp:start x="0" y="0"/>
                <wp:lineTo x="0" y="21280"/>
                <wp:lineTo x="21538" y="21280"/>
                <wp:lineTo x="21538" y="0"/>
                <wp:lineTo x="0" y="0"/>
              </wp:wrapPolygon>
            </wp:wrapTight>
            <wp:docPr id="2" name="Picture 2" descr="The Crossing scene 1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rossing scene 1 - Bayeux Tapest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585595"/>
                    </a:xfrm>
                    <a:prstGeom prst="rect">
                      <a:avLst/>
                    </a:prstGeom>
                    <a:noFill/>
                    <a:ln>
                      <a:noFill/>
                    </a:ln>
                  </pic:spPr>
                </pic:pic>
              </a:graphicData>
            </a:graphic>
          </wp:anchor>
        </w:drawing>
      </w:r>
      <w:r w:rsidR="00A34729">
        <w:rPr>
          <w:i/>
          <w:lang w:val="en-US"/>
        </w:rPr>
        <w:t>Bayeux Tapestry</w:t>
      </w:r>
      <w:r w:rsidR="00A34729">
        <w:rPr>
          <w:lang w:val="en-US"/>
        </w:rPr>
        <w:t xml:space="preserve">, Reading Museum, Available </w:t>
      </w:r>
      <w:r w:rsidR="00A34729" w:rsidRPr="00084E44">
        <w:rPr>
          <w:noProof/>
          <w:lang w:val="en-US"/>
        </w:rPr>
        <w:t>at:</w:t>
      </w:r>
      <w:r w:rsidR="00A34729">
        <w:rPr>
          <w:lang w:val="en-US"/>
        </w:rPr>
        <w:t xml:space="preserve"> </w:t>
      </w:r>
      <w:hyperlink r:id="rId9" w:history="1">
        <w:r w:rsidR="001C4345" w:rsidRPr="00651A09">
          <w:rPr>
            <w:rStyle w:val="Hyperlink"/>
          </w:rPr>
          <w:t>http://www.bayeuxtapestry.org.uk/bayeux18.htm</w:t>
        </w:r>
      </w:hyperlink>
      <w:r w:rsidR="001C4345">
        <w:t xml:space="preserve"> </w:t>
      </w:r>
      <w:r w:rsidR="00A34729">
        <w:rPr>
          <w:lang w:val="en-US"/>
        </w:rPr>
        <w:t>[Accessed: 15/01/2018].</w:t>
      </w:r>
    </w:p>
    <w:p w:rsidR="00172C34" w:rsidRDefault="00172C34"/>
    <w:p w:rsidR="00172C34" w:rsidRPr="0039793B" w:rsidRDefault="0039793B" w:rsidP="001C4345">
      <w:pPr>
        <w:rPr>
          <w:b/>
          <w:u w:val="single"/>
        </w:rPr>
      </w:pPr>
      <w:r w:rsidRPr="0039793B">
        <w:rPr>
          <w:b/>
          <w:u w:val="single"/>
        </w:rPr>
        <w:t>Appendix 2:</w:t>
      </w:r>
    </w:p>
    <w:p w:rsidR="00172C34" w:rsidRPr="001C4345" w:rsidRDefault="00557CE5" w:rsidP="001C4345">
      <w:pPr>
        <w:rPr>
          <w:u w:val="single"/>
        </w:rPr>
      </w:pPr>
      <w:r w:rsidRPr="001C4345">
        <w:rPr>
          <w:u w:val="single"/>
        </w:rPr>
        <w:t>The Battle of Hastings</w:t>
      </w:r>
      <w:r w:rsidR="00A34729" w:rsidRPr="001C4345">
        <w:rPr>
          <w:u w:val="single"/>
        </w:rPr>
        <w:t>, Scene 2, T</w:t>
      </w:r>
      <w:r w:rsidRPr="001C4345">
        <w:rPr>
          <w:u w:val="single"/>
        </w:rPr>
        <w:t>he English are surrounded</w:t>
      </w:r>
      <w:r w:rsidR="00A34729" w:rsidRPr="001C4345">
        <w:rPr>
          <w:u w:val="single"/>
        </w:rPr>
        <w:t>.</w:t>
      </w:r>
    </w:p>
    <w:p w:rsidR="00A34729" w:rsidRPr="001C4345" w:rsidRDefault="0037441E" w:rsidP="0037441E">
      <w:pPr>
        <w:rPr>
          <w:lang w:val="en-US"/>
        </w:rPr>
      </w:pPr>
      <w:r w:rsidRPr="0039793B">
        <w:rPr>
          <w:b/>
          <w:noProof/>
          <w:u w:val="single"/>
          <w:lang w:eastAsia="en-GB"/>
        </w:rPr>
        <w:drawing>
          <wp:anchor distT="0" distB="0" distL="114300" distR="114300" simplePos="0" relativeHeight="251660288" behindDoc="1" locked="0" layoutInCell="1" allowOverlap="1">
            <wp:simplePos x="0" y="0"/>
            <wp:positionH relativeFrom="margin">
              <wp:posOffset>0</wp:posOffset>
            </wp:positionH>
            <wp:positionV relativeFrom="page">
              <wp:posOffset>5048250</wp:posOffset>
            </wp:positionV>
            <wp:extent cx="5731510" cy="1585595"/>
            <wp:effectExtent l="0" t="0" r="2540" b="0"/>
            <wp:wrapTight wrapText="bothSides">
              <wp:wrapPolygon edited="0">
                <wp:start x="0" y="0"/>
                <wp:lineTo x="0" y="21280"/>
                <wp:lineTo x="21538" y="21280"/>
                <wp:lineTo x="21538" y="0"/>
                <wp:lineTo x="0" y="0"/>
              </wp:wrapPolygon>
            </wp:wrapTight>
            <wp:docPr id="3" name="Picture 3" descr="The Battle Of Hastings scene 2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attle Of Hastings scene 2 - Bayeux Tape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585595"/>
                    </a:xfrm>
                    <a:prstGeom prst="rect">
                      <a:avLst/>
                    </a:prstGeom>
                    <a:noFill/>
                    <a:ln>
                      <a:noFill/>
                    </a:ln>
                  </pic:spPr>
                </pic:pic>
              </a:graphicData>
            </a:graphic>
          </wp:anchor>
        </w:drawing>
      </w:r>
      <w:r w:rsidR="00A34729">
        <w:rPr>
          <w:i/>
          <w:lang w:val="en-US"/>
        </w:rPr>
        <w:t>Bayeux Tapestry</w:t>
      </w:r>
      <w:r w:rsidR="00A34729">
        <w:rPr>
          <w:lang w:val="en-US"/>
        </w:rPr>
        <w:t xml:space="preserve">, Reading Museum, Available </w:t>
      </w:r>
      <w:r w:rsidR="00A34729" w:rsidRPr="00084E44">
        <w:rPr>
          <w:noProof/>
          <w:lang w:val="en-US"/>
        </w:rPr>
        <w:t>at:</w:t>
      </w:r>
      <w:r w:rsidR="00A34729">
        <w:rPr>
          <w:lang w:val="en-US"/>
        </w:rPr>
        <w:t xml:space="preserve"> </w:t>
      </w:r>
      <w:hyperlink r:id="rId11" w:history="1">
        <w:r w:rsidR="001C4345" w:rsidRPr="00651A09">
          <w:rPr>
            <w:rStyle w:val="Hyperlink"/>
            <w:lang w:val="en-US"/>
          </w:rPr>
          <w:t>http://www.bayeuxtapestry.org.uk/bayeux27.htm</w:t>
        </w:r>
      </w:hyperlink>
      <w:r w:rsidR="001C4345">
        <w:rPr>
          <w:lang w:val="en-US"/>
        </w:rPr>
        <w:t xml:space="preserve"> </w:t>
      </w:r>
      <w:r w:rsidR="00A34729">
        <w:rPr>
          <w:lang w:val="en-US"/>
        </w:rPr>
        <w:t xml:space="preserve"> [Accessed: 15/01/2018].</w:t>
      </w:r>
    </w:p>
    <w:p w:rsidR="00172C34" w:rsidRDefault="00172C34"/>
    <w:p w:rsidR="00172C34" w:rsidRDefault="008A537C">
      <w:pPr>
        <w:rPr>
          <w:b/>
          <w:u w:val="single"/>
        </w:rPr>
      </w:pPr>
      <w:r>
        <w:rPr>
          <w:b/>
          <w:u w:val="single"/>
        </w:rPr>
        <w:t>Appendix 3:</w:t>
      </w:r>
    </w:p>
    <w:p w:rsidR="00172C34" w:rsidRPr="001C4345" w:rsidRDefault="008A537C">
      <w:pPr>
        <w:rPr>
          <w:u w:val="single"/>
        </w:rPr>
      </w:pPr>
      <w:r w:rsidRPr="001C4345">
        <w:rPr>
          <w:u w:val="single"/>
        </w:rPr>
        <w:t>The Battle of Hastings</w:t>
      </w:r>
      <w:r w:rsidR="00A34729" w:rsidRPr="001C4345">
        <w:rPr>
          <w:u w:val="single"/>
        </w:rPr>
        <w:t>, Scene 6</w:t>
      </w:r>
      <w:r w:rsidRPr="001C4345">
        <w:rPr>
          <w:u w:val="single"/>
        </w:rPr>
        <w:t>, Harold is killed.</w:t>
      </w:r>
    </w:p>
    <w:p w:rsidR="00A34729" w:rsidRDefault="0037441E">
      <w:r>
        <w:rPr>
          <w:noProof/>
          <w:lang w:eastAsia="en-GB"/>
        </w:rPr>
        <w:drawing>
          <wp:anchor distT="0" distB="0" distL="114300" distR="114300" simplePos="0" relativeHeight="251658240" behindDoc="1" locked="0" layoutInCell="1" allowOverlap="1">
            <wp:simplePos x="0" y="0"/>
            <wp:positionH relativeFrom="column">
              <wp:posOffset>19050</wp:posOffset>
            </wp:positionH>
            <wp:positionV relativeFrom="page">
              <wp:posOffset>7620000</wp:posOffset>
            </wp:positionV>
            <wp:extent cx="5731510" cy="1585595"/>
            <wp:effectExtent l="0" t="0" r="2540" b="0"/>
            <wp:wrapTight wrapText="bothSides">
              <wp:wrapPolygon edited="0">
                <wp:start x="0" y="0"/>
                <wp:lineTo x="0" y="21280"/>
                <wp:lineTo x="21538" y="21280"/>
                <wp:lineTo x="21538" y="0"/>
                <wp:lineTo x="0" y="0"/>
              </wp:wrapPolygon>
            </wp:wrapTight>
            <wp:docPr id="1" name="Picture 1" descr="The Battle Of Hastings scene 6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attle Of Hastings scene 6 - Bayeux Tapest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585595"/>
                    </a:xfrm>
                    <a:prstGeom prst="rect">
                      <a:avLst/>
                    </a:prstGeom>
                    <a:noFill/>
                    <a:ln>
                      <a:noFill/>
                    </a:ln>
                  </pic:spPr>
                </pic:pic>
              </a:graphicData>
            </a:graphic>
          </wp:anchor>
        </w:drawing>
      </w:r>
      <w:r w:rsidR="00A34729">
        <w:rPr>
          <w:i/>
          <w:lang w:val="en-US"/>
        </w:rPr>
        <w:t>Bayeux Tapestry</w:t>
      </w:r>
      <w:r w:rsidR="00A34729">
        <w:rPr>
          <w:lang w:val="en-US"/>
        </w:rPr>
        <w:t xml:space="preserve">, Reading Museum, Available </w:t>
      </w:r>
      <w:r w:rsidR="00A34729" w:rsidRPr="00084E44">
        <w:rPr>
          <w:noProof/>
          <w:lang w:val="en-US"/>
        </w:rPr>
        <w:t>at:</w:t>
      </w:r>
      <w:r w:rsidR="00711519">
        <w:rPr>
          <w:lang w:val="en-US"/>
        </w:rPr>
        <w:t xml:space="preserve"> </w:t>
      </w:r>
      <w:r w:rsidR="00A34729">
        <w:rPr>
          <w:lang w:val="en-US"/>
        </w:rPr>
        <w:t xml:space="preserve"> </w:t>
      </w:r>
      <w:hyperlink r:id="rId13" w:history="1">
        <w:r w:rsidR="00711519" w:rsidRPr="00651A09">
          <w:rPr>
            <w:rStyle w:val="Hyperlink"/>
          </w:rPr>
          <w:t>http://www.bayeuxtapestry.org.uk/Bayeux31.htm</w:t>
        </w:r>
      </w:hyperlink>
      <w:r w:rsidR="00711519">
        <w:rPr>
          <w:lang w:val="en-US"/>
        </w:rPr>
        <w:t xml:space="preserve"> </w:t>
      </w:r>
      <w:r w:rsidR="00A34729">
        <w:rPr>
          <w:lang w:val="en-US"/>
        </w:rPr>
        <w:t>[Accessed: 15/01/2018].</w:t>
      </w:r>
    </w:p>
    <w:p w:rsidR="000B23C3" w:rsidRPr="000B23C3" w:rsidRDefault="000B23C3" w:rsidP="000B23C3"/>
    <w:sdt>
      <w:sdtPr>
        <w:rPr>
          <w:rFonts w:ascii="Times New Roman" w:eastAsia="Times New Roman" w:hAnsi="Times New Roman" w:cs="Times New Roman"/>
          <w:color w:val="auto"/>
          <w:sz w:val="24"/>
          <w:szCs w:val="24"/>
          <w:lang w:val="en-GB"/>
        </w:rPr>
        <w:id w:val="1842889582"/>
        <w:docPartObj>
          <w:docPartGallery w:val="Bibliographies"/>
          <w:docPartUnique/>
        </w:docPartObj>
      </w:sdtPr>
      <w:sdtEndPr/>
      <w:sdtContent>
        <w:p w:rsidR="00656C26" w:rsidRPr="00A34729" w:rsidRDefault="00656C26" w:rsidP="00BC273D">
          <w:pPr>
            <w:pStyle w:val="Heading1"/>
            <w:spacing w:line="360" w:lineRule="auto"/>
            <w:jc w:val="both"/>
            <w:rPr>
              <w:sz w:val="36"/>
            </w:rPr>
          </w:pPr>
          <w:r w:rsidRPr="00A34729">
            <w:rPr>
              <w:sz w:val="36"/>
            </w:rPr>
            <w:t>Bibliography</w:t>
          </w:r>
        </w:p>
        <w:p w:rsidR="00F12A44" w:rsidRDefault="00656C26" w:rsidP="00BC273D">
          <w:pPr>
            <w:spacing w:line="360" w:lineRule="auto"/>
            <w:jc w:val="both"/>
            <w:rPr>
              <w:u w:val="single"/>
              <w:lang w:val="en-US"/>
            </w:rPr>
          </w:pPr>
          <w:r w:rsidRPr="00F12A44">
            <w:rPr>
              <w:u w:val="single"/>
              <w:lang w:val="en-US"/>
            </w:rPr>
            <w:t>Primary Sources:</w:t>
          </w:r>
        </w:p>
        <w:p w:rsidR="008C222C" w:rsidRDefault="008C222C" w:rsidP="001C4345">
          <w:pPr>
            <w:spacing w:line="360" w:lineRule="auto"/>
            <w:jc w:val="both"/>
            <w:rPr>
              <w:lang w:val="en-US"/>
            </w:rPr>
          </w:pPr>
          <w:r>
            <w:rPr>
              <w:lang w:val="en-US"/>
            </w:rPr>
            <w:t>Am</w:t>
          </w:r>
          <w:r w:rsidR="00CC30C0">
            <w:rPr>
              <w:lang w:val="en-US"/>
            </w:rPr>
            <w:t>atus of Montec</w:t>
          </w:r>
          <w:r w:rsidR="00EC4355">
            <w:rPr>
              <w:lang w:val="en-US"/>
            </w:rPr>
            <w:t>a</w:t>
          </w:r>
          <w:r w:rsidR="00CC30C0">
            <w:rPr>
              <w:lang w:val="en-US"/>
            </w:rPr>
            <w:t>s</w:t>
          </w:r>
          <w:r w:rsidR="00EC4355">
            <w:rPr>
              <w:lang w:val="en-US"/>
            </w:rPr>
            <w:t xml:space="preserve">sino, </w:t>
          </w:r>
          <w:r w:rsidR="00EC4355">
            <w:rPr>
              <w:i/>
              <w:lang w:val="en-US"/>
            </w:rPr>
            <w:t>The History of the Normans</w:t>
          </w:r>
          <w:r w:rsidR="00EC4355">
            <w:rPr>
              <w:lang w:val="en-US"/>
            </w:rPr>
            <w:t>, translated by P. N. Dunbar, (Woodbridge: The Boydell Press, 2004).</w:t>
          </w:r>
        </w:p>
        <w:p w:rsidR="001C4345" w:rsidRPr="001C4345" w:rsidRDefault="001C4345" w:rsidP="001C4345">
          <w:pPr>
            <w:spacing w:line="360" w:lineRule="auto"/>
            <w:rPr>
              <w:lang w:val="en-US"/>
            </w:rPr>
          </w:pPr>
          <w:r>
            <w:rPr>
              <w:i/>
              <w:lang w:val="en-US"/>
            </w:rPr>
            <w:t>Bayeux Tapestry</w:t>
          </w:r>
          <w:r>
            <w:rPr>
              <w:lang w:val="en-US"/>
            </w:rPr>
            <w:t xml:space="preserve">, Reading Museum, Available </w:t>
          </w:r>
          <w:r w:rsidRPr="00084E44">
            <w:rPr>
              <w:noProof/>
              <w:lang w:val="en-US"/>
            </w:rPr>
            <w:t>at:</w:t>
          </w:r>
          <w:r>
            <w:rPr>
              <w:lang w:val="en-US"/>
            </w:rPr>
            <w:t xml:space="preserve"> </w:t>
          </w:r>
          <w:hyperlink r:id="rId14" w:history="1">
            <w:r w:rsidRPr="00651A09">
              <w:rPr>
                <w:rStyle w:val="Hyperlink"/>
              </w:rPr>
              <w:t>http://www.bayeuxtapestry.org.uk/BayeuxContents.htm</w:t>
            </w:r>
          </w:hyperlink>
          <w:r>
            <w:t xml:space="preserve"> A</w:t>
          </w:r>
          <w:r>
            <w:rPr>
              <w:lang w:val="en-US"/>
            </w:rPr>
            <w:t>ccessed: 15/01/2018].</w:t>
          </w:r>
        </w:p>
        <w:p w:rsidR="00BC273D" w:rsidRDefault="0095484A" w:rsidP="001C4345">
          <w:pPr>
            <w:spacing w:line="360" w:lineRule="auto"/>
            <w:jc w:val="both"/>
            <w:rPr>
              <w:lang w:val="en-US"/>
            </w:rPr>
          </w:pPr>
          <w:r>
            <w:rPr>
              <w:i/>
              <w:lang w:val="en-US"/>
            </w:rPr>
            <w:t>The Anglo-Saxon Chronicle</w:t>
          </w:r>
          <w:r>
            <w:rPr>
              <w:lang w:val="en-US"/>
            </w:rPr>
            <w:t>, edited and translated by M. Swanton</w:t>
          </w:r>
          <w:r w:rsidR="00046BFF">
            <w:rPr>
              <w:lang w:val="en-US"/>
            </w:rPr>
            <w:t>,</w:t>
          </w:r>
          <w:r>
            <w:rPr>
              <w:lang w:val="en-US"/>
            </w:rPr>
            <w:t xml:space="preserve"> (London: J. M. Dent, 1997).</w:t>
          </w:r>
        </w:p>
        <w:p w:rsidR="00046BFF" w:rsidRPr="00046BFF" w:rsidRDefault="00046BFF" w:rsidP="001C4345">
          <w:pPr>
            <w:spacing w:line="360" w:lineRule="auto"/>
            <w:jc w:val="both"/>
            <w:rPr>
              <w:lang w:val="en-US"/>
            </w:rPr>
          </w:pPr>
          <w:r>
            <w:rPr>
              <w:i/>
              <w:lang w:val="en-US"/>
            </w:rPr>
            <w:t xml:space="preserve">The Gesta Normannorum Ducum of William of </w:t>
          </w:r>
          <w:r w:rsidRPr="00046BFF">
            <w:rPr>
              <w:i/>
            </w:rPr>
            <w:t>Jumi</w:t>
          </w:r>
          <w:r>
            <w:rPr>
              <w:bCs/>
              <w:i/>
              <w:color w:val="450C02"/>
            </w:rPr>
            <w:t>èges, Orderic Vitalis, and Robert of Torigni</w:t>
          </w:r>
          <w:r>
            <w:rPr>
              <w:bCs/>
              <w:color w:val="450C02"/>
            </w:rPr>
            <w:t>, Volume II, Books V-VIII, Edited and Translated by E. M. C. Van Houts, (Oxford: Clarendon Press, 2003).</w:t>
          </w:r>
        </w:p>
        <w:p w:rsidR="001567CA" w:rsidRPr="001567CA" w:rsidRDefault="001567CA" w:rsidP="00BC273D">
          <w:pPr>
            <w:spacing w:line="360" w:lineRule="auto"/>
            <w:jc w:val="both"/>
            <w:rPr>
              <w:lang w:val="en-US"/>
            </w:rPr>
          </w:pPr>
          <w:r>
            <w:rPr>
              <w:lang w:val="en-US"/>
            </w:rPr>
            <w:t xml:space="preserve">William of Malmesbury, </w:t>
          </w:r>
          <w:r w:rsidR="00046BFF">
            <w:rPr>
              <w:i/>
              <w:lang w:val="en-US"/>
            </w:rPr>
            <w:t>Gesta Regum Anglorum</w:t>
          </w:r>
          <w:r>
            <w:rPr>
              <w:lang w:val="en-US"/>
            </w:rPr>
            <w:t>, V</w:t>
          </w:r>
          <w:r>
            <w:rPr>
              <w:i/>
              <w:lang w:val="en-US"/>
            </w:rPr>
            <w:t>olume 1</w:t>
          </w:r>
          <w:r>
            <w:rPr>
              <w:lang w:val="en-US"/>
            </w:rPr>
            <w:t>, edited and translated by R. A. B. Mynors, R. M. Thomson and M. Winterbottom</w:t>
          </w:r>
          <w:r w:rsidR="00046BFF">
            <w:rPr>
              <w:lang w:val="en-US"/>
            </w:rPr>
            <w:t>,</w:t>
          </w:r>
          <w:r>
            <w:rPr>
              <w:lang w:val="en-US"/>
            </w:rPr>
            <w:t xml:space="preserve"> (Oxford: Clarendon Press, 2006).</w:t>
          </w:r>
        </w:p>
        <w:p w:rsidR="00F12A44" w:rsidRDefault="00BC273D" w:rsidP="00BC273D">
          <w:pPr>
            <w:spacing w:line="360" w:lineRule="auto"/>
            <w:jc w:val="both"/>
            <w:rPr>
              <w:lang w:val="en-US"/>
            </w:rPr>
          </w:pPr>
          <w:r w:rsidRPr="00BC273D">
            <w:rPr>
              <w:lang w:val="en-US"/>
            </w:rPr>
            <w:t>William of Poitiers ‘The Gesta Willelmi’</w:t>
          </w:r>
          <w:r w:rsidRPr="00BC273D">
            <w:rPr>
              <w:i/>
              <w:lang w:val="en-US"/>
            </w:rPr>
            <w:t xml:space="preserve"> </w:t>
          </w:r>
          <w:r w:rsidRPr="00BC273D">
            <w:rPr>
              <w:lang w:val="en-US"/>
            </w:rPr>
            <w:t>in</w:t>
          </w:r>
          <w:r w:rsidRPr="00BC273D">
            <w:rPr>
              <w:i/>
              <w:lang w:val="en-US"/>
            </w:rPr>
            <w:t xml:space="preserve"> The Battle of Hastings: Sources and Interpretations</w:t>
          </w:r>
          <w:r w:rsidRPr="00BC273D">
            <w:rPr>
              <w:lang w:val="en-US"/>
            </w:rPr>
            <w:t>, edited and introduced by S. Morillo</w:t>
          </w:r>
          <w:r w:rsidR="00046BFF">
            <w:rPr>
              <w:lang w:val="en-US"/>
            </w:rPr>
            <w:t>,</w:t>
          </w:r>
          <w:r w:rsidRPr="00BC273D">
            <w:rPr>
              <w:lang w:val="en-US"/>
            </w:rPr>
            <w:t xml:space="preserve"> (Woodbridge: The Boydell Press, 1999)</w:t>
          </w:r>
          <w:r>
            <w:rPr>
              <w:lang w:val="en-US"/>
            </w:rPr>
            <w:t>, pp. 4-15</w:t>
          </w:r>
          <w:r w:rsidRPr="00BC273D">
            <w:rPr>
              <w:lang w:val="en-US"/>
            </w:rPr>
            <w:t>.</w:t>
          </w:r>
        </w:p>
        <w:p w:rsidR="00BC273D" w:rsidRPr="00BC273D" w:rsidRDefault="00BC273D" w:rsidP="00BC273D">
          <w:pPr>
            <w:spacing w:line="360" w:lineRule="auto"/>
            <w:jc w:val="both"/>
            <w:rPr>
              <w:lang w:val="en-US"/>
            </w:rPr>
          </w:pPr>
        </w:p>
        <w:p w:rsidR="00F12A44" w:rsidRPr="00F12A44" w:rsidRDefault="00656C26" w:rsidP="00BC273D">
          <w:pPr>
            <w:spacing w:line="360" w:lineRule="auto"/>
            <w:jc w:val="both"/>
            <w:rPr>
              <w:u w:val="single"/>
              <w:lang w:val="en-US"/>
            </w:rPr>
          </w:pPr>
          <w:r w:rsidRPr="00F12A44">
            <w:rPr>
              <w:u w:val="single"/>
              <w:lang w:val="en-US"/>
            </w:rPr>
            <w:t>Modern Scholarship:</w:t>
          </w:r>
        </w:p>
        <w:sdt>
          <w:sdtPr>
            <w:id w:val="111145805"/>
            <w:bibliography/>
          </w:sdtPr>
          <w:sdtEndPr/>
          <w:sdtContent>
            <w:p w:rsidR="00F12A44" w:rsidRPr="00F12A44" w:rsidRDefault="00F12A44" w:rsidP="00BC273D">
              <w:pPr>
                <w:spacing w:line="360" w:lineRule="auto"/>
                <w:jc w:val="both"/>
              </w:pPr>
              <w:r>
                <w:rPr>
                  <w:lang w:val="en-US"/>
                </w:rPr>
                <w:t xml:space="preserve">Albu, E., </w:t>
              </w:r>
              <w:r>
                <w:rPr>
                  <w:i/>
                  <w:lang w:val="en-US"/>
                </w:rPr>
                <w:t>The Normans and their Histories: propaganda, myth, and subversion</w:t>
              </w:r>
              <w:r>
                <w:rPr>
                  <w:lang w:val="en-US"/>
                </w:rPr>
                <w:t xml:space="preserve"> (Woodbridge: Boydell Press, 2001).</w:t>
              </w:r>
            </w:p>
            <w:p w:rsidR="00F12A44" w:rsidRPr="0088603B" w:rsidRDefault="00F12A44" w:rsidP="00BC273D">
              <w:pPr>
                <w:spacing w:line="360" w:lineRule="auto"/>
                <w:jc w:val="both"/>
                <w:rPr>
                  <w:lang w:val="en-US"/>
                </w:rPr>
              </w:pPr>
              <w:r>
                <w:rPr>
                  <w:lang w:val="en-US"/>
                </w:rPr>
                <w:t xml:space="preserve">Clanchy, M. T., </w:t>
              </w:r>
              <w:r>
                <w:rPr>
                  <w:i/>
                  <w:lang w:val="en-US"/>
                </w:rPr>
                <w:t>England and Its Rulers 1066-1272</w:t>
              </w:r>
              <w:r>
                <w:rPr>
                  <w:lang w:val="en-US"/>
                </w:rPr>
                <w:t xml:space="preserve"> (Oxford: Blackwell Publishing, 1998).</w:t>
              </w:r>
            </w:p>
            <w:p w:rsidR="00F12A44" w:rsidRDefault="00F12A44" w:rsidP="00BC273D">
              <w:pPr>
                <w:spacing w:line="360" w:lineRule="auto"/>
                <w:jc w:val="both"/>
                <w:rPr>
                  <w:lang w:val="en-US"/>
                </w:rPr>
              </w:pPr>
              <w:r>
                <w:rPr>
                  <w:lang w:val="en-US"/>
                </w:rPr>
                <w:t xml:space="preserve">Davies, R. H. C., </w:t>
              </w:r>
              <w:r>
                <w:rPr>
                  <w:i/>
                  <w:lang w:val="en-US"/>
                </w:rPr>
                <w:t>The Normans and their Myth</w:t>
              </w:r>
              <w:r>
                <w:rPr>
                  <w:lang w:val="en-US"/>
                </w:rPr>
                <w:t xml:space="preserve"> (London: Thames &amp; Hudson, 1976).</w:t>
              </w:r>
            </w:p>
            <w:p w:rsidR="00F12A44" w:rsidRDefault="00F12A44" w:rsidP="00BC273D">
              <w:pPr>
                <w:spacing w:line="360" w:lineRule="auto"/>
                <w:jc w:val="both"/>
                <w:rPr>
                  <w:lang w:val="en-US"/>
                </w:rPr>
              </w:pPr>
              <w:r>
                <w:rPr>
                  <w:lang w:val="en-US"/>
                </w:rPr>
                <w:t xml:space="preserve">McLynn, F., </w:t>
              </w:r>
              <w:r>
                <w:rPr>
                  <w:i/>
                  <w:lang w:val="en-US"/>
                </w:rPr>
                <w:t xml:space="preserve">1066: The Year of the Three Battles </w:t>
              </w:r>
              <w:r>
                <w:rPr>
                  <w:lang w:val="en-US"/>
                </w:rPr>
                <w:t>(London: BCA, 1999).</w:t>
              </w:r>
            </w:p>
            <w:p w:rsidR="0037441E" w:rsidRPr="0037441E" w:rsidRDefault="0037441E" w:rsidP="00BC273D">
              <w:pPr>
                <w:spacing w:line="360" w:lineRule="auto"/>
                <w:jc w:val="both"/>
                <w:rPr>
                  <w:lang w:val="en-US"/>
                </w:rPr>
              </w:pPr>
              <w:r>
                <w:rPr>
                  <w:lang w:val="en-US"/>
                </w:rPr>
                <w:t xml:space="preserve">Oman, C., </w:t>
              </w:r>
              <w:r>
                <w:rPr>
                  <w:i/>
                  <w:lang w:val="en-US"/>
                </w:rPr>
                <w:t>A History of The Art of War in the Middle Ages, Volume 1: 378-1287AD</w:t>
              </w:r>
              <w:r>
                <w:rPr>
                  <w:lang w:val="en-US"/>
                </w:rPr>
                <w:t xml:space="preserve"> (London: Greenhill Books, 1991).</w:t>
              </w:r>
            </w:p>
            <w:p w:rsidR="0037441E" w:rsidRPr="00594589" w:rsidRDefault="0037441E" w:rsidP="0037441E">
              <w:pPr>
                <w:spacing w:line="360" w:lineRule="auto"/>
                <w:jc w:val="both"/>
                <w:rPr>
                  <w:lang w:val="en-US"/>
                </w:rPr>
              </w:pPr>
              <w:r>
                <w:rPr>
                  <w:lang w:val="en-US"/>
                </w:rPr>
                <w:t xml:space="preserve">Rex, R., </w:t>
              </w:r>
              <w:r>
                <w:rPr>
                  <w:i/>
                  <w:lang w:val="en-US"/>
                </w:rPr>
                <w:t>The Bayeux Tapestry</w:t>
              </w:r>
              <w:r>
                <w:rPr>
                  <w:lang w:val="en-US"/>
                </w:rPr>
                <w:t xml:space="preserve"> (Woodbridge: The Boydell Press, 2005).</w:t>
              </w:r>
            </w:p>
            <w:p w:rsidR="00F12A44" w:rsidRDefault="00F12A44" w:rsidP="00BC273D">
              <w:pPr>
                <w:spacing w:line="360" w:lineRule="auto"/>
                <w:jc w:val="both"/>
                <w:rPr>
                  <w:lang w:val="en-US"/>
                </w:rPr>
              </w:pPr>
              <w:r>
                <w:rPr>
                  <w:lang w:val="en-US"/>
                </w:rPr>
                <w:t xml:space="preserve">Shopkow, L., </w:t>
              </w:r>
              <w:r>
                <w:rPr>
                  <w:i/>
                  <w:lang w:val="en-US"/>
                </w:rPr>
                <w:t xml:space="preserve">History and Community: Norman Historical Writing in the Eleventh and Twelfth Centuries </w:t>
              </w:r>
              <w:r>
                <w:rPr>
                  <w:lang w:val="en-US"/>
                </w:rPr>
                <w:t>(Washington: The Catholic University of America Press, 1997).</w:t>
              </w:r>
            </w:p>
            <w:p w:rsidR="002632EA" w:rsidRPr="001C4345" w:rsidRDefault="0011306B" w:rsidP="001C4345">
              <w:pPr>
                <w:spacing w:line="360" w:lineRule="auto"/>
                <w:jc w:val="both"/>
                <w:rPr>
                  <w:lang w:val="en-US"/>
                </w:rPr>
              </w:pPr>
            </w:p>
          </w:sdtContent>
        </w:sdt>
      </w:sdtContent>
    </w:sdt>
    <w:sectPr w:rsidR="002632EA" w:rsidRPr="001C434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306B" w:rsidRDefault="0011306B" w:rsidP="002632EA">
      <w:r>
        <w:separator/>
      </w:r>
    </w:p>
  </w:endnote>
  <w:endnote w:type="continuationSeparator" w:id="0">
    <w:p w:rsidR="0011306B" w:rsidRDefault="0011306B" w:rsidP="00263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New York">
    <w:panose1 w:val="02040503060506020304"/>
    <w:charset w:val="00"/>
    <w:family w:val="roman"/>
    <w:notTrueType/>
    <w:pitch w:val="variable"/>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74312"/>
      <w:docPartObj>
        <w:docPartGallery w:val="Page Numbers (Bottom of Page)"/>
        <w:docPartUnique/>
      </w:docPartObj>
    </w:sdtPr>
    <w:sdtEndPr>
      <w:rPr>
        <w:noProof/>
      </w:rPr>
    </w:sdtEndPr>
    <w:sdtContent>
      <w:p w:rsidR="001F28A6" w:rsidRDefault="001F28A6">
        <w:pPr>
          <w:pStyle w:val="Footer"/>
          <w:jc w:val="right"/>
        </w:pPr>
        <w:r>
          <w:fldChar w:fldCharType="begin"/>
        </w:r>
        <w:r>
          <w:instrText xml:space="preserve"> PAGE   \* MERGEFORMAT </w:instrText>
        </w:r>
        <w:r>
          <w:fldChar w:fldCharType="separate"/>
        </w:r>
        <w:r w:rsidR="00EC2D38">
          <w:rPr>
            <w:noProof/>
          </w:rPr>
          <w:t>4</w:t>
        </w:r>
        <w:r>
          <w:rPr>
            <w:noProof/>
          </w:rPr>
          <w:fldChar w:fldCharType="end"/>
        </w:r>
      </w:p>
    </w:sdtContent>
  </w:sdt>
  <w:p w:rsidR="001F28A6" w:rsidRDefault="001F28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306B" w:rsidRDefault="0011306B" w:rsidP="002632EA">
      <w:r>
        <w:separator/>
      </w:r>
    </w:p>
  </w:footnote>
  <w:footnote w:type="continuationSeparator" w:id="0">
    <w:p w:rsidR="0011306B" w:rsidRDefault="0011306B" w:rsidP="002632EA">
      <w:r>
        <w:continuationSeparator/>
      </w:r>
    </w:p>
  </w:footnote>
  <w:footnote w:id="1">
    <w:p w:rsidR="00670B95" w:rsidRDefault="00670B95">
      <w:pPr>
        <w:pStyle w:val="FootnoteText"/>
      </w:pPr>
      <w:r>
        <w:rPr>
          <w:rStyle w:val="FootnoteReference"/>
        </w:rPr>
        <w:footnoteRef/>
      </w:r>
      <w:r>
        <w:t xml:space="preserve"> </w:t>
      </w:r>
      <w:r w:rsidR="00594589">
        <w:rPr>
          <w:lang w:val="en-US"/>
        </w:rPr>
        <w:t xml:space="preserve">R. Rex, </w:t>
      </w:r>
      <w:r w:rsidR="00594589">
        <w:rPr>
          <w:i/>
          <w:lang w:val="en-US"/>
        </w:rPr>
        <w:t>The Bayeux Tapestry</w:t>
      </w:r>
      <w:r w:rsidR="00594589">
        <w:rPr>
          <w:lang w:val="en-US"/>
        </w:rPr>
        <w:t xml:space="preserve"> (Woodbridge: The Boydell Press, 2005),</w:t>
      </w:r>
      <w:r>
        <w:t xml:space="preserve"> pp. 192-196. </w:t>
      </w:r>
    </w:p>
  </w:footnote>
  <w:footnote w:id="2">
    <w:p w:rsidR="006A438A" w:rsidRDefault="006A438A" w:rsidP="006A438A">
      <w:pPr>
        <w:pStyle w:val="FootnoteText"/>
      </w:pPr>
      <w:r>
        <w:rPr>
          <w:rStyle w:val="FootnoteReference"/>
        </w:rPr>
        <w:footnoteRef/>
      </w:r>
      <w:r>
        <w:t xml:space="preserve"> </w:t>
      </w:r>
      <w:r>
        <w:rPr>
          <w:lang w:val="en-US"/>
        </w:rPr>
        <w:t xml:space="preserve">Davies, R. H. C., </w:t>
      </w:r>
      <w:r>
        <w:rPr>
          <w:i/>
          <w:lang w:val="en-US"/>
        </w:rPr>
        <w:t>The Normans and their Myth</w:t>
      </w:r>
      <w:r>
        <w:rPr>
          <w:lang w:val="en-US"/>
        </w:rPr>
        <w:t xml:space="preserve"> (London: Thames &amp; Hudson, 1976), p. 50.</w:t>
      </w:r>
    </w:p>
  </w:footnote>
  <w:footnote w:id="3">
    <w:p w:rsidR="00FC3D43" w:rsidRDefault="00FC3D43">
      <w:pPr>
        <w:pStyle w:val="FootnoteText"/>
      </w:pPr>
      <w:r>
        <w:rPr>
          <w:rStyle w:val="FootnoteReference"/>
        </w:rPr>
        <w:footnoteRef/>
      </w:r>
      <w:r>
        <w:t xml:space="preserve"> </w:t>
      </w:r>
      <w:r>
        <w:rPr>
          <w:lang w:val="en-US"/>
        </w:rPr>
        <w:t xml:space="preserve">F. McLynn, </w:t>
      </w:r>
      <w:r>
        <w:rPr>
          <w:i/>
          <w:lang w:val="en-US"/>
        </w:rPr>
        <w:t xml:space="preserve">1066: The Year of the Three Battles </w:t>
      </w:r>
      <w:r>
        <w:rPr>
          <w:lang w:val="en-US"/>
        </w:rPr>
        <w:t>(London: BCA, 1999), p. 209.</w:t>
      </w:r>
    </w:p>
  </w:footnote>
  <w:footnote w:id="4">
    <w:p w:rsidR="0004648E" w:rsidRDefault="0004648E">
      <w:pPr>
        <w:pStyle w:val="FootnoteText"/>
      </w:pPr>
      <w:r>
        <w:rPr>
          <w:rStyle w:val="FootnoteReference"/>
        </w:rPr>
        <w:footnoteRef/>
      </w:r>
      <w:r>
        <w:t xml:space="preserve"> </w:t>
      </w:r>
      <w:r w:rsidR="00BC273D" w:rsidRPr="00BC273D">
        <w:rPr>
          <w:lang w:val="en-US"/>
        </w:rPr>
        <w:t>William of Poitiers ‘The Gesta Willelmi’</w:t>
      </w:r>
      <w:r w:rsidR="00BC273D" w:rsidRPr="00BC273D">
        <w:rPr>
          <w:i/>
          <w:lang w:val="en-US"/>
        </w:rPr>
        <w:t xml:space="preserve"> </w:t>
      </w:r>
      <w:r w:rsidR="00BC273D" w:rsidRPr="00BC273D">
        <w:rPr>
          <w:lang w:val="en-US"/>
        </w:rPr>
        <w:t>in</w:t>
      </w:r>
      <w:r w:rsidR="00BC273D" w:rsidRPr="00BC273D">
        <w:rPr>
          <w:i/>
          <w:lang w:val="en-US"/>
        </w:rPr>
        <w:t xml:space="preserve"> The Battle of Hastings: Sources and Interpretations</w:t>
      </w:r>
      <w:r w:rsidR="00BC273D" w:rsidRPr="00BC273D">
        <w:rPr>
          <w:lang w:val="en-US"/>
        </w:rPr>
        <w:t>, edited and introduced by S. Morillo (Woodbridge: The Boydell Press, 1999)</w:t>
      </w:r>
      <w:r>
        <w:t xml:space="preserve">, p. 8. </w:t>
      </w:r>
    </w:p>
  </w:footnote>
  <w:footnote w:id="5">
    <w:p w:rsidR="004D3B2C" w:rsidRDefault="004D3B2C">
      <w:pPr>
        <w:pStyle w:val="FootnoteText"/>
      </w:pPr>
      <w:r>
        <w:rPr>
          <w:rStyle w:val="FootnoteReference"/>
        </w:rPr>
        <w:footnoteRef/>
      </w:r>
      <w:r>
        <w:t xml:space="preserve"> </w:t>
      </w:r>
      <w:r w:rsidR="001567CA" w:rsidRPr="00BC273D">
        <w:rPr>
          <w:lang w:val="en-US"/>
        </w:rPr>
        <w:t>William of Poitiers ‘The Gesta Willelmi’</w:t>
      </w:r>
      <w:r>
        <w:t>, p. 8.</w:t>
      </w:r>
    </w:p>
  </w:footnote>
  <w:footnote w:id="6">
    <w:p w:rsidR="00995301" w:rsidRDefault="00995301">
      <w:pPr>
        <w:pStyle w:val="FootnoteText"/>
      </w:pPr>
      <w:r>
        <w:rPr>
          <w:rStyle w:val="FootnoteReference"/>
        </w:rPr>
        <w:footnoteRef/>
      </w:r>
      <w:r>
        <w:t xml:space="preserve"> </w:t>
      </w:r>
      <w:r w:rsidRPr="00796948">
        <w:rPr>
          <w:sz w:val="19"/>
          <w:szCs w:val="19"/>
          <w:lang w:val="en-US"/>
        </w:rPr>
        <w:t xml:space="preserve">E. Albu, </w:t>
      </w:r>
      <w:r w:rsidRPr="00796948">
        <w:rPr>
          <w:i/>
          <w:sz w:val="19"/>
          <w:szCs w:val="19"/>
          <w:lang w:val="en-US"/>
        </w:rPr>
        <w:t>The Normans and their Histories: propaganda, myth, and subversion</w:t>
      </w:r>
      <w:r w:rsidRPr="00796948">
        <w:rPr>
          <w:sz w:val="19"/>
          <w:szCs w:val="19"/>
          <w:lang w:val="en-US"/>
        </w:rPr>
        <w:t xml:space="preserve"> (Woodbridge: Boydell Press, 2001), p. 2.</w:t>
      </w:r>
    </w:p>
  </w:footnote>
  <w:footnote w:id="7">
    <w:p w:rsidR="00E43D8E" w:rsidRDefault="00E43D8E">
      <w:pPr>
        <w:pStyle w:val="FootnoteText"/>
      </w:pPr>
      <w:r>
        <w:rPr>
          <w:rStyle w:val="FootnoteReference"/>
        </w:rPr>
        <w:footnoteRef/>
      </w:r>
      <w:r>
        <w:t xml:space="preserve"> </w:t>
      </w:r>
      <w:r w:rsidR="001567CA">
        <w:rPr>
          <w:lang w:val="en-US"/>
        </w:rPr>
        <w:t xml:space="preserve">William of Malmesbury, </w:t>
      </w:r>
      <w:r w:rsidR="001567CA">
        <w:rPr>
          <w:i/>
          <w:lang w:val="en-US"/>
        </w:rPr>
        <w:t>Gesta Regum Anglorum</w:t>
      </w:r>
      <w:r w:rsidR="001567CA">
        <w:rPr>
          <w:lang w:val="en-US"/>
        </w:rPr>
        <w:t>, V</w:t>
      </w:r>
      <w:r w:rsidR="001567CA">
        <w:rPr>
          <w:i/>
          <w:lang w:val="en-US"/>
        </w:rPr>
        <w:t>olume 1</w:t>
      </w:r>
      <w:r w:rsidR="001567CA">
        <w:rPr>
          <w:lang w:val="en-US"/>
        </w:rPr>
        <w:t>, edited and translated by R. A. B. Mynors, R. M. Thomson and M. Winterbottom (Oxford: Clarendon Press, 2006</w:t>
      </w:r>
      <w:r w:rsidR="00EE6E7A">
        <w:rPr>
          <w:lang w:val="en-US"/>
        </w:rPr>
        <w:t>)</w:t>
      </w:r>
      <w:r>
        <w:t>, p. 447.</w:t>
      </w:r>
    </w:p>
  </w:footnote>
  <w:footnote w:id="8">
    <w:p w:rsidR="00E43D8E" w:rsidRDefault="00E43D8E">
      <w:pPr>
        <w:pStyle w:val="FootnoteText"/>
      </w:pPr>
      <w:r>
        <w:rPr>
          <w:rStyle w:val="FootnoteReference"/>
        </w:rPr>
        <w:footnoteRef/>
      </w:r>
      <w:r>
        <w:t xml:space="preserve"> </w:t>
      </w:r>
      <w:r w:rsidR="001567CA">
        <w:rPr>
          <w:lang w:val="en-US"/>
        </w:rPr>
        <w:t xml:space="preserve">William of Malmesbury, </w:t>
      </w:r>
      <w:r w:rsidR="001567CA">
        <w:rPr>
          <w:i/>
          <w:lang w:val="en-US"/>
        </w:rPr>
        <w:t>Gesta Regum Anglorum</w:t>
      </w:r>
      <w:r>
        <w:t>, p. 449</w:t>
      </w:r>
    </w:p>
  </w:footnote>
  <w:footnote w:id="9">
    <w:p w:rsidR="00E43D8E" w:rsidRDefault="00E43D8E">
      <w:pPr>
        <w:pStyle w:val="FootnoteText"/>
      </w:pPr>
      <w:r>
        <w:rPr>
          <w:rStyle w:val="FootnoteReference"/>
        </w:rPr>
        <w:footnoteRef/>
      </w:r>
      <w:r>
        <w:t xml:space="preserve"> </w:t>
      </w:r>
      <w:r w:rsidR="0037441E">
        <w:rPr>
          <w:i/>
          <w:lang w:val="en-US"/>
        </w:rPr>
        <w:t>Ibid.</w:t>
      </w:r>
    </w:p>
  </w:footnote>
  <w:footnote w:id="10">
    <w:p w:rsidR="006446A5" w:rsidRDefault="006446A5">
      <w:pPr>
        <w:pStyle w:val="FootnoteText"/>
      </w:pPr>
      <w:r>
        <w:rPr>
          <w:rStyle w:val="FootnoteReference"/>
        </w:rPr>
        <w:footnoteRef/>
      </w:r>
      <w:r>
        <w:t xml:space="preserve"> </w:t>
      </w:r>
      <w:r>
        <w:rPr>
          <w:i/>
          <w:lang w:val="en-US"/>
        </w:rPr>
        <w:t xml:space="preserve">The Gesta Normannorum Ducum of William of </w:t>
      </w:r>
      <w:r w:rsidRPr="00046BFF">
        <w:rPr>
          <w:i/>
        </w:rPr>
        <w:t>Jumi</w:t>
      </w:r>
      <w:r>
        <w:rPr>
          <w:bCs/>
          <w:i/>
          <w:color w:val="450C02"/>
        </w:rPr>
        <w:t>èges, Orderic Vitalis, and Robert of Torigni</w:t>
      </w:r>
      <w:r>
        <w:rPr>
          <w:bCs/>
          <w:color w:val="450C02"/>
        </w:rPr>
        <w:t>, Volume II, Books V-VIII, Edited and Translated by E. M. C. Van Houts, (Oxford: Clarendon Press, 2003), pp. 165-167.</w:t>
      </w:r>
    </w:p>
  </w:footnote>
  <w:footnote w:id="11">
    <w:p w:rsidR="000E54E0" w:rsidRDefault="000E54E0">
      <w:pPr>
        <w:pStyle w:val="FootnoteText"/>
      </w:pPr>
      <w:r>
        <w:rPr>
          <w:rStyle w:val="FootnoteReference"/>
        </w:rPr>
        <w:footnoteRef/>
      </w:r>
      <w:r>
        <w:t xml:space="preserve"> </w:t>
      </w:r>
      <w:r w:rsidR="00FC3D43">
        <w:rPr>
          <w:lang w:val="en-US"/>
        </w:rPr>
        <w:t xml:space="preserve">F. McLynn, </w:t>
      </w:r>
      <w:r w:rsidR="00FC3D43">
        <w:rPr>
          <w:i/>
          <w:lang w:val="en-US"/>
        </w:rPr>
        <w:t>1066: The Year of the Three Battles</w:t>
      </w:r>
      <w:r w:rsidR="00FC3D43">
        <w:rPr>
          <w:lang w:val="en-US"/>
        </w:rPr>
        <w:t>,</w:t>
      </w:r>
      <w:r>
        <w:t xml:space="preserve"> p. 209</w:t>
      </w:r>
    </w:p>
  </w:footnote>
  <w:footnote w:id="12">
    <w:p w:rsidR="00995301" w:rsidRDefault="00995301">
      <w:pPr>
        <w:pStyle w:val="FootnoteText"/>
      </w:pPr>
      <w:r>
        <w:rPr>
          <w:rStyle w:val="FootnoteReference"/>
        </w:rPr>
        <w:footnoteRef/>
      </w:r>
      <w:r>
        <w:t xml:space="preserve"> </w:t>
      </w:r>
      <w:r w:rsidR="0037441E">
        <w:rPr>
          <w:lang w:val="en-US"/>
        </w:rPr>
        <w:t xml:space="preserve">C. Oman, </w:t>
      </w:r>
      <w:r w:rsidR="0037441E">
        <w:rPr>
          <w:i/>
          <w:lang w:val="en-US"/>
        </w:rPr>
        <w:t>A History of The Art of War in the Middle Ages, Volume 1: 378-1287AD</w:t>
      </w:r>
      <w:r w:rsidR="0037441E">
        <w:rPr>
          <w:lang w:val="en-US"/>
        </w:rPr>
        <w:t xml:space="preserve"> (London: Greenhill Books, 1991), pp. 159-165.</w:t>
      </w:r>
    </w:p>
  </w:footnote>
  <w:footnote w:id="13">
    <w:p w:rsidR="00F17478" w:rsidRDefault="00F17478">
      <w:pPr>
        <w:pStyle w:val="FootnoteText"/>
      </w:pPr>
      <w:r>
        <w:rPr>
          <w:rStyle w:val="FootnoteReference"/>
        </w:rPr>
        <w:footnoteRef/>
      </w:r>
      <w:r>
        <w:t xml:space="preserve"> </w:t>
      </w:r>
      <w:r w:rsidR="0037441E">
        <w:rPr>
          <w:lang w:val="en-US"/>
        </w:rPr>
        <w:t xml:space="preserve">C. Oman, </w:t>
      </w:r>
      <w:r w:rsidR="0037441E">
        <w:rPr>
          <w:i/>
          <w:lang w:val="en-US"/>
        </w:rPr>
        <w:t>A History of The Art of War in the Middle Ages, Volume 1: 378-1287AD</w:t>
      </w:r>
      <w:r w:rsidR="0037441E">
        <w:rPr>
          <w:lang w:val="en-US"/>
        </w:rPr>
        <w:t>, pp. 159-165.</w:t>
      </w:r>
    </w:p>
  </w:footnote>
  <w:footnote w:id="14">
    <w:p w:rsidR="00512FA9" w:rsidRDefault="00512FA9">
      <w:pPr>
        <w:pStyle w:val="FootnoteText"/>
      </w:pPr>
      <w:r>
        <w:rPr>
          <w:rStyle w:val="FootnoteReference"/>
        </w:rPr>
        <w:footnoteRef/>
      </w:r>
      <w:r>
        <w:t xml:space="preserve"> </w:t>
      </w:r>
      <w:r w:rsidR="006446A5">
        <w:rPr>
          <w:i/>
          <w:lang w:val="en-US"/>
        </w:rPr>
        <w:t xml:space="preserve">The Gesta Normannorum Ducum of William of </w:t>
      </w:r>
      <w:r w:rsidR="006446A5" w:rsidRPr="00046BFF">
        <w:rPr>
          <w:i/>
        </w:rPr>
        <w:t>Jumi</w:t>
      </w:r>
      <w:r w:rsidR="006446A5">
        <w:rPr>
          <w:bCs/>
          <w:i/>
          <w:color w:val="450C02"/>
        </w:rPr>
        <w:t>èges, Orderic Vitalis, and Robert of Torigni</w:t>
      </w:r>
      <w:r w:rsidR="006446A5">
        <w:rPr>
          <w:bCs/>
          <w:color w:val="450C02"/>
        </w:rPr>
        <w:t xml:space="preserve">, </w:t>
      </w:r>
      <w:r>
        <w:t>p. 169</w:t>
      </w:r>
    </w:p>
  </w:footnote>
  <w:footnote w:id="15">
    <w:p w:rsidR="00FC3D43" w:rsidRDefault="00FC3D43">
      <w:pPr>
        <w:pStyle w:val="FootnoteText"/>
      </w:pPr>
      <w:r w:rsidRPr="0037441E">
        <w:rPr>
          <w:rStyle w:val="FootnoteReference"/>
        </w:rPr>
        <w:footnoteRef/>
      </w:r>
      <w:r>
        <w:t xml:space="preserve"> </w:t>
      </w:r>
      <w:r w:rsidR="0037441E">
        <w:rPr>
          <w:lang w:val="en-US"/>
        </w:rPr>
        <w:t xml:space="preserve">C. Oman, </w:t>
      </w:r>
      <w:r w:rsidR="0037441E">
        <w:rPr>
          <w:i/>
          <w:lang w:val="en-US"/>
        </w:rPr>
        <w:t>A History of The Art of War in the Middle Ages, Volume 1: 378-1287AD</w:t>
      </w:r>
      <w:r w:rsidR="0037441E">
        <w:rPr>
          <w:lang w:val="en-US"/>
        </w:rPr>
        <w:t>, pp. 159-165.</w:t>
      </w:r>
    </w:p>
  </w:footnote>
  <w:footnote w:id="16">
    <w:p w:rsidR="002B727F" w:rsidRDefault="002B727F">
      <w:pPr>
        <w:pStyle w:val="FootnoteText"/>
      </w:pPr>
      <w:r>
        <w:rPr>
          <w:rStyle w:val="FootnoteReference"/>
        </w:rPr>
        <w:footnoteRef/>
      </w:r>
      <w:r>
        <w:t xml:space="preserve"> </w:t>
      </w:r>
      <w:r w:rsidR="001567CA" w:rsidRPr="00BC273D">
        <w:rPr>
          <w:lang w:val="en-US"/>
        </w:rPr>
        <w:t>William of Poitiers ‘The Gesta Willelmi’</w:t>
      </w:r>
      <w:r w:rsidR="001567CA">
        <w:t xml:space="preserve">, </w:t>
      </w:r>
      <w:r>
        <w:t>p. 12</w:t>
      </w:r>
      <w:r w:rsidR="001567CA">
        <w:t>.</w:t>
      </w:r>
    </w:p>
  </w:footnote>
  <w:footnote w:id="17">
    <w:p w:rsidR="00642AAE" w:rsidRDefault="00642AAE">
      <w:pPr>
        <w:pStyle w:val="FootnoteText"/>
      </w:pPr>
      <w:r w:rsidRPr="0037441E">
        <w:rPr>
          <w:rStyle w:val="FootnoteReference"/>
        </w:rPr>
        <w:footnoteRef/>
      </w:r>
      <w:r>
        <w:t xml:space="preserve"> </w:t>
      </w:r>
      <w:r w:rsidR="0037441E">
        <w:rPr>
          <w:i/>
          <w:lang w:val="en-US"/>
        </w:rPr>
        <w:t xml:space="preserve">The Gesta Normannorum Ducum of William of </w:t>
      </w:r>
      <w:r w:rsidR="0037441E" w:rsidRPr="00046BFF">
        <w:rPr>
          <w:i/>
        </w:rPr>
        <w:t>Jumi</w:t>
      </w:r>
      <w:r w:rsidR="0037441E">
        <w:rPr>
          <w:bCs/>
          <w:i/>
          <w:color w:val="450C02"/>
        </w:rPr>
        <w:t>èges, Orderic Vitalis, and Robert of Torigni</w:t>
      </w:r>
      <w:r w:rsidR="0037441E">
        <w:rPr>
          <w:bCs/>
          <w:color w:val="450C02"/>
        </w:rPr>
        <w:t>,</w:t>
      </w:r>
      <w:r w:rsidR="0037441E">
        <w:t xml:space="preserve"> pp. 169-171.</w:t>
      </w:r>
    </w:p>
  </w:footnote>
  <w:footnote w:id="18">
    <w:p w:rsidR="00642AAE" w:rsidRDefault="00642AAE">
      <w:pPr>
        <w:pStyle w:val="FootnoteText"/>
      </w:pPr>
      <w:r>
        <w:rPr>
          <w:rStyle w:val="FootnoteReference"/>
        </w:rPr>
        <w:footnoteRef/>
      </w:r>
      <w:r>
        <w:t xml:space="preserve"> </w:t>
      </w:r>
      <w:r w:rsidR="0037441E">
        <w:rPr>
          <w:i/>
          <w:lang w:val="en-US"/>
        </w:rPr>
        <w:t xml:space="preserve">The Gesta Normannorum Ducum of William of </w:t>
      </w:r>
      <w:r w:rsidR="0037441E" w:rsidRPr="00046BFF">
        <w:rPr>
          <w:i/>
        </w:rPr>
        <w:t>Jumi</w:t>
      </w:r>
      <w:r w:rsidR="0037441E">
        <w:rPr>
          <w:bCs/>
          <w:i/>
          <w:color w:val="450C02"/>
        </w:rPr>
        <w:t>èges, Orderic Vitalis, and Robert of Torigni</w:t>
      </w:r>
      <w:r w:rsidR="00EE6E7A">
        <w:rPr>
          <w:bCs/>
          <w:i/>
          <w:color w:val="450C02"/>
        </w:rPr>
        <w:t>,</w:t>
      </w:r>
      <w:r>
        <w:t xml:space="preserve"> p. 169.</w:t>
      </w:r>
    </w:p>
  </w:footnote>
  <w:footnote w:id="19">
    <w:p w:rsidR="00A95DFD" w:rsidRPr="00642AAE" w:rsidRDefault="00A95DFD">
      <w:pPr>
        <w:pStyle w:val="FootnoteText"/>
        <w:rPr>
          <w:i/>
        </w:rPr>
      </w:pPr>
      <w:r>
        <w:rPr>
          <w:rStyle w:val="FootnoteReference"/>
        </w:rPr>
        <w:footnoteRef/>
      </w:r>
      <w:r>
        <w:t xml:space="preserve"> </w:t>
      </w:r>
      <w:r w:rsidR="00642AAE">
        <w:rPr>
          <w:i/>
        </w:rPr>
        <w:t>Ibid.</w:t>
      </w:r>
    </w:p>
  </w:footnote>
  <w:footnote w:id="20">
    <w:p w:rsidR="00874FAA" w:rsidRDefault="00874FAA">
      <w:pPr>
        <w:pStyle w:val="FootnoteText"/>
      </w:pPr>
      <w:r>
        <w:rPr>
          <w:rStyle w:val="FootnoteReference"/>
        </w:rPr>
        <w:footnoteRef/>
      </w:r>
      <w:r>
        <w:t xml:space="preserve"> </w:t>
      </w:r>
      <w:r>
        <w:rPr>
          <w:lang w:val="en-US"/>
        </w:rPr>
        <w:t xml:space="preserve">R. Rex, </w:t>
      </w:r>
      <w:r>
        <w:rPr>
          <w:i/>
          <w:lang w:val="en-US"/>
        </w:rPr>
        <w:t>The Bayeux Tapestry</w:t>
      </w:r>
      <w:r>
        <w:rPr>
          <w:lang w:val="en-US"/>
        </w:rPr>
        <w:t>, p. 256.</w:t>
      </w:r>
    </w:p>
  </w:footnote>
  <w:footnote w:id="21">
    <w:p w:rsidR="00EC4355" w:rsidRDefault="00EC4355">
      <w:pPr>
        <w:pStyle w:val="FootnoteText"/>
      </w:pPr>
      <w:r>
        <w:rPr>
          <w:rStyle w:val="FootnoteReference"/>
        </w:rPr>
        <w:footnoteRef/>
      </w:r>
      <w:r>
        <w:t xml:space="preserve"> </w:t>
      </w:r>
      <w:r w:rsidR="00CC30C0">
        <w:rPr>
          <w:lang w:val="en-US"/>
        </w:rPr>
        <w:t>Amatus of Montec</w:t>
      </w:r>
      <w:r>
        <w:rPr>
          <w:lang w:val="en-US"/>
        </w:rPr>
        <w:t xml:space="preserve">asino, </w:t>
      </w:r>
      <w:r>
        <w:rPr>
          <w:i/>
          <w:lang w:val="en-US"/>
        </w:rPr>
        <w:t>The History of the Normans</w:t>
      </w:r>
      <w:r>
        <w:rPr>
          <w:lang w:val="en-US"/>
        </w:rPr>
        <w:t xml:space="preserve">, translated by P. N. Dunbar, (Woodbridge: The Boydell Press, 2004), p. 46. </w:t>
      </w:r>
    </w:p>
  </w:footnote>
  <w:footnote w:id="22">
    <w:p w:rsidR="00642AAE" w:rsidRPr="0037441E" w:rsidRDefault="00642AAE">
      <w:pPr>
        <w:pStyle w:val="FootnoteText"/>
      </w:pPr>
      <w:r>
        <w:rPr>
          <w:rStyle w:val="FootnoteReference"/>
        </w:rPr>
        <w:footnoteRef/>
      </w:r>
      <w:r>
        <w:t xml:space="preserve"> </w:t>
      </w:r>
      <w:r w:rsidRPr="0037441E">
        <w:rPr>
          <w:lang w:val="en-US"/>
        </w:rPr>
        <w:t xml:space="preserve">R. Rex, </w:t>
      </w:r>
      <w:r w:rsidRPr="0037441E">
        <w:rPr>
          <w:i/>
          <w:lang w:val="en-US"/>
        </w:rPr>
        <w:t>The Bayeux Tapestry</w:t>
      </w:r>
      <w:r w:rsidRPr="0037441E">
        <w:rPr>
          <w:lang w:val="en-US"/>
        </w:rPr>
        <w:t>, pp. 257-258.</w:t>
      </w:r>
    </w:p>
  </w:footnote>
  <w:footnote w:id="23">
    <w:p w:rsidR="009175B5" w:rsidRPr="00642AAE" w:rsidRDefault="009175B5">
      <w:pPr>
        <w:pStyle w:val="FootnoteText"/>
        <w:rPr>
          <w:i/>
        </w:rPr>
      </w:pPr>
      <w:r w:rsidRPr="0037441E">
        <w:rPr>
          <w:rStyle w:val="FootnoteReference"/>
        </w:rPr>
        <w:footnoteRef/>
      </w:r>
      <w:r w:rsidRPr="0037441E">
        <w:t xml:space="preserve"> </w:t>
      </w:r>
      <w:r w:rsidR="00642AAE">
        <w:rPr>
          <w:i/>
        </w:rPr>
        <w:t>Ibid.</w:t>
      </w:r>
    </w:p>
  </w:footnote>
  <w:footnote w:id="24">
    <w:p w:rsidR="00C5601B" w:rsidRDefault="00C5601B">
      <w:pPr>
        <w:pStyle w:val="FootnoteText"/>
      </w:pPr>
      <w:r>
        <w:rPr>
          <w:rStyle w:val="FootnoteReference"/>
        </w:rPr>
        <w:footnoteRef/>
      </w:r>
      <w:r>
        <w:t xml:space="preserve"> </w:t>
      </w:r>
      <w:r w:rsidR="001567CA" w:rsidRPr="00BC273D">
        <w:rPr>
          <w:lang w:val="en-US"/>
        </w:rPr>
        <w:t>William of Poitiers ‘The Gesta Willelmi’</w:t>
      </w:r>
      <w:r w:rsidR="001567CA">
        <w:rPr>
          <w:lang w:val="en-US"/>
        </w:rPr>
        <w:t xml:space="preserve">, </w:t>
      </w:r>
      <w:r>
        <w:t>p. 15</w:t>
      </w:r>
      <w:r w:rsidR="00FC3D43">
        <w:t>.</w:t>
      </w:r>
    </w:p>
  </w:footnote>
  <w:footnote w:id="25">
    <w:p w:rsidR="00FC3D43" w:rsidRPr="0037441E" w:rsidRDefault="00FC3D43">
      <w:pPr>
        <w:pStyle w:val="FootnoteText"/>
        <w:rPr>
          <w:i/>
        </w:rPr>
      </w:pPr>
      <w:r>
        <w:rPr>
          <w:rStyle w:val="FootnoteReference"/>
        </w:rPr>
        <w:footnoteRef/>
      </w:r>
      <w:r>
        <w:t xml:space="preserve"> </w:t>
      </w:r>
      <w:r w:rsidR="0037441E">
        <w:rPr>
          <w:i/>
          <w:lang w:val="en-US"/>
        </w:rPr>
        <w:t>Ibid.</w:t>
      </w:r>
    </w:p>
  </w:footnote>
  <w:footnote w:id="26">
    <w:p w:rsidR="00C5601B" w:rsidRDefault="00C5601B">
      <w:pPr>
        <w:pStyle w:val="FootnoteText"/>
      </w:pPr>
      <w:r>
        <w:rPr>
          <w:rStyle w:val="FootnoteReference"/>
        </w:rPr>
        <w:footnoteRef/>
      </w:r>
      <w:r>
        <w:t xml:space="preserve"> </w:t>
      </w:r>
      <w:r w:rsidR="001567CA">
        <w:rPr>
          <w:lang w:val="en-US"/>
        </w:rPr>
        <w:t xml:space="preserve">William of Malmesbury, </w:t>
      </w:r>
      <w:r w:rsidR="001567CA">
        <w:rPr>
          <w:i/>
          <w:lang w:val="en-US"/>
        </w:rPr>
        <w:t>Gesta Regum Anglorum</w:t>
      </w:r>
      <w:r w:rsidR="001567CA">
        <w:t xml:space="preserve"> , p. </w:t>
      </w:r>
      <w:r>
        <w:t>455</w:t>
      </w:r>
      <w:r w:rsidR="001567CA">
        <w:t>.</w:t>
      </w:r>
    </w:p>
  </w:footnote>
  <w:footnote w:id="27">
    <w:p w:rsidR="00B33F54" w:rsidRDefault="00B33F54">
      <w:pPr>
        <w:pStyle w:val="FootnoteText"/>
      </w:pPr>
      <w:r>
        <w:rPr>
          <w:rStyle w:val="FootnoteReference"/>
        </w:rPr>
        <w:footnoteRef/>
      </w:r>
      <w:r>
        <w:t xml:space="preserve"> </w:t>
      </w:r>
      <w:r w:rsidR="00594589">
        <w:rPr>
          <w:lang w:val="en-US"/>
        </w:rPr>
        <w:t xml:space="preserve">R. Rex, </w:t>
      </w:r>
      <w:r w:rsidR="00594589">
        <w:rPr>
          <w:i/>
          <w:lang w:val="en-US"/>
        </w:rPr>
        <w:t>The Bayeux Tapestry</w:t>
      </w:r>
      <w:r w:rsidR="00594589">
        <w:rPr>
          <w:lang w:val="en-US"/>
        </w:rPr>
        <w:t>, p. 17.</w:t>
      </w:r>
    </w:p>
  </w:footnote>
  <w:footnote w:id="28">
    <w:p w:rsidR="00691D42" w:rsidRDefault="00691D42">
      <w:pPr>
        <w:pStyle w:val="FootnoteText"/>
      </w:pPr>
      <w:r>
        <w:rPr>
          <w:rStyle w:val="FootnoteReference"/>
        </w:rPr>
        <w:footnoteRef/>
      </w:r>
      <w:r>
        <w:t xml:space="preserve"> </w:t>
      </w:r>
      <w:r w:rsidR="001567CA">
        <w:rPr>
          <w:lang w:val="en-US"/>
        </w:rPr>
        <w:t xml:space="preserve">William of Malmesbury, </w:t>
      </w:r>
      <w:r w:rsidR="001567CA">
        <w:rPr>
          <w:i/>
          <w:lang w:val="en-US"/>
        </w:rPr>
        <w:t>Gesta Regum Anglorum</w:t>
      </w:r>
      <w:r w:rsidR="001567CA">
        <w:t xml:space="preserve">, p. </w:t>
      </w:r>
      <w:r>
        <w:t>455</w:t>
      </w:r>
      <w:r w:rsidR="001567CA">
        <w:t>.</w:t>
      </w:r>
    </w:p>
  </w:footnote>
  <w:footnote w:id="29">
    <w:p w:rsidR="00B33F54" w:rsidRDefault="00B33F54">
      <w:pPr>
        <w:pStyle w:val="FootnoteText"/>
      </w:pPr>
      <w:r>
        <w:rPr>
          <w:rStyle w:val="FootnoteReference"/>
        </w:rPr>
        <w:footnoteRef/>
      </w:r>
      <w:r>
        <w:t xml:space="preserve"> </w:t>
      </w:r>
      <w:r w:rsidR="006446A5">
        <w:rPr>
          <w:i/>
          <w:lang w:val="en-US"/>
        </w:rPr>
        <w:t xml:space="preserve">The Gesta Normannorum Ducum of William of </w:t>
      </w:r>
      <w:r w:rsidR="006446A5" w:rsidRPr="00046BFF">
        <w:rPr>
          <w:i/>
        </w:rPr>
        <w:t>Jumi</w:t>
      </w:r>
      <w:r w:rsidR="006446A5">
        <w:rPr>
          <w:bCs/>
          <w:i/>
          <w:color w:val="450C02"/>
        </w:rPr>
        <w:t>èges, Orderic Vitalis, and Robert of Torigni</w:t>
      </w:r>
      <w:r w:rsidR="006446A5">
        <w:rPr>
          <w:bCs/>
          <w:color w:val="450C02"/>
        </w:rPr>
        <w:t xml:space="preserve">, pp. 165-167, </w:t>
      </w:r>
      <w:r w:rsidR="00046BFF">
        <w:rPr>
          <w:lang w:val="en-US"/>
        </w:rPr>
        <w:t xml:space="preserve">William of Malmesbury, </w:t>
      </w:r>
      <w:r w:rsidR="00046BFF">
        <w:rPr>
          <w:i/>
          <w:lang w:val="en-US"/>
        </w:rPr>
        <w:t>Gesta Regum Anglorum</w:t>
      </w:r>
      <w:r w:rsidR="00046BFF" w:rsidRPr="00046BFF">
        <w:rPr>
          <w:lang w:val="en-US"/>
        </w:rPr>
        <w:t>, p. 449,</w:t>
      </w:r>
      <w:r w:rsidR="00046BFF">
        <w:rPr>
          <w:i/>
          <w:lang w:val="en-US"/>
        </w:rPr>
        <w:t xml:space="preserve"> </w:t>
      </w:r>
      <w:r w:rsidR="001567CA" w:rsidRPr="00BC273D">
        <w:rPr>
          <w:lang w:val="en-US"/>
        </w:rPr>
        <w:t>William of Poitiers ‘The Gesta Willelmi’</w:t>
      </w:r>
      <w:r w:rsidR="001567CA">
        <w:rPr>
          <w:lang w:val="en-US"/>
        </w:rPr>
        <w:t>, p. 8.</w:t>
      </w:r>
    </w:p>
  </w:footnote>
  <w:footnote w:id="30">
    <w:p w:rsidR="00642AAE" w:rsidRDefault="00642AAE">
      <w:pPr>
        <w:pStyle w:val="FootnoteText"/>
      </w:pPr>
      <w:r>
        <w:rPr>
          <w:rStyle w:val="FootnoteReference"/>
        </w:rPr>
        <w:footnoteRef/>
      </w:r>
      <w:r>
        <w:t xml:space="preserve"> </w:t>
      </w:r>
      <w:r>
        <w:rPr>
          <w:i/>
          <w:lang w:val="en-US"/>
        </w:rPr>
        <w:t>The Anglo-Saxon Chronicle</w:t>
      </w:r>
      <w:r>
        <w:rPr>
          <w:lang w:val="en-US"/>
        </w:rPr>
        <w:t>, edited and translated by M. Swanton, (London: J. M. Dent, 1997), pp. 198-199.</w:t>
      </w:r>
    </w:p>
  </w:footnote>
  <w:footnote w:id="31">
    <w:p w:rsidR="00EB2FD6" w:rsidRPr="00642AAE" w:rsidRDefault="00EB2FD6" w:rsidP="00EB2FD6">
      <w:pPr>
        <w:pStyle w:val="FootnoteText"/>
      </w:pPr>
      <w:r>
        <w:rPr>
          <w:rStyle w:val="FootnoteReference"/>
        </w:rPr>
        <w:footnoteRef/>
      </w:r>
      <w:r>
        <w:t xml:space="preserve"> </w:t>
      </w:r>
      <w:r w:rsidR="00642AAE">
        <w:rPr>
          <w:i/>
        </w:rPr>
        <w:t>Ibid</w:t>
      </w:r>
      <w:r w:rsidR="00642AAE">
        <w:t>.</w:t>
      </w:r>
    </w:p>
  </w:footnote>
  <w:footnote w:id="32">
    <w:p w:rsidR="008C222C" w:rsidRDefault="008C222C">
      <w:pPr>
        <w:pStyle w:val="FootnoteText"/>
      </w:pPr>
      <w:r>
        <w:rPr>
          <w:rStyle w:val="FootnoteReference"/>
        </w:rPr>
        <w:footnoteRef/>
      </w:r>
      <w:r>
        <w:t xml:space="preserve"> </w:t>
      </w:r>
      <w:r w:rsidRPr="00796948">
        <w:rPr>
          <w:sz w:val="19"/>
          <w:szCs w:val="19"/>
          <w:lang w:val="en-US"/>
        </w:rPr>
        <w:t xml:space="preserve">E. Albu, </w:t>
      </w:r>
      <w:r w:rsidRPr="00796948">
        <w:rPr>
          <w:i/>
          <w:sz w:val="19"/>
          <w:szCs w:val="19"/>
          <w:lang w:val="en-US"/>
        </w:rPr>
        <w:t>The Normans and their Histories: propaganda, myth, and subversion</w:t>
      </w:r>
      <w:r w:rsidR="00995301">
        <w:rPr>
          <w:sz w:val="19"/>
          <w:szCs w:val="19"/>
          <w:lang w:val="en-US"/>
        </w:rPr>
        <w:t xml:space="preserve">, </w:t>
      </w:r>
      <w:r w:rsidRPr="00796948">
        <w:rPr>
          <w:sz w:val="19"/>
          <w:szCs w:val="19"/>
          <w:lang w:val="en-US"/>
        </w:rPr>
        <w:t>p. 2.</w:t>
      </w:r>
    </w:p>
  </w:footnote>
  <w:footnote w:id="33">
    <w:p w:rsidR="00642AAE" w:rsidRDefault="00642AAE">
      <w:pPr>
        <w:pStyle w:val="FootnoteText"/>
      </w:pPr>
      <w:r w:rsidRPr="0037441E">
        <w:rPr>
          <w:rStyle w:val="FootnoteReference"/>
        </w:rPr>
        <w:footnoteRef/>
      </w:r>
      <w:r w:rsidRPr="0037441E">
        <w:t xml:space="preserve"> </w:t>
      </w:r>
      <w:r w:rsidR="0037441E">
        <w:rPr>
          <w:i/>
          <w:lang w:val="en-US"/>
        </w:rPr>
        <w:t>The Anglo-Saxon Chronicle</w:t>
      </w:r>
      <w:r w:rsidR="0037441E">
        <w:rPr>
          <w:lang w:val="en-US"/>
        </w:rPr>
        <w:t xml:space="preserve">, edited and translated by M. Swanton, pp. 211-212, </w:t>
      </w:r>
      <w:r>
        <w:rPr>
          <w:lang w:val="en-US"/>
        </w:rPr>
        <w:t xml:space="preserve">M. T. Clanchy, </w:t>
      </w:r>
      <w:r>
        <w:rPr>
          <w:i/>
          <w:lang w:val="en-US"/>
        </w:rPr>
        <w:t>England and Its Rulers 1066-1272</w:t>
      </w:r>
      <w:r>
        <w:rPr>
          <w:lang w:val="en-US"/>
        </w:rPr>
        <w:t xml:space="preserve"> (Oxford: Blackwell Publishing, 1998), pp. 24-25.</w:t>
      </w:r>
    </w:p>
  </w:footnote>
  <w:footnote w:id="34">
    <w:p w:rsidR="00930597" w:rsidRDefault="00930597">
      <w:pPr>
        <w:pStyle w:val="FootnoteText"/>
      </w:pPr>
      <w:r>
        <w:rPr>
          <w:rStyle w:val="FootnoteReference"/>
        </w:rPr>
        <w:footnoteRef/>
      </w:r>
      <w:r>
        <w:t xml:space="preserve"> </w:t>
      </w:r>
      <w:r w:rsidR="001567CA">
        <w:rPr>
          <w:lang w:val="en-US"/>
        </w:rPr>
        <w:t xml:space="preserve">William of Malmesbury, </w:t>
      </w:r>
      <w:r w:rsidR="001567CA">
        <w:rPr>
          <w:i/>
          <w:lang w:val="en-US"/>
        </w:rPr>
        <w:t>Gesta Regum Anglorum</w:t>
      </w:r>
      <w:r w:rsidR="001567CA" w:rsidRPr="001567CA">
        <w:rPr>
          <w:lang w:val="en-US"/>
        </w:rPr>
        <w:t>, p.</w:t>
      </w:r>
      <w:r>
        <w:t xml:space="preserve"> 463</w:t>
      </w:r>
      <w:r w:rsidR="00642AAE">
        <w:t xml:space="preserve">, </w:t>
      </w:r>
      <w:r w:rsidR="00642AAE">
        <w:rPr>
          <w:lang w:val="en-US"/>
        </w:rPr>
        <w:t xml:space="preserve">M. T. Clanchy, </w:t>
      </w:r>
      <w:r w:rsidR="00642AAE">
        <w:rPr>
          <w:i/>
          <w:lang w:val="en-US"/>
        </w:rPr>
        <w:t>England and Its Rulers 1066-1272</w:t>
      </w:r>
      <w:r w:rsidR="00642AAE">
        <w:rPr>
          <w:lang w:val="en-US"/>
        </w:rPr>
        <w:t>, pp. 24-25.</w:t>
      </w:r>
    </w:p>
  </w:footnote>
  <w:footnote w:id="35">
    <w:p w:rsidR="00642AAE" w:rsidRPr="00642AAE" w:rsidRDefault="00642AAE">
      <w:pPr>
        <w:pStyle w:val="FootnoteText"/>
      </w:pPr>
      <w:r>
        <w:rPr>
          <w:rStyle w:val="FootnoteReference"/>
        </w:rPr>
        <w:footnoteRef/>
      </w:r>
      <w:r>
        <w:t xml:space="preserve"> </w:t>
      </w:r>
      <w:r>
        <w:rPr>
          <w:i/>
        </w:rPr>
        <w:t>Ibid</w:t>
      </w:r>
      <w:r>
        <w:t>.</w:t>
      </w:r>
    </w:p>
  </w:footnote>
  <w:footnote w:id="36">
    <w:p w:rsidR="005977F0" w:rsidRDefault="005977F0" w:rsidP="005977F0">
      <w:pPr>
        <w:pStyle w:val="FootnoteText"/>
      </w:pPr>
      <w:r>
        <w:rPr>
          <w:rStyle w:val="FootnoteReference"/>
        </w:rPr>
        <w:footnoteRef/>
      </w:r>
      <w:r>
        <w:t xml:space="preserve"> </w:t>
      </w:r>
      <w:r w:rsidR="006446A5">
        <w:rPr>
          <w:i/>
          <w:lang w:val="en-US"/>
        </w:rPr>
        <w:t xml:space="preserve">The Gesta Normannorum Ducum of William of </w:t>
      </w:r>
      <w:r w:rsidR="006446A5" w:rsidRPr="00046BFF">
        <w:rPr>
          <w:i/>
        </w:rPr>
        <w:t>Jumi</w:t>
      </w:r>
      <w:r w:rsidR="006446A5">
        <w:rPr>
          <w:bCs/>
          <w:i/>
          <w:color w:val="450C02"/>
        </w:rPr>
        <w:t>èges, Orderic Vitalis, and Robert of Torigni</w:t>
      </w:r>
      <w:r>
        <w:t>, p. 179</w:t>
      </w:r>
      <w:r w:rsidR="006446A5">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32EA" w:rsidRDefault="002632EA" w:rsidP="002632EA">
    <w:pPr>
      <w:pStyle w:val="Header"/>
    </w:pPr>
    <w:r>
      <w:t>1500082 – Elean</w:t>
    </w:r>
    <w:r w:rsidR="004D3B2C">
      <w:t>or Watson</w:t>
    </w:r>
    <w:r w:rsidR="004D3B2C">
      <w:tab/>
      <w:t xml:space="preserve">Normans – AHMS6004 </w:t>
    </w:r>
    <w:r w:rsidR="004D3B2C">
      <w:tab/>
      <w:t>15</w:t>
    </w:r>
    <w:r>
      <w:t>/01/2018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0330BA"/>
    <w:multiLevelType w:val="hybridMultilevel"/>
    <w:tmpl w:val="37ECB0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2EA"/>
    <w:rsid w:val="00002F37"/>
    <w:rsid w:val="0004648E"/>
    <w:rsid w:val="00046BFF"/>
    <w:rsid w:val="00084E44"/>
    <w:rsid w:val="000B23C3"/>
    <w:rsid w:val="000E54E0"/>
    <w:rsid w:val="00103CFA"/>
    <w:rsid w:val="0011306B"/>
    <w:rsid w:val="001567CA"/>
    <w:rsid w:val="00172C34"/>
    <w:rsid w:val="001A75F5"/>
    <w:rsid w:val="001C3852"/>
    <w:rsid w:val="001C4345"/>
    <w:rsid w:val="001F28A6"/>
    <w:rsid w:val="00224F5E"/>
    <w:rsid w:val="00246DF5"/>
    <w:rsid w:val="00250195"/>
    <w:rsid w:val="00262B71"/>
    <w:rsid w:val="00262D66"/>
    <w:rsid w:val="002632EA"/>
    <w:rsid w:val="002916C5"/>
    <w:rsid w:val="00295015"/>
    <w:rsid w:val="002B727F"/>
    <w:rsid w:val="002C3EA8"/>
    <w:rsid w:val="002D562D"/>
    <w:rsid w:val="00333BF8"/>
    <w:rsid w:val="0037441E"/>
    <w:rsid w:val="0039793B"/>
    <w:rsid w:val="003C1259"/>
    <w:rsid w:val="00413B2D"/>
    <w:rsid w:val="004345C8"/>
    <w:rsid w:val="00465464"/>
    <w:rsid w:val="00492568"/>
    <w:rsid w:val="004D3B2C"/>
    <w:rsid w:val="004D4EC7"/>
    <w:rsid w:val="00504CA2"/>
    <w:rsid w:val="00512FA9"/>
    <w:rsid w:val="005165D0"/>
    <w:rsid w:val="00556783"/>
    <w:rsid w:val="00557CE5"/>
    <w:rsid w:val="00594589"/>
    <w:rsid w:val="005977F0"/>
    <w:rsid w:val="005D2D0A"/>
    <w:rsid w:val="005E35EF"/>
    <w:rsid w:val="006276C8"/>
    <w:rsid w:val="00642AAE"/>
    <w:rsid w:val="006446A5"/>
    <w:rsid w:val="00656C26"/>
    <w:rsid w:val="006572C4"/>
    <w:rsid w:val="00670B95"/>
    <w:rsid w:val="00672EB5"/>
    <w:rsid w:val="00691D42"/>
    <w:rsid w:val="006936C5"/>
    <w:rsid w:val="006A438A"/>
    <w:rsid w:val="00711519"/>
    <w:rsid w:val="00807FE7"/>
    <w:rsid w:val="00874FAA"/>
    <w:rsid w:val="00890265"/>
    <w:rsid w:val="008929EF"/>
    <w:rsid w:val="00897100"/>
    <w:rsid w:val="008A2483"/>
    <w:rsid w:val="008A44EC"/>
    <w:rsid w:val="008A537C"/>
    <w:rsid w:val="008C222C"/>
    <w:rsid w:val="0090729E"/>
    <w:rsid w:val="00916524"/>
    <w:rsid w:val="009175B5"/>
    <w:rsid w:val="00930597"/>
    <w:rsid w:val="00945863"/>
    <w:rsid w:val="0095484A"/>
    <w:rsid w:val="00960680"/>
    <w:rsid w:val="00995301"/>
    <w:rsid w:val="009B4C1F"/>
    <w:rsid w:val="00A03856"/>
    <w:rsid w:val="00A05A90"/>
    <w:rsid w:val="00A34729"/>
    <w:rsid w:val="00A935F7"/>
    <w:rsid w:val="00A95DFD"/>
    <w:rsid w:val="00B011B2"/>
    <w:rsid w:val="00B33F54"/>
    <w:rsid w:val="00B410E6"/>
    <w:rsid w:val="00B659B4"/>
    <w:rsid w:val="00BA6EF0"/>
    <w:rsid w:val="00BB2FC2"/>
    <w:rsid w:val="00BC273D"/>
    <w:rsid w:val="00BF077F"/>
    <w:rsid w:val="00BF3FE9"/>
    <w:rsid w:val="00C16EF9"/>
    <w:rsid w:val="00C5601B"/>
    <w:rsid w:val="00C60425"/>
    <w:rsid w:val="00C7764E"/>
    <w:rsid w:val="00CC30C0"/>
    <w:rsid w:val="00D03FC4"/>
    <w:rsid w:val="00D52AD9"/>
    <w:rsid w:val="00DC3405"/>
    <w:rsid w:val="00E43D8E"/>
    <w:rsid w:val="00E91B9B"/>
    <w:rsid w:val="00EB2FD6"/>
    <w:rsid w:val="00EC2D38"/>
    <w:rsid w:val="00EC4355"/>
    <w:rsid w:val="00EE6E7A"/>
    <w:rsid w:val="00F01B26"/>
    <w:rsid w:val="00F12A44"/>
    <w:rsid w:val="00F17478"/>
    <w:rsid w:val="00F60D77"/>
    <w:rsid w:val="00FB4A5E"/>
    <w:rsid w:val="00FC3D43"/>
    <w:rsid w:val="00FF2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7A0E73C-2D0C-480C-AC75-740BD5F82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32E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56C26"/>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2EA"/>
    <w:pPr>
      <w:ind w:left="720"/>
    </w:pPr>
  </w:style>
  <w:style w:type="paragraph" w:customStyle="1" w:styleId="q">
    <w:name w:val="q"/>
    <w:basedOn w:val="Normal"/>
    <w:rsid w:val="002632EA"/>
    <w:pPr>
      <w:spacing w:line="360" w:lineRule="atLeast"/>
      <w:ind w:left="360" w:hanging="360"/>
      <w:jc w:val="both"/>
    </w:pPr>
    <w:rPr>
      <w:rFonts w:ascii="New York" w:hAnsi="New York"/>
      <w:b/>
      <w:szCs w:val="20"/>
    </w:rPr>
  </w:style>
  <w:style w:type="paragraph" w:styleId="Header">
    <w:name w:val="header"/>
    <w:basedOn w:val="Normal"/>
    <w:link w:val="HeaderChar"/>
    <w:uiPriority w:val="99"/>
    <w:unhideWhenUsed/>
    <w:rsid w:val="002632EA"/>
    <w:pPr>
      <w:tabs>
        <w:tab w:val="center" w:pos="4513"/>
        <w:tab w:val="right" w:pos="9026"/>
      </w:tabs>
    </w:pPr>
  </w:style>
  <w:style w:type="character" w:customStyle="1" w:styleId="HeaderChar">
    <w:name w:val="Header Char"/>
    <w:basedOn w:val="DefaultParagraphFont"/>
    <w:link w:val="Header"/>
    <w:uiPriority w:val="99"/>
    <w:rsid w:val="002632EA"/>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632EA"/>
    <w:pPr>
      <w:tabs>
        <w:tab w:val="center" w:pos="4513"/>
        <w:tab w:val="right" w:pos="9026"/>
      </w:tabs>
    </w:pPr>
  </w:style>
  <w:style w:type="character" w:customStyle="1" w:styleId="FooterChar">
    <w:name w:val="Footer Char"/>
    <w:basedOn w:val="DefaultParagraphFont"/>
    <w:link w:val="Footer"/>
    <w:uiPriority w:val="99"/>
    <w:rsid w:val="002632EA"/>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56C26"/>
    <w:rPr>
      <w:rFonts w:asciiTheme="majorHAnsi" w:eastAsiaTheme="majorEastAsia" w:hAnsiTheme="majorHAnsi" w:cstheme="majorBidi"/>
      <w:color w:val="2E74B5" w:themeColor="accent1" w:themeShade="BF"/>
      <w:sz w:val="32"/>
      <w:szCs w:val="32"/>
      <w:lang w:val="en-US"/>
    </w:rPr>
  </w:style>
  <w:style w:type="paragraph" w:styleId="FootnoteText">
    <w:name w:val="footnote text"/>
    <w:basedOn w:val="Normal"/>
    <w:link w:val="FootnoteTextChar"/>
    <w:uiPriority w:val="99"/>
    <w:semiHidden/>
    <w:unhideWhenUsed/>
    <w:rsid w:val="00670B95"/>
    <w:rPr>
      <w:sz w:val="20"/>
      <w:szCs w:val="20"/>
    </w:rPr>
  </w:style>
  <w:style w:type="character" w:customStyle="1" w:styleId="FootnoteTextChar">
    <w:name w:val="Footnote Text Char"/>
    <w:basedOn w:val="DefaultParagraphFont"/>
    <w:link w:val="FootnoteText"/>
    <w:uiPriority w:val="99"/>
    <w:semiHidden/>
    <w:rsid w:val="00670B9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670B95"/>
    <w:rPr>
      <w:vertAlign w:val="superscript"/>
    </w:rPr>
  </w:style>
  <w:style w:type="character" w:styleId="Hyperlink">
    <w:name w:val="Hyperlink"/>
    <w:basedOn w:val="DefaultParagraphFont"/>
    <w:uiPriority w:val="99"/>
    <w:unhideWhenUsed/>
    <w:rsid w:val="00A34729"/>
    <w:rPr>
      <w:color w:val="0563C1" w:themeColor="hyperlink"/>
      <w:u w:val="single"/>
    </w:rPr>
  </w:style>
  <w:style w:type="paragraph" w:styleId="BalloonText">
    <w:name w:val="Balloon Text"/>
    <w:basedOn w:val="Normal"/>
    <w:link w:val="BalloonTextChar"/>
    <w:uiPriority w:val="99"/>
    <w:semiHidden/>
    <w:unhideWhenUsed/>
    <w:rsid w:val="001C43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4345"/>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032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ayeuxtapestry.org.uk/Bayeux31.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ayeuxtapestry.org.uk/bayeux27.ht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bayeuxtapestry.org.uk/bayeux18.htm" TargetMode="External"/><Relationship Id="rId14" Type="http://schemas.openxmlformats.org/officeDocument/2006/relationships/hyperlink" Target="http://www.bayeuxtapestry.org.uk/BayeuxConten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4EA747-72C9-4831-B486-CCB4B1D8C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1250</TotalTime>
  <Pages>10</Pages>
  <Words>3310</Words>
  <Characters>18869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Watson</dc:creator>
  <cp:keywords/>
  <dc:description/>
  <cp:lastModifiedBy>Eleanor Watson</cp:lastModifiedBy>
  <cp:revision>35</cp:revision>
  <cp:lastPrinted>2018-01-19T17:42:00Z</cp:lastPrinted>
  <dcterms:created xsi:type="dcterms:W3CDTF">2018-01-11T20:50:00Z</dcterms:created>
  <dcterms:modified xsi:type="dcterms:W3CDTF">2018-01-19T19:48:00Z</dcterms:modified>
</cp:coreProperties>
</file>