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94B3B" w14:textId="77777777" w:rsidR="009337B7" w:rsidRDefault="009337B7" w:rsidP="005C050C">
      <w:pPr>
        <w:jc w:val="center"/>
        <w:rPr>
          <w:u w:val="single"/>
        </w:rPr>
      </w:pPr>
    </w:p>
    <w:p w14:paraId="16ECF1BB" w14:textId="77777777" w:rsidR="009337B7" w:rsidRPr="0051302F" w:rsidRDefault="009337B7" w:rsidP="009337B7">
      <w:pPr>
        <w:spacing w:after="0" w:line="240" w:lineRule="auto"/>
        <w:ind w:left="-180" w:right="-334"/>
        <w:rPr>
          <w:rFonts w:ascii="Georgia" w:eastAsia="SimSun" w:hAnsi="Georgia" w:cs="Times New Roman"/>
          <w:color w:val="000000"/>
          <w:sz w:val="21"/>
          <w:szCs w:val="21"/>
          <w:lang w:eastAsia="zh-CN"/>
        </w:rPr>
      </w:pPr>
      <w:r w:rsidRPr="0051302F">
        <w:rPr>
          <w:rFonts w:ascii="Georgia" w:eastAsia="SimSun" w:hAnsi="Georgia" w:cs="Times New Roman"/>
          <w:noProof/>
          <w:color w:val="000000"/>
          <w:sz w:val="21"/>
          <w:szCs w:val="21"/>
          <w:lang w:eastAsia="zh-CN"/>
        </w:rPr>
        <w:drawing>
          <wp:inline distT="0" distB="0" distL="0" distR="0" wp14:anchorId="77EA461B" wp14:editId="71906AC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B02503A" w14:textId="77777777" w:rsidR="009337B7" w:rsidRPr="0051302F" w:rsidRDefault="009337B7" w:rsidP="009337B7">
      <w:pPr>
        <w:spacing w:after="0" w:line="240" w:lineRule="auto"/>
        <w:ind w:left="-180" w:right="-334"/>
        <w:rPr>
          <w:rFonts w:ascii="Georgia" w:eastAsia="SimSun" w:hAnsi="Georgia" w:cs="Times New Roman"/>
          <w:color w:val="000000"/>
          <w:sz w:val="21"/>
          <w:szCs w:val="21"/>
          <w:lang w:eastAsia="zh-CN"/>
        </w:rPr>
      </w:pPr>
    </w:p>
    <w:p w14:paraId="42CC8AE0" w14:textId="77777777" w:rsidR="009337B7" w:rsidRPr="0051302F" w:rsidRDefault="009337B7" w:rsidP="009337B7">
      <w:pPr>
        <w:spacing w:after="0" w:line="240" w:lineRule="auto"/>
        <w:ind w:left="-180" w:right="-334"/>
        <w:rPr>
          <w:rFonts w:ascii="Georgia" w:eastAsia="SimSun" w:hAnsi="Georgia" w:cs="Times New Roman"/>
          <w:color w:val="000000"/>
          <w:sz w:val="21"/>
          <w:szCs w:val="21"/>
          <w:lang w:eastAsia="zh-CN"/>
        </w:rPr>
      </w:pPr>
    </w:p>
    <w:p w14:paraId="3BF889FE" w14:textId="77777777" w:rsidR="009337B7" w:rsidRPr="0051302F" w:rsidRDefault="009337B7" w:rsidP="009337B7">
      <w:pPr>
        <w:spacing w:after="0" w:line="240" w:lineRule="auto"/>
        <w:ind w:left="-180" w:right="-334"/>
        <w:jc w:val="center"/>
        <w:rPr>
          <w:rFonts w:ascii="Arial" w:eastAsia="SimSun" w:hAnsi="Arial" w:cs="Arial"/>
          <w:b/>
          <w:color w:val="000000"/>
          <w:sz w:val="28"/>
          <w:szCs w:val="28"/>
          <w:lang w:val="cy-GB" w:eastAsia="zh-CN"/>
        </w:rPr>
      </w:pPr>
      <w:r w:rsidRPr="0051302F">
        <w:rPr>
          <w:rFonts w:ascii="Arial" w:eastAsia="SimSun" w:hAnsi="Arial" w:cs="Arial"/>
          <w:b/>
          <w:color w:val="000000"/>
          <w:sz w:val="28"/>
          <w:szCs w:val="28"/>
          <w:lang w:val="cy-GB" w:eastAsia="zh-CN"/>
        </w:rPr>
        <w:t xml:space="preserve">Postgraduate/Distance Learning </w:t>
      </w:r>
    </w:p>
    <w:p w14:paraId="48D2AE37" w14:textId="77777777" w:rsidR="009337B7" w:rsidRPr="0051302F" w:rsidRDefault="009337B7" w:rsidP="009337B7">
      <w:pPr>
        <w:spacing w:after="0" w:line="240" w:lineRule="auto"/>
        <w:ind w:left="-180" w:right="-334"/>
        <w:jc w:val="center"/>
        <w:rPr>
          <w:rFonts w:ascii="Arial" w:eastAsia="SimSun" w:hAnsi="Arial" w:cs="Arial"/>
          <w:b/>
          <w:color w:val="000000"/>
          <w:sz w:val="28"/>
          <w:szCs w:val="28"/>
          <w:lang w:eastAsia="zh-CN"/>
        </w:rPr>
      </w:pPr>
      <w:r w:rsidRPr="0051302F">
        <w:rPr>
          <w:rFonts w:ascii="Arial" w:eastAsia="SimSun" w:hAnsi="Arial" w:cs="Arial"/>
          <w:b/>
          <w:color w:val="000000"/>
          <w:sz w:val="28"/>
          <w:szCs w:val="28"/>
          <w:lang w:val="cy-GB" w:eastAsia="zh-CN"/>
        </w:rPr>
        <w:t>Assignment coversheet &amp; feedback form</w:t>
      </w:r>
    </w:p>
    <w:p w14:paraId="55723EC2" w14:textId="77777777" w:rsidR="009337B7" w:rsidRPr="0051302F" w:rsidRDefault="009337B7" w:rsidP="009337B7">
      <w:pPr>
        <w:rPr>
          <w:rFonts w:ascii="Arial" w:hAnsi="Arial" w:cs="Arial"/>
          <w:sz w:val="28"/>
          <w:szCs w:val="28"/>
          <w:lang w:val="cy-GB"/>
        </w:rPr>
      </w:pPr>
    </w:p>
    <w:p w14:paraId="1ADE7CF5" w14:textId="77777777" w:rsidR="009337B7" w:rsidRPr="0051302F" w:rsidRDefault="009337B7" w:rsidP="009337B7">
      <w:pPr>
        <w:keepNext/>
        <w:spacing w:after="0" w:line="240" w:lineRule="auto"/>
        <w:ind w:left="720"/>
        <w:jc w:val="center"/>
        <w:outlineLvl w:val="2"/>
        <w:rPr>
          <w:rFonts w:ascii="Tahoma" w:eastAsia="SimSun" w:hAnsi="Tahoma" w:cs="Tahoma"/>
          <w:b/>
          <w:bCs/>
          <w:sz w:val="20"/>
          <w:szCs w:val="20"/>
          <w:lang w:val="cy-GB" w:eastAsia="zh-CN"/>
        </w:rPr>
      </w:pPr>
      <w:r w:rsidRPr="0051302F">
        <w:rPr>
          <w:rFonts w:ascii="Tahoma" w:eastAsia="SimSun" w:hAnsi="Tahoma" w:cs="Tahoma"/>
          <w:b/>
          <w:bCs/>
          <w:sz w:val="20"/>
          <w:szCs w:val="20"/>
          <w:lang w:val="cy-GB" w:eastAsia="zh-CN"/>
        </w:rPr>
        <w:t>THIS SHEET MUST BE THE FIRST PAGE OF THE ASSIGNMENT YOU ARE SUBMITTING  (DO NOT SEND AS A SEPARATE FILE)</w:t>
      </w:r>
    </w:p>
    <w:p w14:paraId="646C8CBB" w14:textId="77777777" w:rsidR="009337B7" w:rsidRPr="0051302F" w:rsidRDefault="009337B7" w:rsidP="009337B7">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337B7" w:rsidRPr="0051302F" w14:paraId="7EEC3BF9" w14:textId="77777777" w:rsidTr="009337B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335FD7F2"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b/>
                <w:color w:val="000000"/>
                <w:lang w:eastAsia="zh-CN"/>
              </w:rPr>
              <w:t>For completion by the student</w:t>
            </w:r>
            <w:r w:rsidRPr="0051302F">
              <w:rPr>
                <w:rFonts w:ascii="Arial" w:eastAsia="SimSun" w:hAnsi="Arial" w:cs="Arial"/>
                <w:color w:val="000000"/>
                <w:lang w:eastAsia="zh-CN"/>
              </w:rPr>
              <w:t>:</w:t>
            </w:r>
          </w:p>
        </w:tc>
      </w:tr>
      <w:tr w:rsidR="009337B7" w:rsidRPr="0051302F" w14:paraId="3E0877F6" w14:textId="77777777" w:rsidTr="009337B7">
        <w:trPr>
          <w:trHeight w:val="718"/>
        </w:trPr>
        <w:tc>
          <w:tcPr>
            <w:tcW w:w="8856" w:type="dxa"/>
            <w:gridSpan w:val="5"/>
            <w:tcBorders>
              <w:top w:val="single" w:sz="4" w:space="0" w:color="000000"/>
              <w:left w:val="single" w:sz="4" w:space="0" w:color="000000"/>
              <w:bottom w:val="single" w:sz="4" w:space="0" w:color="000000"/>
              <w:right w:val="single" w:sz="4" w:space="0" w:color="000000"/>
            </w:tcBorders>
            <w:hideMark/>
          </w:tcPr>
          <w:p w14:paraId="47C5B039"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Student Name:</w:t>
            </w:r>
          </w:p>
          <w:p w14:paraId="060662C9"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Victoria Mildenhall</w:t>
            </w:r>
          </w:p>
        </w:tc>
      </w:tr>
      <w:tr w:rsidR="009337B7" w:rsidRPr="0051302F" w14:paraId="1AB1D840" w14:textId="77777777" w:rsidTr="009337B7">
        <w:trPr>
          <w:trHeight w:val="849"/>
        </w:trPr>
        <w:tc>
          <w:tcPr>
            <w:tcW w:w="4788" w:type="dxa"/>
            <w:tcBorders>
              <w:top w:val="single" w:sz="4" w:space="0" w:color="000000"/>
              <w:left w:val="single" w:sz="4" w:space="0" w:color="000000"/>
              <w:bottom w:val="single" w:sz="4" w:space="0" w:color="000000"/>
              <w:right w:val="single" w:sz="4" w:space="0" w:color="000000"/>
            </w:tcBorders>
          </w:tcPr>
          <w:p w14:paraId="65EEE205"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 xml:space="preserve">Module code: </w:t>
            </w:r>
            <w:r>
              <w:rPr>
                <w:rFonts w:ascii="Arial" w:eastAsia="SimSun" w:hAnsi="Arial" w:cs="Arial"/>
                <w:color w:val="000000"/>
                <w:lang w:eastAsia="zh-CN"/>
              </w:rPr>
              <w:t>AHAN7011</w:t>
            </w:r>
          </w:p>
          <w:p w14:paraId="1861C8DD" w14:textId="77777777" w:rsidR="009337B7" w:rsidRPr="0051302F" w:rsidRDefault="009337B7" w:rsidP="009337B7">
            <w:pPr>
              <w:spacing w:after="0" w:line="240" w:lineRule="auto"/>
              <w:ind w:right="34"/>
              <w:rPr>
                <w:rFonts w:ascii="Arial" w:eastAsia="SimSun" w:hAnsi="Arial" w:cs="Arial"/>
                <w:color w:val="000000"/>
                <w:lang w:eastAsia="zh-CN"/>
              </w:rPr>
            </w:pPr>
          </w:p>
          <w:p w14:paraId="7A63811A"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 xml:space="preserve">Module title: </w:t>
            </w:r>
            <w:r>
              <w:rPr>
                <w:rFonts w:ascii="Arial" w:eastAsia="SimSun" w:hAnsi="Arial" w:cs="Arial"/>
                <w:color w:val="000000"/>
                <w:lang w:eastAsia="zh-CN"/>
              </w:rPr>
              <w:t>Cosmology, Magic and Divination</w:t>
            </w:r>
          </w:p>
          <w:p w14:paraId="565CB2D6" w14:textId="77777777" w:rsidR="009337B7" w:rsidRPr="0051302F" w:rsidRDefault="009337B7" w:rsidP="009337B7">
            <w:pPr>
              <w:spacing w:after="0" w:line="240" w:lineRule="auto"/>
              <w:ind w:right="34"/>
              <w:rPr>
                <w:rFonts w:ascii="Arial" w:eastAsia="SimSun" w:hAnsi="Arial" w:cs="Arial"/>
                <w:color w:val="000000"/>
                <w:lang w:eastAsia="zh-CN"/>
              </w:rPr>
            </w:pPr>
          </w:p>
          <w:p w14:paraId="3D45A744" w14:textId="77777777" w:rsidR="009337B7" w:rsidRPr="0051302F" w:rsidRDefault="009337B7" w:rsidP="009337B7">
            <w:pPr>
              <w:spacing w:after="0" w:line="240" w:lineRule="auto"/>
              <w:ind w:right="34"/>
              <w:rPr>
                <w:rFonts w:ascii="Arial" w:eastAsia="SimSun" w:hAnsi="Arial" w:cs="Arial"/>
                <w:color w:val="000000"/>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tcPr>
          <w:p w14:paraId="342EA848"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Student ID number:</w:t>
            </w:r>
          </w:p>
          <w:p w14:paraId="7CFA9E0E" w14:textId="77777777" w:rsidR="009337B7" w:rsidRPr="0051302F" w:rsidRDefault="009337B7" w:rsidP="009337B7">
            <w:pPr>
              <w:spacing w:after="0" w:line="240" w:lineRule="auto"/>
              <w:ind w:right="34"/>
              <w:rPr>
                <w:rFonts w:ascii="Arial" w:eastAsia="SimSun" w:hAnsi="Arial" w:cs="Arial"/>
                <w:color w:val="000000"/>
                <w:lang w:eastAsia="zh-CN"/>
              </w:rPr>
            </w:pPr>
          </w:p>
          <w:p w14:paraId="358E7F5D"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1501585</w:t>
            </w:r>
          </w:p>
        </w:tc>
        <w:tc>
          <w:tcPr>
            <w:tcW w:w="1802" w:type="dxa"/>
            <w:tcBorders>
              <w:top w:val="single" w:sz="4" w:space="0" w:color="000000"/>
              <w:left w:val="single" w:sz="4" w:space="0" w:color="000000"/>
              <w:bottom w:val="single" w:sz="4" w:space="0" w:color="000000"/>
              <w:right w:val="single" w:sz="4" w:space="0" w:color="000000"/>
            </w:tcBorders>
            <w:hideMark/>
          </w:tcPr>
          <w:p w14:paraId="36B8EB6D"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Educational support needs:</w:t>
            </w:r>
          </w:p>
          <w:p w14:paraId="6F2C89DD"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No</w:t>
            </w:r>
          </w:p>
        </w:tc>
      </w:tr>
      <w:tr w:rsidR="009337B7" w:rsidRPr="0051302F" w14:paraId="2DC6FF22" w14:textId="77777777" w:rsidTr="009337B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33C1D78F"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Module tutor:</w:t>
            </w:r>
          </w:p>
          <w:p w14:paraId="2E77474A"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 xml:space="preserve">Dr </w:t>
            </w:r>
            <w:r>
              <w:rPr>
                <w:rFonts w:ascii="Arial" w:eastAsia="SimSun" w:hAnsi="Arial" w:cs="Arial"/>
                <w:color w:val="000000"/>
                <w:lang w:eastAsia="zh-CN"/>
              </w:rPr>
              <w:t xml:space="preserve">C </w:t>
            </w:r>
            <w:proofErr w:type="spellStart"/>
            <w:r>
              <w:rPr>
                <w:rFonts w:ascii="Arial" w:eastAsia="SimSun" w:hAnsi="Arial" w:cs="Arial"/>
                <w:color w:val="000000"/>
                <w:lang w:eastAsia="zh-CN"/>
              </w:rPr>
              <w:t>Addey</w:t>
            </w:r>
            <w:proofErr w:type="spellEnd"/>
          </w:p>
          <w:p w14:paraId="30F6C085" w14:textId="77777777" w:rsidR="009337B7" w:rsidRPr="0051302F" w:rsidRDefault="009337B7" w:rsidP="009337B7">
            <w:pPr>
              <w:spacing w:after="0" w:line="240" w:lineRule="auto"/>
              <w:ind w:right="34"/>
              <w:rPr>
                <w:rFonts w:ascii="Arial" w:eastAsia="SimSun" w:hAnsi="Arial" w:cs="Arial"/>
                <w:color w:val="000000"/>
                <w:lang w:eastAsia="zh-CN"/>
              </w:rPr>
            </w:pPr>
          </w:p>
          <w:p w14:paraId="0544719B" w14:textId="4C5E1104"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 xml:space="preserve">Assignment due date: </w:t>
            </w:r>
          </w:p>
        </w:tc>
      </w:tr>
      <w:tr w:rsidR="009337B7" w:rsidRPr="0051302F" w14:paraId="24BEB733" w14:textId="77777777" w:rsidTr="009337B7">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46367B31" w14:textId="77777777" w:rsidR="009337B7" w:rsidRPr="0051302F" w:rsidRDefault="009337B7" w:rsidP="009337B7">
            <w:pPr>
              <w:rPr>
                <w:rFonts w:ascii="Arial" w:hAnsi="Arial" w:cs="Arial"/>
              </w:rPr>
            </w:pPr>
            <w:r w:rsidRPr="0051302F">
              <w:rPr>
                <w:rFonts w:ascii="Arial" w:hAnsi="Arial" w:cs="Arial"/>
              </w:rPr>
              <w:t>If your module has multiple submissions, please indicate which piece of work this is.</w:t>
            </w:r>
          </w:p>
          <w:p w14:paraId="3320D75A" w14:textId="77777777" w:rsidR="009337B7" w:rsidRPr="0051302F" w:rsidRDefault="009337B7" w:rsidP="009337B7">
            <w:pPr>
              <w:rPr>
                <w:rFonts w:ascii="Arial" w:hAnsi="Arial" w:cs="Arial"/>
              </w:rPr>
            </w:pPr>
          </w:p>
          <w:p w14:paraId="0DF2554A" w14:textId="77777777" w:rsidR="009337B7" w:rsidRPr="0051302F" w:rsidRDefault="009337B7" w:rsidP="009337B7">
            <w:pPr>
              <w:rPr>
                <w:rFonts w:ascii="Arial" w:hAnsi="Arial" w:cs="Arial"/>
              </w:rPr>
            </w:pPr>
            <w:r w:rsidRPr="0051302F">
              <w:rPr>
                <w:rFonts w:ascii="Arial" w:hAnsi="Arial" w:cs="Arial"/>
              </w:rPr>
              <w:t>1</w:t>
            </w:r>
            <w:r w:rsidRPr="0051302F">
              <w:rPr>
                <w:rFonts w:ascii="Arial" w:hAnsi="Arial" w:cs="Arial"/>
                <w:vertAlign w:val="superscript"/>
              </w:rPr>
              <w:t xml:space="preserve">st </w:t>
            </w:r>
            <w:r w:rsidRPr="0051302F">
              <w:rPr>
                <w:rFonts w:ascii="Arial" w:hAnsi="Arial" w:cs="Arial"/>
              </w:rPr>
              <w:fldChar w:fldCharType="begin">
                <w:ffData>
                  <w:name w:val="Check13"/>
                  <w:enabled/>
                  <w:calcOnExit w:val="0"/>
                  <w:checkBox>
                    <w:sizeAuto/>
                    <w:default w:val="0"/>
                  </w:checkBox>
                </w:ffData>
              </w:fldChar>
            </w:r>
            <w:bookmarkStart w:id="0" w:name="Check13"/>
            <w:r w:rsidRPr="0051302F">
              <w:rPr>
                <w:rFonts w:ascii="Arial" w:hAnsi="Arial" w:cs="Arial"/>
              </w:rPr>
              <w:instrText xml:space="preserve"> FORMCHECKBOX </w:instrText>
            </w:r>
            <w:r>
              <w:rPr>
                <w:rFonts w:ascii="Arial" w:hAnsi="Arial" w:cs="Arial"/>
              </w:rPr>
            </w:r>
            <w:r>
              <w:rPr>
                <w:rFonts w:ascii="Arial" w:hAnsi="Arial" w:cs="Arial"/>
              </w:rPr>
              <w:fldChar w:fldCharType="separate"/>
            </w:r>
            <w:r w:rsidRPr="0051302F">
              <w:rPr>
                <w:rFonts w:ascii="Times New Roman" w:hAnsi="Times New Roman" w:cs="Times New Roman"/>
                <w:sz w:val="24"/>
                <w:szCs w:val="24"/>
              </w:rPr>
              <w:fldChar w:fldCharType="end"/>
            </w:r>
            <w:bookmarkEnd w:id="0"/>
            <w:r w:rsidRPr="0051302F">
              <w:rPr>
                <w:rFonts w:ascii="Arial" w:hAnsi="Arial" w:cs="Arial"/>
              </w:rPr>
              <w:t xml:space="preserve">    2</w:t>
            </w:r>
            <w:r w:rsidRPr="0051302F">
              <w:rPr>
                <w:rFonts w:ascii="Arial" w:hAnsi="Arial" w:cs="Arial"/>
                <w:vertAlign w:val="superscript"/>
              </w:rPr>
              <w:t>nd</w:t>
            </w:r>
            <w:r w:rsidRPr="0051302F">
              <w:rPr>
                <w:rFonts w:ascii="Arial" w:hAnsi="Arial" w:cs="Arial"/>
              </w:rPr>
              <w:t xml:space="preserve">  </w:t>
            </w:r>
            <w:r w:rsidRPr="0051302F">
              <w:rPr>
                <w:rFonts w:ascii="Arial" w:hAnsi="Arial" w:cs="Arial"/>
              </w:rPr>
              <w:fldChar w:fldCharType="begin">
                <w:ffData>
                  <w:name w:val="Check14"/>
                  <w:enabled/>
                  <w:calcOnExit w:val="0"/>
                  <w:checkBox>
                    <w:sizeAuto/>
                    <w:default w:val="0"/>
                  </w:checkBox>
                </w:ffData>
              </w:fldChar>
            </w:r>
            <w:bookmarkStart w:id="1" w:name="Check14"/>
            <w:r w:rsidRPr="0051302F">
              <w:rPr>
                <w:rFonts w:ascii="Arial" w:hAnsi="Arial" w:cs="Arial"/>
              </w:rPr>
              <w:instrText xml:space="preserve"> FORMCHECKBOX </w:instrText>
            </w:r>
            <w:r>
              <w:rPr>
                <w:rFonts w:ascii="Arial" w:hAnsi="Arial" w:cs="Arial"/>
              </w:rPr>
            </w:r>
            <w:r>
              <w:rPr>
                <w:rFonts w:ascii="Arial" w:hAnsi="Arial" w:cs="Arial"/>
              </w:rPr>
              <w:fldChar w:fldCharType="separate"/>
            </w:r>
            <w:r w:rsidRPr="0051302F">
              <w:rPr>
                <w:rFonts w:ascii="Times New Roman" w:hAnsi="Times New Roman" w:cs="Times New Roman"/>
                <w:sz w:val="24"/>
                <w:szCs w:val="24"/>
              </w:rPr>
              <w:fldChar w:fldCharType="end"/>
            </w:r>
            <w:bookmarkEnd w:id="1"/>
            <w:r w:rsidRPr="0051302F">
              <w:rPr>
                <w:rFonts w:ascii="Arial" w:hAnsi="Arial" w:cs="Arial"/>
              </w:rPr>
              <w:t xml:space="preserve">     3</w:t>
            </w:r>
            <w:r w:rsidRPr="0051302F">
              <w:rPr>
                <w:rFonts w:ascii="Arial" w:hAnsi="Arial" w:cs="Arial"/>
                <w:vertAlign w:val="superscript"/>
              </w:rPr>
              <w:t>rd</w:t>
            </w:r>
            <w:r w:rsidRPr="0051302F">
              <w:rPr>
                <w:rFonts w:ascii="Arial" w:hAnsi="Arial" w:cs="Arial"/>
              </w:rPr>
              <w:t xml:space="preserve">  </w:t>
            </w:r>
            <w:r w:rsidRPr="0051302F">
              <w:rPr>
                <w:rFonts w:ascii="Arial" w:hAnsi="Arial" w:cs="Arial"/>
              </w:rPr>
              <w:fldChar w:fldCharType="begin">
                <w:ffData>
                  <w:name w:val="Check15"/>
                  <w:enabled/>
                  <w:calcOnExit w:val="0"/>
                  <w:checkBox>
                    <w:sizeAuto/>
                    <w:default w:val="0"/>
                  </w:checkBox>
                </w:ffData>
              </w:fldChar>
            </w:r>
            <w:bookmarkStart w:id="2" w:name="Check15"/>
            <w:r w:rsidRPr="0051302F">
              <w:rPr>
                <w:rFonts w:ascii="Arial" w:hAnsi="Arial" w:cs="Arial"/>
              </w:rPr>
              <w:instrText xml:space="preserve"> FORMCHECKBOX </w:instrText>
            </w:r>
            <w:r>
              <w:rPr>
                <w:rFonts w:ascii="Arial" w:hAnsi="Arial" w:cs="Arial"/>
              </w:rPr>
            </w:r>
            <w:r>
              <w:rPr>
                <w:rFonts w:ascii="Arial" w:hAnsi="Arial" w:cs="Arial"/>
              </w:rPr>
              <w:fldChar w:fldCharType="separate"/>
            </w:r>
            <w:r w:rsidRPr="0051302F">
              <w:rPr>
                <w:rFonts w:ascii="Times New Roman" w:hAnsi="Times New Roman" w:cs="Times New Roman"/>
                <w:sz w:val="24"/>
                <w:szCs w:val="24"/>
              </w:rPr>
              <w:fldChar w:fldCharType="end"/>
            </w:r>
            <w:bookmarkEnd w:id="2"/>
            <w:r w:rsidRPr="0051302F">
              <w:rPr>
                <w:rFonts w:ascii="Arial" w:hAnsi="Arial" w:cs="Arial"/>
              </w:rPr>
              <w:t xml:space="preserve">      4</w:t>
            </w:r>
            <w:r w:rsidRPr="0051302F">
              <w:rPr>
                <w:rFonts w:ascii="Arial" w:hAnsi="Arial" w:cs="Arial"/>
                <w:vertAlign w:val="superscript"/>
              </w:rPr>
              <w:t>th</w:t>
            </w:r>
            <w:r w:rsidRPr="0051302F">
              <w:rPr>
                <w:rFonts w:ascii="Arial" w:hAnsi="Arial" w:cs="Arial"/>
              </w:rPr>
              <w:t xml:space="preserve"> </w:t>
            </w:r>
            <w:r w:rsidRPr="0051302F">
              <w:rPr>
                <w:rFonts w:ascii="Arial" w:hAnsi="Arial" w:cs="Arial"/>
              </w:rPr>
              <w:fldChar w:fldCharType="begin">
                <w:ffData>
                  <w:name w:val="Check16"/>
                  <w:enabled/>
                  <w:calcOnExit w:val="0"/>
                  <w:checkBox>
                    <w:sizeAuto/>
                    <w:default w:val="0"/>
                  </w:checkBox>
                </w:ffData>
              </w:fldChar>
            </w:r>
            <w:bookmarkStart w:id="3" w:name="Check16"/>
            <w:r w:rsidRPr="0051302F">
              <w:rPr>
                <w:rFonts w:ascii="Arial" w:hAnsi="Arial" w:cs="Arial"/>
              </w:rPr>
              <w:instrText xml:space="preserve"> FORMCHECKBOX </w:instrText>
            </w:r>
            <w:r>
              <w:rPr>
                <w:rFonts w:ascii="Arial" w:hAnsi="Arial" w:cs="Arial"/>
              </w:rPr>
            </w:r>
            <w:r>
              <w:rPr>
                <w:rFonts w:ascii="Arial" w:hAnsi="Arial" w:cs="Arial"/>
              </w:rPr>
              <w:fldChar w:fldCharType="separate"/>
            </w:r>
            <w:r w:rsidRPr="0051302F">
              <w:rPr>
                <w:rFonts w:ascii="Times New Roman" w:hAnsi="Times New Roman" w:cs="Times New Roman"/>
                <w:sz w:val="24"/>
                <w:szCs w:val="24"/>
              </w:rPr>
              <w:fldChar w:fldCharType="end"/>
            </w:r>
            <w:bookmarkEnd w:id="3"/>
            <w:r w:rsidRPr="0051302F">
              <w:rPr>
                <w:rFonts w:ascii="Arial" w:hAnsi="Arial" w:cs="Arial"/>
              </w:rPr>
              <w:t xml:space="preserve">      5</w:t>
            </w:r>
            <w:r w:rsidRPr="0051302F">
              <w:rPr>
                <w:rFonts w:ascii="Arial" w:hAnsi="Arial" w:cs="Arial"/>
                <w:vertAlign w:val="superscript"/>
              </w:rPr>
              <w:t>th</w:t>
            </w:r>
            <w:r w:rsidRPr="0051302F">
              <w:rPr>
                <w:rFonts w:ascii="Arial" w:hAnsi="Arial" w:cs="Arial"/>
              </w:rPr>
              <w:t xml:space="preserve"> </w:t>
            </w:r>
            <w:r w:rsidRPr="0051302F">
              <w:rPr>
                <w:rFonts w:ascii="Arial" w:hAnsi="Arial" w:cs="Arial"/>
              </w:rPr>
              <w:fldChar w:fldCharType="begin">
                <w:ffData>
                  <w:name w:val="Check17"/>
                  <w:enabled/>
                  <w:calcOnExit w:val="0"/>
                  <w:checkBox>
                    <w:sizeAuto/>
                    <w:default w:val="0"/>
                  </w:checkBox>
                </w:ffData>
              </w:fldChar>
            </w:r>
            <w:bookmarkStart w:id="4" w:name="Check17"/>
            <w:r w:rsidRPr="0051302F">
              <w:rPr>
                <w:rFonts w:ascii="Arial" w:hAnsi="Arial" w:cs="Arial"/>
              </w:rPr>
              <w:instrText xml:space="preserve"> FORMCHECKBOX </w:instrText>
            </w:r>
            <w:r>
              <w:rPr>
                <w:rFonts w:ascii="Arial" w:hAnsi="Arial" w:cs="Arial"/>
              </w:rPr>
            </w:r>
            <w:r>
              <w:rPr>
                <w:rFonts w:ascii="Arial" w:hAnsi="Arial" w:cs="Arial"/>
              </w:rPr>
              <w:fldChar w:fldCharType="separate"/>
            </w:r>
            <w:r w:rsidRPr="0051302F">
              <w:rPr>
                <w:rFonts w:ascii="Times New Roman" w:hAnsi="Times New Roman" w:cs="Times New Roman"/>
                <w:sz w:val="24"/>
                <w:szCs w:val="24"/>
              </w:rPr>
              <w:fldChar w:fldCharType="end"/>
            </w:r>
            <w:bookmarkEnd w:id="4"/>
            <w:r w:rsidRPr="0051302F">
              <w:rPr>
                <w:rFonts w:ascii="Arial" w:hAnsi="Arial" w:cs="Arial"/>
              </w:rPr>
              <w:t xml:space="preserve">      6</w:t>
            </w:r>
            <w:r w:rsidRPr="0051302F">
              <w:rPr>
                <w:rFonts w:ascii="Arial" w:hAnsi="Arial" w:cs="Arial"/>
                <w:vertAlign w:val="superscript"/>
              </w:rPr>
              <w:t>th</w:t>
            </w:r>
            <w:r w:rsidRPr="0051302F">
              <w:rPr>
                <w:rFonts w:ascii="Arial" w:hAnsi="Arial" w:cs="Arial"/>
              </w:rPr>
              <w:t xml:space="preserve"> </w:t>
            </w:r>
            <w:r w:rsidRPr="0051302F">
              <w:rPr>
                <w:rFonts w:ascii="Arial" w:hAnsi="Arial" w:cs="Arial"/>
              </w:rPr>
              <w:fldChar w:fldCharType="begin">
                <w:ffData>
                  <w:name w:val="Check18"/>
                  <w:enabled/>
                  <w:calcOnExit w:val="0"/>
                  <w:checkBox>
                    <w:sizeAuto/>
                    <w:default w:val="0"/>
                  </w:checkBox>
                </w:ffData>
              </w:fldChar>
            </w:r>
            <w:bookmarkStart w:id="5" w:name="Check18"/>
            <w:r w:rsidRPr="0051302F">
              <w:rPr>
                <w:rFonts w:ascii="Arial" w:hAnsi="Arial" w:cs="Arial"/>
              </w:rPr>
              <w:instrText xml:space="preserve"> FORMCHECKBOX </w:instrText>
            </w:r>
            <w:r>
              <w:rPr>
                <w:rFonts w:ascii="Arial" w:hAnsi="Arial" w:cs="Arial"/>
              </w:rPr>
            </w:r>
            <w:r>
              <w:rPr>
                <w:rFonts w:ascii="Arial" w:hAnsi="Arial" w:cs="Arial"/>
              </w:rPr>
              <w:fldChar w:fldCharType="separate"/>
            </w:r>
            <w:r w:rsidRPr="0051302F">
              <w:rPr>
                <w:rFonts w:ascii="Times New Roman" w:hAnsi="Times New Roman" w:cs="Times New Roman"/>
                <w:sz w:val="24"/>
                <w:szCs w:val="24"/>
              </w:rPr>
              <w:fldChar w:fldCharType="end"/>
            </w:r>
            <w:bookmarkEnd w:id="5"/>
          </w:p>
        </w:tc>
      </w:tr>
      <w:tr w:rsidR="009337B7" w:rsidRPr="0051302F" w14:paraId="6B5D7464" w14:textId="77777777" w:rsidTr="009337B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4386E5A9"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I confirm that this is my original work and that I have adhered to the University policy on plagiarism.</w:t>
            </w:r>
          </w:p>
          <w:p w14:paraId="29255ED6"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Arial" w:eastAsia="SimSun" w:hAnsi="Arial" w:cs="Arial"/>
                <w:color w:val="000000"/>
                <w:lang w:eastAsia="zh-CN"/>
              </w:rPr>
              <w:t>Signed ……………………Victoria Mildenhall………………………</w:t>
            </w:r>
          </w:p>
          <w:p w14:paraId="19B3F470" w14:textId="77777777" w:rsidR="009337B7" w:rsidRPr="0051302F" w:rsidRDefault="009337B7" w:rsidP="009337B7">
            <w:pPr>
              <w:spacing w:after="0" w:line="240" w:lineRule="auto"/>
              <w:ind w:right="34"/>
              <w:rPr>
                <w:rFonts w:ascii="Calibri" w:eastAsia="SimSun" w:hAnsi="Calibri" w:cs="Calibri"/>
                <w:b/>
                <w:color w:val="000000"/>
                <w:sz w:val="44"/>
                <w:szCs w:val="44"/>
                <w:lang w:eastAsia="zh-CN"/>
              </w:rPr>
            </w:pPr>
            <w:r w:rsidRPr="0051302F">
              <w:rPr>
                <w:rFonts w:ascii="Calibri" w:eastAsia="SimSun" w:hAnsi="Calibri" w:cs="Tahoma"/>
                <w:b/>
                <w:color w:val="000000"/>
                <w:sz w:val="24"/>
                <w:szCs w:val="24"/>
                <w:lang w:eastAsia="zh-CN"/>
              </w:rPr>
              <w:t xml:space="preserve">Email submission: if you are submitting this form via email, please tick this box </w:t>
            </w:r>
            <w:r w:rsidRPr="0051302F">
              <w:rPr>
                <w:rFonts w:ascii="Calibri" w:eastAsia="SimSun" w:hAnsi="Calibri" w:cs="Calibri"/>
                <w:b/>
                <w:color w:val="000000"/>
                <w:sz w:val="44"/>
                <w:szCs w:val="44"/>
                <w:lang w:eastAsia="zh-CN"/>
              </w:rPr>
              <w:t>X</w:t>
            </w:r>
          </w:p>
          <w:p w14:paraId="27B5251C" w14:textId="77777777" w:rsidR="009337B7" w:rsidRPr="0051302F" w:rsidRDefault="009337B7" w:rsidP="009337B7">
            <w:pPr>
              <w:spacing w:after="0" w:line="240" w:lineRule="auto"/>
              <w:ind w:right="34"/>
              <w:rPr>
                <w:rFonts w:ascii="Arial" w:eastAsia="SimSun" w:hAnsi="Arial" w:cs="Arial"/>
                <w:color w:val="000000"/>
                <w:lang w:eastAsia="zh-CN"/>
              </w:rPr>
            </w:pPr>
            <w:r w:rsidRPr="0051302F">
              <w:rPr>
                <w:rFonts w:ascii="Calibri" w:eastAsia="SimSun" w:hAnsi="Calibri" w:cs="Tahoma"/>
                <w:b/>
                <w:color w:val="000000"/>
                <w:sz w:val="24"/>
                <w:szCs w:val="24"/>
                <w:lang w:eastAsia="zh-CN"/>
              </w:rPr>
              <w:t>(as a substitute for your signature) to confirm that you agree to the above declaration.</w:t>
            </w:r>
          </w:p>
        </w:tc>
      </w:tr>
      <w:tr w:rsidR="009337B7" w:rsidRPr="0051302F" w14:paraId="14303D01" w14:textId="77777777" w:rsidTr="009337B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7B471CA2" w14:textId="77777777" w:rsidR="009337B7" w:rsidRPr="0051302F" w:rsidRDefault="009337B7" w:rsidP="009337B7">
            <w:pPr>
              <w:rPr>
                <w:rFonts w:ascii="Arial" w:hAnsi="Arial" w:cs="Times New Roman"/>
                <w:b/>
                <w:sz w:val="24"/>
                <w:szCs w:val="24"/>
              </w:rPr>
            </w:pPr>
          </w:p>
          <w:p w14:paraId="722259E0" w14:textId="77777777" w:rsidR="009337B7" w:rsidRPr="0051302F" w:rsidRDefault="009337B7" w:rsidP="009337B7">
            <w:pPr>
              <w:rPr>
                <w:rFonts w:ascii="Arial" w:hAnsi="Arial"/>
              </w:rPr>
            </w:pPr>
            <w:r w:rsidRPr="0051302F">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337B7" w:rsidRPr="0051302F" w14:paraId="21F6ED3E" w14:textId="77777777" w:rsidTr="009337B7">
              <w:tc>
                <w:tcPr>
                  <w:tcW w:w="6970" w:type="dxa"/>
                  <w:tcBorders>
                    <w:top w:val="single" w:sz="4" w:space="0" w:color="auto"/>
                    <w:left w:val="single" w:sz="4" w:space="0" w:color="auto"/>
                    <w:bottom w:val="single" w:sz="4" w:space="0" w:color="auto"/>
                    <w:right w:val="single" w:sz="4" w:space="0" w:color="auto"/>
                  </w:tcBorders>
                </w:tcPr>
                <w:p w14:paraId="2ADEDD4A" w14:textId="77777777" w:rsidR="009337B7" w:rsidRPr="0051302F" w:rsidRDefault="009337B7" w:rsidP="009337B7">
                  <w:pPr>
                    <w:rPr>
                      <w:rFonts w:ascii="Arial" w:hAnsi="Arial"/>
                      <w:sz w:val="20"/>
                      <w:szCs w:val="20"/>
                    </w:rPr>
                  </w:pPr>
                </w:p>
                <w:p w14:paraId="42DC1D8D" w14:textId="77777777" w:rsidR="009337B7" w:rsidRPr="0051302F" w:rsidRDefault="009337B7" w:rsidP="009337B7">
                  <w:pPr>
                    <w:rPr>
                      <w:rFonts w:ascii="Arial" w:hAnsi="Arial"/>
                      <w:sz w:val="20"/>
                      <w:szCs w:val="20"/>
                    </w:rPr>
                  </w:pPr>
                  <w:r w:rsidRPr="0051302F">
                    <w:rPr>
                      <w:rFonts w:ascii="Arial" w:hAnsi="Arial"/>
                      <w:sz w:val="20"/>
                      <w:szCs w:val="20"/>
                    </w:rPr>
                    <w:t>1</w:t>
                  </w:r>
                  <w:r w:rsidRPr="0051302F">
                    <w:rPr>
                      <w:rFonts w:ascii="Arial" w:hAnsi="Arial"/>
                      <w:sz w:val="20"/>
                      <w:szCs w:val="20"/>
                      <w:vertAlign w:val="superscript"/>
                    </w:rPr>
                    <w:t>st</w:t>
                  </w:r>
                  <w:r w:rsidRPr="0051302F">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1667082" w14:textId="77777777" w:rsidR="009337B7" w:rsidRPr="0051302F" w:rsidRDefault="009337B7" w:rsidP="009337B7">
                  <w:pPr>
                    <w:rPr>
                      <w:rFonts w:ascii="Arial" w:hAnsi="Arial"/>
                      <w:sz w:val="20"/>
                      <w:szCs w:val="20"/>
                    </w:rPr>
                  </w:pPr>
                </w:p>
              </w:tc>
            </w:tr>
            <w:tr w:rsidR="009337B7" w:rsidRPr="0051302F" w14:paraId="44DDC13D" w14:textId="77777777" w:rsidTr="009337B7">
              <w:tc>
                <w:tcPr>
                  <w:tcW w:w="6970" w:type="dxa"/>
                  <w:tcBorders>
                    <w:top w:val="single" w:sz="4" w:space="0" w:color="auto"/>
                    <w:left w:val="single" w:sz="4" w:space="0" w:color="auto"/>
                    <w:bottom w:val="single" w:sz="4" w:space="0" w:color="auto"/>
                    <w:right w:val="single" w:sz="4" w:space="0" w:color="auto"/>
                  </w:tcBorders>
                </w:tcPr>
                <w:p w14:paraId="18F817FA" w14:textId="77777777" w:rsidR="009337B7" w:rsidRPr="0051302F" w:rsidRDefault="009337B7" w:rsidP="009337B7">
                  <w:pPr>
                    <w:rPr>
                      <w:rFonts w:ascii="Arial" w:hAnsi="Arial"/>
                      <w:sz w:val="20"/>
                      <w:szCs w:val="20"/>
                    </w:rPr>
                  </w:pPr>
                </w:p>
                <w:p w14:paraId="00BC8AFF" w14:textId="77777777" w:rsidR="009337B7" w:rsidRPr="0051302F" w:rsidRDefault="009337B7" w:rsidP="009337B7">
                  <w:pPr>
                    <w:rPr>
                      <w:rFonts w:ascii="Arial" w:hAnsi="Arial"/>
                      <w:sz w:val="20"/>
                      <w:szCs w:val="20"/>
                    </w:rPr>
                  </w:pPr>
                  <w:r w:rsidRPr="0051302F">
                    <w:rPr>
                      <w:rFonts w:ascii="Arial" w:hAnsi="Arial"/>
                      <w:sz w:val="20"/>
                      <w:szCs w:val="20"/>
                    </w:rPr>
                    <w:t>2</w:t>
                  </w:r>
                  <w:r w:rsidRPr="0051302F">
                    <w:rPr>
                      <w:rFonts w:ascii="Arial" w:hAnsi="Arial"/>
                      <w:sz w:val="20"/>
                      <w:szCs w:val="20"/>
                      <w:vertAlign w:val="superscript"/>
                    </w:rPr>
                    <w:t>nd</w:t>
                  </w:r>
                  <w:r w:rsidRPr="0051302F">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C2CFC73" w14:textId="77777777" w:rsidR="009337B7" w:rsidRPr="0051302F" w:rsidRDefault="009337B7" w:rsidP="009337B7">
                  <w:pPr>
                    <w:rPr>
                      <w:rFonts w:ascii="Arial" w:hAnsi="Arial"/>
                      <w:sz w:val="20"/>
                      <w:szCs w:val="20"/>
                    </w:rPr>
                  </w:pPr>
                </w:p>
              </w:tc>
            </w:tr>
            <w:tr w:rsidR="009337B7" w:rsidRPr="0051302F" w14:paraId="3DCAC781" w14:textId="77777777" w:rsidTr="009337B7">
              <w:tc>
                <w:tcPr>
                  <w:tcW w:w="6970" w:type="dxa"/>
                  <w:tcBorders>
                    <w:top w:val="single" w:sz="4" w:space="0" w:color="auto"/>
                    <w:left w:val="single" w:sz="4" w:space="0" w:color="auto"/>
                    <w:bottom w:val="single" w:sz="4" w:space="0" w:color="auto"/>
                    <w:right w:val="single" w:sz="4" w:space="0" w:color="auto"/>
                  </w:tcBorders>
                </w:tcPr>
                <w:p w14:paraId="0A4B10F6" w14:textId="77777777" w:rsidR="009337B7" w:rsidRPr="0051302F" w:rsidRDefault="009337B7" w:rsidP="009337B7">
                  <w:pPr>
                    <w:rPr>
                      <w:rFonts w:ascii="Arial" w:hAnsi="Arial"/>
                      <w:color w:val="000000"/>
                      <w:sz w:val="20"/>
                      <w:szCs w:val="20"/>
                    </w:rPr>
                  </w:pPr>
                  <w:r w:rsidRPr="0051302F">
                    <w:rPr>
                      <w:rFonts w:ascii="Arial" w:hAnsi="Arial"/>
                      <w:color w:val="000000"/>
                      <w:sz w:val="20"/>
                      <w:szCs w:val="20"/>
                    </w:rPr>
                    <w:t xml:space="preserve">Agreed Internal Mark: </w:t>
                  </w:r>
                </w:p>
                <w:p w14:paraId="7CD67200" w14:textId="77777777" w:rsidR="009337B7" w:rsidRPr="0051302F" w:rsidRDefault="009337B7" w:rsidP="009337B7">
                  <w:pPr>
                    <w:rPr>
                      <w:rFonts w:ascii="Arial" w:hAnsi="Arial"/>
                      <w:sz w:val="20"/>
                      <w:szCs w:val="20"/>
                      <w:highlight w:val="yellow"/>
                    </w:rPr>
                  </w:pPr>
                </w:p>
              </w:tc>
              <w:tc>
                <w:tcPr>
                  <w:tcW w:w="1660" w:type="dxa"/>
                  <w:tcBorders>
                    <w:top w:val="single" w:sz="4" w:space="0" w:color="auto"/>
                    <w:left w:val="single" w:sz="4" w:space="0" w:color="auto"/>
                    <w:bottom w:val="single" w:sz="4" w:space="0" w:color="auto"/>
                    <w:right w:val="single" w:sz="4" w:space="0" w:color="auto"/>
                  </w:tcBorders>
                </w:tcPr>
                <w:p w14:paraId="49E05286" w14:textId="77777777" w:rsidR="009337B7" w:rsidRPr="0051302F" w:rsidRDefault="009337B7" w:rsidP="009337B7">
                  <w:pPr>
                    <w:rPr>
                      <w:rFonts w:ascii="Arial" w:hAnsi="Arial"/>
                      <w:sz w:val="20"/>
                      <w:szCs w:val="20"/>
                      <w:highlight w:val="yellow"/>
                    </w:rPr>
                  </w:pPr>
                </w:p>
              </w:tc>
            </w:tr>
            <w:tr w:rsidR="009337B7" w:rsidRPr="0051302F" w14:paraId="1BDAB815" w14:textId="77777777" w:rsidTr="009337B7">
              <w:tc>
                <w:tcPr>
                  <w:tcW w:w="6970" w:type="dxa"/>
                  <w:tcBorders>
                    <w:top w:val="single" w:sz="4" w:space="0" w:color="auto"/>
                    <w:left w:val="single" w:sz="4" w:space="0" w:color="auto"/>
                    <w:bottom w:val="single" w:sz="4" w:space="0" w:color="auto"/>
                    <w:right w:val="single" w:sz="4" w:space="0" w:color="auto"/>
                  </w:tcBorders>
                </w:tcPr>
                <w:p w14:paraId="27547E20" w14:textId="77777777" w:rsidR="009337B7" w:rsidRPr="0051302F" w:rsidRDefault="009337B7" w:rsidP="009337B7">
                  <w:pPr>
                    <w:rPr>
                      <w:rFonts w:ascii="Arial" w:hAnsi="Arial"/>
                      <w:sz w:val="20"/>
                      <w:szCs w:val="20"/>
                    </w:rPr>
                  </w:pPr>
                </w:p>
                <w:p w14:paraId="6F77586E" w14:textId="77777777" w:rsidR="009337B7" w:rsidRPr="0051302F" w:rsidRDefault="009337B7" w:rsidP="009337B7">
                  <w:pPr>
                    <w:rPr>
                      <w:rFonts w:ascii="Arial" w:hAnsi="Arial"/>
                      <w:sz w:val="20"/>
                      <w:szCs w:val="20"/>
                    </w:rPr>
                  </w:pPr>
                  <w:r w:rsidRPr="0051302F">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508866C0" w14:textId="77777777" w:rsidR="009337B7" w:rsidRPr="0051302F" w:rsidRDefault="009337B7" w:rsidP="009337B7">
                  <w:pPr>
                    <w:rPr>
                      <w:rFonts w:ascii="Arial" w:hAnsi="Arial"/>
                      <w:sz w:val="20"/>
                      <w:szCs w:val="20"/>
                    </w:rPr>
                  </w:pPr>
                </w:p>
              </w:tc>
            </w:tr>
            <w:tr w:rsidR="009337B7" w:rsidRPr="0051302F" w14:paraId="29D824B3" w14:textId="77777777" w:rsidTr="009337B7">
              <w:tc>
                <w:tcPr>
                  <w:tcW w:w="6970" w:type="dxa"/>
                  <w:tcBorders>
                    <w:top w:val="single" w:sz="4" w:space="0" w:color="auto"/>
                    <w:left w:val="single" w:sz="4" w:space="0" w:color="auto"/>
                    <w:bottom w:val="single" w:sz="4" w:space="0" w:color="auto"/>
                    <w:right w:val="single" w:sz="4" w:space="0" w:color="auto"/>
                  </w:tcBorders>
                </w:tcPr>
                <w:p w14:paraId="30D4B96C" w14:textId="77777777" w:rsidR="009337B7" w:rsidRPr="0051302F" w:rsidRDefault="009337B7" w:rsidP="009337B7">
                  <w:pPr>
                    <w:rPr>
                      <w:rFonts w:ascii="Arial" w:hAnsi="Arial"/>
                      <w:sz w:val="20"/>
                      <w:szCs w:val="20"/>
                    </w:rPr>
                  </w:pPr>
                </w:p>
                <w:p w14:paraId="6BDA3C1F" w14:textId="77777777" w:rsidR="009337B7" w:rsidRPr="0051302F" w:rsidRDefault="009337B7" w:rsidP="009337B7">
                  <w:pPr>
                    <w:rPr>
                      <w:rFonts w:ascii="Arial" w:hAnsi="Arial"/>
                      <w:b/>
                      <w:sz w:val="20"/>
                      <w:szCs w:val="20"/>
                    </w:rPr>
                  </w:pPr>
                  <w:r w:rsidRPr="0051302F">
                    <w:rPr>
                      <w:rFonts w:ascii="Arial" w:hAnsi="Arial"/>
                      <w:b/>
                      <w:sz w:val="20"/>
                      <w:szCs w:val="20"/>
                    </w:rPr>
                    <w:t>Final Mark</w:t>
                  </w:r>
                </w:p>
                <w:p w14:paraId="2E4173F0" w14:textId="77777777" w:rsidR="009337B7" w:rsidRPr="0051302F" w:rsidRDefault="009337B7" w:rsidP="009337B7">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0098FA3" w14:textId="77777777" w:rsidR="009337B7" w:rsidRPr="0051302F" w:rsidRDefault="009337B7" w:rsidP="009337B7">
                  <w:pPr>
                    <w:rPr>
                      <w:rFonts w:ascii="Arial" w:hAnsi="Arial"/>
                      <w:sz w:val="20"/>
                      <w:szCs w:val="20"/>
                    </w:rPr>
                  </w:pPr>
                </w:p>
              </w:tc>
            </w:tr>
          </w:tbl>
          <w:p w14:paraId="6404C19D" w14:textId="77777777" w:rsidR="009337B7" w:rsidRPr="0051302F" w:rsidRDefault="009337B7" w:rsidP="009337B7">
            <w:pPr>
              <w:spacing w:after="0" w:line="240" w:lineRule="auto"/>
              <w:ind w:left="142" w:right="34"/>
              <w:rPr>
                <w:rFonts w:ascii="Arial" w:eastAsia="SimSun" w:hAnsi="Arial" w:cs="Arial"/>
                <w:b/>
                <w:color w:val="000000"/>
                <w:lang w:eastAsia="zh-CN"/>
              </w:rPr>
            </w:pPr>
          </w:p>
          <w:p w14:paraId="25849507" w14:textId="77777777" w:rsidR="009337B7" w:rsidRPr="0051302F" w:rsidRDefault="009337B7" w:rsidP="009337B7">
            <w:pPr>
              <w:spacing w:after="0" w:line="240" w:lineRule="auto"/>
              <w:ind w:left="142" w:right="34"/>
              <w:rPr>
                <w:rFonts w:ascii="Arial" w:eastAsia="SimSun" w:hAnsi="Arial" w:cs="Arial"/>
                <w:color w:val="000000"/>
                <w:lang w:eastAsia="zh-CN"/>
              </w:rPr>
            </w:pPr>
            <w:r w:rsidRPr="0051302F">
              <w:rPr>
                <w:rFonts w:ascii="Arial" w:eastAsia="SimSun" w:hAnsi="Arial" w:cs="Arial"/>
                <w:b/>
                <w:color w:val="000000"/>
                <w:lang w:eastAsia="zh-CN"/>
              </w:rPr>
              <w:t>NB.</w:t>
            </w:r>
            <w:r w:rsidRPr="0051302F">
              <w:rPr>
                <w:rFonts w:ascii="Arial" w:eastAsia="SimSun" w:hAnsi="Arial" w:cs="Arial"/>
                <w:color w:val="000000"/>
                <w:lang w:eastAsia="zh-CN"/>
              </w:rPr>
              <w:t xml:space="preserve">  All marks are provisional until confirmed by the Final Examination Board.</w:t>
            </w:r>
          </w:p>
          <w:p w14:paraId="6A560415" w14:textId="77777777" w:rsidR="009337B7" w:rsidRPr="0051302F" w:rsidRDefault="009337B7" w:rsidP="009337B7">
            <w:pPr>
              <w:spacing w:after="0" w:line="240" w:lineRule="auto"/>
              <w:rPr>
                <w:rFonts w:ascii="Arial" w:eastAsia="SimSun" w:hAnsi="Arial" w:cs="Arial"/>
                <w:b/>
                <w:color w:val="000000"/>
                <w:lang w:eastAsia="zh-CN"/>
              </w:rPr>
            </w:pPr>
          </w:p>
          <w:p w14:paraId="00E791F8" w14:textId="77777777" w:rsidR="009337B7" w:rsidRPr="0051302F" w:rsidRDefault="009337B7" w:rsidP="009337B7">
            <w:pPr>
              <w:spacing w:after="0" w:line="240" w:lineRule="auto"/>
              <w:rPr>
                <w:rFonts w:ascii="Arial" w:eastAsia="SimSun" w:hAnsi="Arial" w:cs="Arial"/>
                <w:b/>
                <w:color w:val="000000"/>
                <w:lang w:eastAsia="zh-CN"/>
              </w:rPr>
            </w:pPr>
          </w:p>
          <w:p w14:paraId="4ED77FA1" w14:textId="77777777" w:rsidR="009337B7" w:rsidRPr="0051302F" w:rsidRDefault="009337B7" w:rsidP="009337B7">
            <w:pPr>
              <w:spacing w:after="0" w:line="240" w:lineRule="auto"/>
              <w:rPr>
                <w:rFonts w:ascii="Arial" w:eastAsia="SimSun" w:hAnsi="Arial" w:cs="Arial"/>
                <w:b/>
                <w:color w:val="000000"/>
                <w:lang w:eastAsia="zh-CN"/>
              </w:rPr>
            </w:pPr>
          </w:p>
          <w:p w14:paraId="3C482798" w14:textId="77777777" w:rsidR="009337B7" w:rsidRPr="0051302F" w:rsidRDefault="009337B7" w:rsidP="009337B7">
            <w:pPr>
              <w:spacing w:after="0" w:line="240" w:lineRule="auto"/>
              <w:rPr>
                <w:rFonts w:ascii="Arial" w:eastAsia="SimSun" w:hAnsi="Arial" w:cs="Arial"/>
                <w:b/>
                <w:color w:val="000000"/>
                <w:lang w:eastAsia="zh-CN"/>
              </w:rPr>
            </w:pPr>
          </w:p>
          <w:p w14:paraId="3723CAEF" w14:textId="77777777" w:rsidR="009337B7" w:rsidRPr="0051302F" w:rsidRDefault="009337B7" w:rsidP="009337B7">
            <w:pPr>
              <w:spacing w:after="0" w:line="240" w:lineRule="auto"/>
              <w:rPr>
                <w:rFonts w:ascii="Arial" w:eastAsia="SimSun" w:hAnsi="Arial" w:cs="Arial"/>
                <w:b/>
                <w:color w:val="000000"/>
                <w:lang w:eastAsia="zh-CN"/>
              </w:rPr>
            </w:pPr>
            <w:r w:rsidRPr="0051302F">
              <w:rPr>
                <w:rFonts w:ascii="Arial" w:eastAsia="SimSun" w:hAnsi="Arial" w:cs="Arial"/>
                <w:b/>
                <w:color w:val="000000"/>
                <w:lang w:eastAsia="zh-CN"/>
              </w:rPr>
              <w:t>For completion by Marker 1:</w:t>
            </w:r>
          </w:p>
          <w:p w14:paraId="732D0F0F" w14:textId="77777777" w:rsidR="009337B7" w:rsidRPr="0051302F" w:rsidRDefault="009337B7" w:rsidP="009337B7">
            <w:pPr>
              <w:spacing w:before="100" w:beforeAutospacing="1" w:after="100" w:afterAutospacing="1" w:line="240" w:lineRule="auto"/>
              <w:rPr>
                <w:rFonts w:ascii="Arial" w:eastAsia="SimSun" w:hAnsi="Arial" w:cs="Arial"/>
                <w:color w:val="000000"/>
                <w:lang w:eastAsia="zh-CN"/>
              </w:rPr>
            </w:pPr>
            <w:r w:rsidRPr="0051302F">
              <w:rPr>
                <w:rFonts w:ascii="Arial" w:eastAsia="SimSun" w:hAnsi="Arial" w:cs="Arial"/>
                <w:color w:val="000000"/>
                <w:lang w:eastAsia="zh-CN"/>
              </w:rPr>
              <w:t>Comments:</w:t>
            </w:r>
          </w:p>
          <w:p w14:paraId="22A7A34B" w14:textId="77777777" w:rsidR="009337B7" w:rsidRPr="0051302F" w:rsidRDefault="009337B7" w:rsidP="009337B7">
            <w:pPr>
              <w:spacing w:before="100" w:beforeAutospacing="1" w:after="100" w:afterAutospacing="1" w:line="240" w:lineRule="auto"/>
              <w:rPr>
                <w:rFonts w:ascii="Arial" w:eastAsia="SimSun" w:hAnsi="Arial" w:cs="Arial"/>
                <w:color w:val="000000"/>
                <w:lang w:eastAsia="zh-CN"/>
              </w:rPr>
            </w:pPr>
          </w:p>
        </w:tc>
      </w:tr>
      <w:tr w:rsidR="009337B7" w:rsidRPr="0051302F" w14:paraId="6C4A83CC" w14:textId="77777777" w:rsidTr="009337B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19A11127" w14:textId="77777777" w:rsidR="009337B7" w:rsidRPr="0051302F" w:rsidRDefault="009337B7" w:rsidP="009337B7">
            <w:pPr>
              <w:spacing w:before="100" w:after="100" w:line="240" w:lineRule="auto"/>
              <w:ind w:left="142" w:right="34"/>
              <w:rPr>
                <w:rFonts w:ascii="Arial" w:eastAsia="SimSun" w:hAnsi="Arial" w:cs="Arial"/>
                <w:color w:val="000000"/>
                <w:lang w:eastAsia="zh-CN"/>
              </w:rPr>
            </w:pPr>
            <w:r w:rsidRPr="0051302F">
              <w:rPr>
                <w:rFonts w:ascii="Arial" w:eastAsia="SimSun" w:hAnsi="Arial" w:cs="Arial"/>
                <w:color w:val="000000"/>
                <w:lang w:eastAsia="zh-CN"/>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531BCB13" w14:textId="77777777" w:rsidR="009337B7" w:rsidRPr="0051302F" w:rsidRDefault="009337B7" w:rsidP="009337B7">
            <w:pPr>
              <w:spacing w:before="100" w:after="0" w:line="240" w:lineRule="auto"/>
              <w:ind w:left="142" w:right="34"/>
              <w:rPr>
                <w:rFonts w:ascii="Arial" w:eastAsia="SimSun" w:hAnsi="Arial" w:cs="Arial"/>
                <w:color w:val="000000"/>
                <w:lang w:eastAsia="zh-CN"/>
              </w:rPr>
            </w:pPr>
            <w:r w:rsidRPr="0051302F">
              <w:rPr>
                <w:rFonts w:ascii="Arial" w:eastAsia="SimSun" w:hAnsi="Arial" w:cs="Arial"/>
                <w:color w:val="000000"/>
                <w:lang w:eastAsia="zh-CN"/>
              </w:rPr>
              <w:t>Date:</w:t>
            </w:r>
          </w:p>
        </w:tc>
      </w:tr>
      <w:tr w:rsidR="009337B7" w:rsidRPr="0051302F" w14:paraId="434DF8A1" w14:textId="77777777" w:rsidTr="009337B7">
        <w:tc>
          <w:tcPr>
            <w:tcW w:w="8856" w:type="dxa"/>
            <w:gridSpan w:val="5"/>
            <w:tcBorders>
              <w:top w:val="single" w:sz="4" w:space="0" w:color="000000"/>
              <w:left w:val="single" w:sz="4" w:space="0" w:color="000000"/>
              <w:bottom w:val="single" w:sz="4" w:space="0" w:color="000000"/>
              <w:right w:val="single" w:sz="4" w:space="0" w:color="000000"/>
            </w:tcBorders>
          </w:tcPr>
          <w:p w14:paraId="01AF1888" w14:textId="77777777" w:rsidR="009337B7" w:rsidRPr="0051302F" w:rsidRDefault="009337B7" w:rsidP="009337B7">
            <w:pPr>
              <w:spacing w:after="0" w:line="240" w:lineRule="auto"/>
              <w:ind w:right="-334"/>
              <w:rPr>
                <w:rFonts w:ascii="Arial" w:eastAsia="SimSun" w:hAnsi="Arial" w:cs="Arial"/>
                <w:bCs/>
                <w:i/>
                <w:color w:val="000000"/>
                <w:lang w:eastAsia="zh-CN"/>
              </w:rPr>
            </w:pPr>
          </w:p>
          <w:p w14:paraId="354CD0C7" w14:textId="77777777" w:rsidR="009337B7" w:rsidRPr="0051302F" w:rsidRDefault="009337B7" w:rsidP="009337B7">
            <w:pPr>
              <w:spacing w:after="0" w:line="240" w:lineRule="auto"/>
              <w:ind w:right="-334"/>
              <w:rPr>
                <w:rFonts w:ascii="Arial" w:eastAsia="SimSun" w:hAnsi="Arial" w:cs="Arial"/>
                <w:b/>
                <w:bCs/>
                <w:color w:val="000000"/>
                <w:lang w:eastAsia="zh-CN"/>
              </w:rPr>
            </w:pPr>
            <w:r w:rsidRPr="0051302F">
              <w:rPr>
                <w:rFonts w:ascii="Arial" w:eastAsia="SimSun" w:hAnsi="Arial" w:cs="Arial"/>
                <w:b/>
                <w:bCs/>
                <w:color w:val="000000"/>
                <w:lang w:eastAsia="zh-CN"/>
              </w:rPr>
              <w:t>For completion by Marker 2/Moderator:</w:t>
            </w:r>
          </w:p>
          <w:p w14:paraId="5EF2450D" w14:textId="77777777" w:rsidR="009337B7" w:rsidRPr="0051302F" w:rsidRDefault="009337B7" w:rsidP="009337B7">
            <w:pPr>
              <w:spacing w:after="0" w:line="240" w:lineRule="auto"/>
              <w:ind w:right="-334"/>
              <w:rPr>
                <w:rFonts w:ascii="Arial" w:eastAsia="SimSun" w:hAnsi="Arial" w:cs="Arial"/>
                <w:b/>
                <w:bCs/>
                <w:color w:val="000000"/>
                <w:lang w:eastAsia="zh-CN"/>
              </w:rPr>
            </w:pPr>
          </w:p>
          <w:p w14:paraId="0F4FDDA4" w14:textId="77777777" w:rsidR="009337B7" w:rsidRPr="0051302F" w:rsidRDefault="009337B7" w:rsidP="009337B7">
            <w:pPr>
              <w:spacing w:after="0" w:line="240" w:lineRule="auto"/>
              <w:ind w:right="-334"/>
              <w:rPr>
                <w:rFonts w:ascii="Arial" w:eastAsia="SimSun" w:hAnsi="Arial" w:cs="Arial"/>
                <w:bCs/>
                <w:color w:val="000000"/>
                <w:lang w:eastAsia="zh-CN"/>
              </w:rPr>
            </w:pPr>
            <w:r w:rsidRPr="0051302F">
              <w:rPr>
                <w:rFonts w:ascii="Arial" w:eastAsia="SimSun" w:hAnsi="Arial" w:cs="Arial"/>
                <w:bCs/>
                <w:color w:val="000000"/>
                <w:lang w:eastAsia="zh-CN"/>
              </w:rPr>
              <w:t>Comments:</w:t>
            </w:r>
          </w:p>
          <w:p w14:paraId="05F68EDC" w14:textId="77777777" w:rsidR="009337B7" w:rsidRPr="0051302F" w:rsidRDefault="009337B7" w:rsidP="009337B7">
            <w:pPr>
              <w:spacing w:after="0" w:line="240" w:lineRule="auto"/>
              <w:ind w:right="-334"/>
              <w:rPr>
                <w:rFonts w:ascii="Arial" w:eastAsia="SimSun" w:hAnsi="Arial" w:cs="Arial"/>
                <w:bCs/>
                <w:color w:val="000000"/>
                <w:lang w:eastAsia="zh-CN"/>
              </w:rPr>
            </w:pPr>
          </w:p>
          <w:p w14:paraId="5ED33CD3" w14:textId="77777777" w:rsidR="009337B7" w:rsidRPr="0051302F" w:rsidRDefault="009337B7" w:rsidP="009337B7">
            <w:pPr>
              <w:spacing w:after="0" w:line="240" w:lineRule="auto"/>
              <w:ind w:right="-334"/>
              <w:rPr>
                <w:rFonts w:ascii="Arial" w:eastAsia="SimSun" w:hAnsi="Arial" w:cs="Arial"/>
                <w:bCs/>
                <w:color w:val="000000"/>
                <w:lang w:eastAsia="zh-CN"/>
              </w:rPr>
            </w:pPr>
          </w:p>
          <w:p w14:paraId="68D15F9D" w14:textId="77777777" w:rsidR="009337B7" w:rsidRPr="0051302F" w:rsidRDefault="009337B7" w:rsidP="009337B7">
            <w:pPr>
              <w:spacing w:after="0" w:line="240" w:lineRule="auto"/>
              <w:ind w:right="-334"/>
              <w:rPr>
                <w:rFonts w:ascii="Arial" w:eastAsia="SimSun" w:hAnsi="Arial" w:cs="Arial"/>
                <w:bCs/>
                <w:color w:val="000000"/>
                <w:lang w:eastAsia="zh-CN"/>
              </w:rPr>
            </w:pPr>
          </w:p>
        </w:tc>
      </w:tr>
      <w:tr w:rsidR="009337B7" w:rsidRPr="0051302F" w14:paraId="63EC7724" w14:textId="77777777" w:rsidTr="009337B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148163A" w14:textId="77777777" w:rsidR="009337B7" w:rsidRPr="0051302F" w:rsidRDefault="009337B7" w:rsidP="009337B7">
            <w:pPr>
              <w:spacing w:after="0" w:line="240" w:lineRule="auto"/>
              <w:ind w:right="-334"/>
              <w:rPr>
                <w:rFonts w:ascii="Arial" w:eastAsia="SimSun" w:hAnsi="Arial" w:cs="Arial"/>
                <w:bCs/>
                <w:color w:val="000000"/>
                <w:lang w:eastAsia="zh-CN"/>
              </w:rPr>
            </w:pPr>
            <w:r w:rsidRPr="0051302F">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5896B76" w14:textId="77777777" w:rsidR="009337B7" w:rsidRPr="0051302F" w:rsidRDefault="009337B7" w:rsidP="009337B7">
            <w:pPr>
              <w:spacing w:after="0" w:line="240" w:lineRule="auto"/>
              <w:ind w:right="-334"/>
              <w:rPr>
                <w:rFonts w:ascii="Arial" w:eastAsia="SimSun" w:hAnsi="Arial" w:cs="Arial"/>
                <w:bCs/>
                <w:color w:val="000000"/>
                <w:lang w:eastAsia="zh-CN"/>
              </w:rPr>
            </w:pPr>
            <w:r w:rsidRPr="0051302F">
              <w:rPr>
                <w:rFonts w:ascii="Arial" w:eastAsia="SimSun" w:hAnsi="Arial" w:cs="Arial"/>
                <w:bCs/>
                <w:color w:val="000000"/>
                <w:lang w:eastAsia="zh-CN"/>
              </w:rPr>
              <w:t>Date:</w:t>
            </w:r>
          </w:p>
        </w:tc>
      </w:tr>
      <w:tr w:rsidR="009337B7" w:rsidRPr="0051302F" w14:paraId="3C17B1BC" w14:textId="77777777" w:rsidTr="009337B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01A381CA" w14:textId="77777777" w:rsidR="009337B7" w:rsidRPr="0051302F" w:rsidRDefault="009337B7" w:rsidP="009337B7">
            <w:pPr>
              <w:rPr>
                <w:rFonts w:ascii="Arial" w:hAnsi="Arial" w:cs="Arial"/>
                <w:b/>
              </w:rPr>
            </w:pPr>
            <w:r w:rsidRPr="0051302F">
              <w:rPr>
                <w:rFonts w:ascii="Arial" w:hAnsi="Arial" w:cs="Arial"/>
                <w:b/>
              </w:rPr>
              <w:t>AGREED INTERNAL MARK (where necessary):</w:t>
            </w:r>
          </w:p>
          <w:p w14:paraId="78B6D076" w14:textId="77777777" w:rsidR="009337B7" w:rsidRPr="0051302F" w:rsidRDefault="009337B7" w:rsidP="009337B7">
            <w:pPr>
              <w:rPr>
                <w:rFonts w:ascii="Arial" w:hAnsi="Arial" w:cs="Arial"/>
                <w:b/>
              </w:rPr>
            </w:pPr>
          </w:p>
          <w:p w14:paraId="186833E9" w14:textId="77777777" w:rsidR="009337B7" w:rsidRPr="0051302F" w:rsidRDefault="009337B7" w:rsidP="009337B7">
            <w:pPr>
              <w:rPr>
                <w:rFonts w:ascii="Arial" w:hAnsi="Arial" w:cs="Arial"/>
                <w:b/>
              </w:rPr>
            </w:pPr>
            <w:r w:rsidRPr="0051302F">
              <w:rPr>
                <w:rFonts w:ascii="Arial" w:hAnsi="Arial" w:cs="Arial"/>
                <w:b/>
              </w:rPr>
              <w:t>Comment on process of arriving at agreed mark:</w:t>
            </w:r>
          </w:p>
          <w:p w14:paraId="709C2604" w14:textId="77777777" w:rsidR="009337B7" w:rsidRPr="0051302F" w:rsidRDefault="009337B7" w:rsidP="009337B7">
            <w:pPr>
              <w:rPr>
                <w:rFonts w:ascii="Arial" w:hAnsi="Arial" w:cs="Arial"/>
                <w:b/>
              </w:rPr>
            </w:pPr>
          </w:p>
          <w:p w14:paraId="316B6662" w14:textId="77777777" w:rsidR="009337B7" w:rsidRPr="0051302F" w:rsidRDefault="009337B7" w:rsidP="009337B7">
            <w:pPr>
              <w:rPr>
                <w:rFonts w:ascii="Arial" w:hAnsi="Arial" w:cs="Arial"/>
                <w:b/>
              </w:rPr>
            </w:pPr>
          </w:p>
          <w:p w14:paraId="00438C0E" w14:textId="77777777" w:rsidR="009337B7" w:rsidRPr="0051302F" w:rsidRDefault="009337B7" w:rsidP="009337B7">
            <w:pPr>
              <w:rPr>
                <w:rFonts w:ascii="Arial" w:hAnsi="Arial" w:cs="Arial"/>
                <w:b/>
              </w:rPr>
            </w:pPr>
          </w:p>
          <w:p w14:paraId="3A60AF61" w14:textId="77777777" w:rsidR="009337B7" w:rsidRPr="0051302F" w:rsidRDefault="009337B7" w:rsidP="009337B7">
            <w:pPr>
              <w:rPr>
                <w:rFonts w:ascii="Arial" w:hAnsi="Arial" w:cs="Arial"/>
                <w:b/>
              </w:rPr>
            </w:pPr>
          </w:p>
          <w:p w14:paraId="2A350238" w14:textId="77777777" w:rsidR="009337B7" w:rsidRPr="0051302F" w:rsidRDefault="009337B7" w:rsidP="009337B7">
            <w:pPr>
              <w:rPr>
                <w:rFonts w:ascii="Arial" w:hAnsi="Arial" w:cs="Arial"/>
                <w:b/>
              </w:rPr>
            </w:pPr>
          </w:p>
          <w:p w14:paraId="4EA2E85F" w14:textId="77777777" w:rsidR="009337B7" w:rsidRPr="0051302F" w:rsidRDefault="009337B7" w:rsidP="009337B7">
            <w:pPr>
              <w:rPr>
                <w:rFonts w:ascii="Arial" w:hAnsi="Arial" w:cs="Arial"/>
                <w:b/>
              </w:rPr>
            </w:pPr>
          </w:p>
          <w:p w14:paraId="5AB97008" w14:textId="77777777" w:rsidR="009337B7" w:rsidRPr="0051302F" w:rsidRDefault="009337B7" w:rsidP="009337B7">
            <w:pPr>
              <w:rPr>
                <w:rFonts w:ascii="Arial" w:hAnsi="Arial" w:cs="Arial"/>
                <w:b/>
              </w:rPr>
            </w:pPr>
          </w:p>
          <w:p w14:paraId="170BD5D9" w14:textId="77777777" w:rsidR="009337B7" w:rsidRPr="0051302F" w:rsidRDefault="009337B7" w:rsidP="009337B7">
            <w:pPr>
              <w:rPr>
                <w:rFonts w:ascii="Arial" w:hAnsi="Arial" w:cs="Arial"/>
                <w:b/>
              </w:rPr>
            </w:pPr>
          </w:p>
        </w:tc>
      </w:tr>
      <w:tr w:rsidR="009337B7" w:rsidRPr="0051302F" w14:paraId="564B3B8A" w14:textId="77777777" w:rsidTr="009337B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740A5335" w14:textId="77777777" w:rsidR="009337B7" w:rsidRPr="0051302F" w:rsidRDefault="009337B7" w:rsidP="009337B7">
            <w:pPr>
              <w:rPr>
                <w:rFonts w:ascii="Arial" w:hAnsi="Arial" w:cs="Arial"/>
                <w:b/>
              </w:rPr>
            </w:pPr>
            <w:r w:rsidRPr="0051302F">
              <w:rPr>
                <w:rFonts w:ascii="Arial" w:hAnsi="Arial" w:cs="Arial"/>
                <w:b/>
              </w:rPr>
              <w:lastRenderedPageBreak/>
              <w:t>External Examiner’s comments (if relevant)</w:t>
            </w:r>
          </w:p>
          <w:p w14:paraId="4B271742" w14:textId="77777777" w:rsidR="009337B7" w:rsidRPr="0051302F" w:rsidRDefault="009337B7" w:rsidP="009337B7">
            <w:pPr>
              <w:spacing w:after="0" w:line="240" w:lineRule="auto"/>
              <w:ind w:right="-334"/>
              <w:rPr>
                <w:rFonts w:ascii="Arial" w:eastAsia="SimSun" w:hAnsi="Arial" w:cs="Arial"/>
                <w:bCs/>
                <w:color w:val="000000"/>
                <w:lang w:eastAsia="zh-CN"/>
              </w:rPr>
            </w:pPr>
          </w:p>
          <w:p w14:paraId="35B41452" w14:textId="77777777" w:rsidR="009337B7" w:rsidRPr="0051302F" w:rsidRDefault="009337B7" w:rsidP="009337B7">
            <w:pPr>
              <w:spacing w:after="0" w:line="240" w:lineRule="auto"/>
              <w:ind w:right="-334"/>
              <w:rPr>
                <w:rFonts w:ascii="Arial" w:eastAsia="SimSun" w:hAnsi="Arial" w:cs="Arial"/>
                <w:bCs/>
                <w:color w:val="000000"/>
                <w:lang w:eastAsia="zh-CN"/>
              </w:rPr>
            </w:pPr>
          </w:p>
          <w:p w14:paraId="587C635B" w14:textId="77777777" w:rsidR="009337B7" w:rsidRPr="0051302F" w:rsidRDefault="009337B7" w:rsidP="009337B7">
            <w:pPr>
              <w:spacing w:after="0" w:line="240" w:lineRule="auto"/>
              <w:ind w:right="-334"/>
              <w:rPr>
                <w:rFonts w:ascii="Arial" w:eastAsia="SimSun" w:hAnsi="Arial" w:cs="Arial"/>
                <w:bCs/>
                <w:color w:val="000000"/>
                <w:lang w:eastAsia="zh-CN"/>
              </w:rPr>
            </w:pPr>
          </w:p>
          <w:p w14:paraId="36FC8488" w14:textId="77777777" w:rsidR="009337B7" w:rsidRPr="0051302F" w:rsidRDefault="009337B7" w:rsidP="009337B7">
            <w:pPr>
              <w:spacing w:after="0" w:line="240" w:lineRule="auto"/>
              <w:ind w:right="-334"/>
              <w:rPr>
                <w:rFonts w:ascii="Arial" w:eastAsia="SimSun" w:hAnsi="Arial" w:cs="Arial"/>
                <w:bCs/>
                <w:color w:val="000000"/>
                <w:lang w:eastAsia="zh-CN"/>
              </w:rPr>
            </w:pPr>
          </w:p>
          <w:p w14:paraId="10753385" w14:textId="77777777" w:rsidR="009337B7" w:rsidRPr="0051302F" w:rsidRDefault="009337B7" w:rsidP="009337B7">
            <w:pPr>
              <w:spacing w:after="0" w:line="240" w:lineRule="auto"/>
              <w:ind w:right="-334"/>
              <w:rPr>
                <w:rFonts w:ascii="Arial" w:eastAsia="SimSun" w:hAnsi="Arial" w:cs="Arial"/>
                <w:bCs/>
                <w:color w:val="000000"/>
                <w:lang w:eastAsia="zh-CN"/>
              </w:rPr>
            </w:pPr>
          </w:p>
          <w:p w14:paraId="7B462E2F" w14:textId="77777777" w:rsidR="009337B7" w:rsidRPr="0051302F" w:rsidRDefault="009337B7" w:rsidP="009337B7">
            <w:pPr>
              <w:spacing w:after="0" w:line="240" w:lineRule="auto"/>
              <w:ind w:right="-334"/>
              <w:rPr>
                <w:rFonts w:ascii="Arial" w:eastAsia="SimSun" w:hAnsi="Arial" w:cs="Arial"/>
                <w:bCs/>
                <w:color w:val="000000"/>
                <w:lang w:eastAsia="zh-CN"/>
              </w:rPr>
            </w:pPr>
          </w:p>
          <w:p w14:paraId="4E66BC1B" w14:textId="77777777" w:rsidR="009337B7" w:rsidRPr="0051302F" w:rsidRDefault="009337B7" w:rsidP="009337B7">
            <w:pPr>
              <w:spacing w:after="0" w:line="240" w:lineRule="auto"/>
              <w:ind w:right="-334"/>
              <w:rPr>
                <w:rFonts w:ascii="Arial" w:eastAsia="SimSun" w:hAnsi="Arial" w:cs="Arial"/>
                <w:bCs/>
                <w:color w:val="000000"/>
                <w:lang w:eastAsia="zh-CN"/>
              </w:rPr>
            </w:pPr>
          </w:p>
        </w:tc>
      </w:tr>
      <w:tr w:rsidR="009337B7" w:rsidRPr="0051302F" w14:paraId="2B9A3E9C" w14:textId="77777777" w:rsidTr="009337B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1F37EDE8" w14:textId="77777777" w:rsidR="009337B7" w:rsidRPr="0051302F" w:rsidRDefault="009337B7" w:rsidP="009337B7">
            <w:pPr>
              <w:rPr>
                <w:rFonts w:ascii="Arial" w:hAnsi="Arial" w:cs="Arial"/>
              </w:rPr>
            </w:pPr>
            <w:r w:rsidRPr="0051302F">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FAEAFC7" w14:textId="77777777" w:rsidR="009337B7" w:rsidRPr="0051302F" w:rsidRDefault="009337B7" w:rsidP="009337B7">
            <w:pPr>
              <w:rPr>
                <w:rFonts w:ascii="Arial" w:hAnsi="Arial" w:cs="Arial"/>
              </w:rPr>
            </w:pPr>
            <w:r w:rsidRPr="0051302F">
              <w:rPr>
                <w:rFonts w:ascii="Arial" w:hAnsi="Arial" w:cs="Arial"/>
              </w:rPr>
              <w:t>Date:</w:t>
            </w:r>
          </w:p>
        </w:tc>
      </w:tr>
    </w:tbl>
    <w:p w14:paraId="5760ADED" w14:textId="77777777" w:rsidR="009337B7" w:rsidRPr="0051302F" w:rsidRDefault="009337B7" w:rsidP="009337B7">
      <w:pPr>
        <w:spacing w:after="0" w:line="240" w:lineRule="auto"/>
        <w:ind w:right="-334"/>
        <w:rPr>
          <w:rFonts w:ascii="Trebuchet MS" w:eastAsia="SimSun" w:hAnsi="Trebuchet MS" w:cs="Tahoma"/>
          <w:bCs/>
          <w:color w:val="000000"/>
          <w:sz w:val="24"/>
          <w:szCs w:val="24"/>
          <w:lang w:eastAsia="zh-CN"/>
        </w:rPr>
      </w:pPr>
    </w:p>
    <w:p w14:paraId="32FD5356" w14:textId="77777777" w:rsidR="009337B7" w:rsidRPr="0051302F" w:rsidRDefault="009337B7" w:rsidP="009337B7">
      <w:pPr>
        <w:spacing w:after="0" w:line="240" w:lineRule="auto"/>
        <w:ind w:right="-334"/>
        <w:rPr>
          <w:rFonts w:ascii="Trebuchet MS" w:eastAsia="SimSun" w:hAnsi="Trebuchet MS" w:cs="Tahoma"/>
          <w:bCs/>
          <w:color w:val="000000"/>
          <w:sz w:val="24"/>
          <w:szCs w:val="24"/>
          <w:lang w:eastAsia="zh-CN"/>
        </w:rPr>
      </w:pPr>
    </w:p>
    <w:p w14:paraId="3B72D5D8"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3F82A3DF"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11D58B24"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4847917C"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7CA51EBB"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6598E038"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34DEC0F3"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609D06BD"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0318600C"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5929689A"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249EB74A" w14:textId="77777777" w:rsidR="009337B7" w:rsidRDefault="009337B7" w:rsidP="009337B7">
      <w:pPr>
        <w:spacing w:after="0" w:line="240" w:lineRule="auto"/>
        <w:ind w:right="-334"/>
        <w:rPr>
          <w:rFonts w:ascii="Trebuchet MS" w:eastAsia="SimSun" w:hAnsi="Trebuchet MS" w:cs="Tahoma"/>
          <w:bCs/>
          <w:color w:val="000000"/>
          <w:sz w:val="24"/>
          <w:szCs w:val="24"/>
          <w:lang w:eastAsia="zh-CN"/>
        </w:rPr>
      </w:pPr>
    </w:p>
    <w:p w14:paraId="517E2B21" w14:textId="77777777" w:rsidR="009337B7" w:rsidRDefault="009337B7">
      <w:pPr>
        <w:rPr>
          <w:u w:val="single"/>
        </w:rPr>
      </w:pPr>
      <w:r>
        <w:rPr>
          <w:u w:val="single"/>
        </w:rPr>
        <w:br w:type="page"/>
      </w:r>
    </w:p>
    <w:p w14:paraId="3E0F7E9A" w14:textId="53B7E94E" w:rsidR="005C050C" w:rsidRPr="009337B7" w:rsidRDefault="005C050C" w:rsidP="009337B7">
      <w:pPr>
        <w:spacing w:line="480" w:lineRule="auto"/>
        <w:jc w:val="center"/>
        <w:rPr>
          <w:rFonts w:ascii="Times New Roman" w:hAnsi="Times New Roman" w:cs="Times New Roman"/>
          <w:u w:val="single"/>
        </w:rPr>
      </w:pPr>
      <w:r w:rsidRPr="009337B7">
        <w:rPr>
          <w:rFonts w:ascii="Times New Roman" w:hAnsi="Times New Roman" w:cs="Times New Roman"/>
          <w:u w:val="single"/>
        </w:rPr>
        <w:lastRenderedPageBreak/>
        <w:t>Analyse the cosmology, metaphysics and “world-view” of Necromancy and Oracles of the Dead</w:t>
      </w:r>
    </w:p>
    <w:p w14:paraId="05D6F380" w14:textId="5B0F4E2B" w:rsidR="005C050C" w:rsidRPr="009337B7" w:rsidRDefault="005C050C" w:rsidP="009337B7">
      <w:pPr>
        <w:spacing w:line="480" w:lineRule="auto"/>
        <w:rPr>
          <w:rFonts w:ascii="Times New Roman" w:hAnsi="Times New Roman" w:cs="Times New Roman"/>
          <w:u w:val="single"/>
        </w:rPr>
      </w:pPr>
      <w:r w:rsidRPr="009337B7">
        <w:rPr>
          <w:rFonts w:ascii="Times New Roman" w:hAnsi="Times New Roman" w:cs="Times New Roman"/>
          <w:u w:val="single"/>
        </w:rPr>
        <w:t>Introduction</w:t>
      </w:r>
    </w:p>
    <w:p w14:paraId="513665AB" w14:textId="07843F42"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This paper will seek to analyse aspects of certain faith systems that deal directly with the dead and afterlife.  The conclusion includes the assertion that these faiths were cults which whilst meeting both religious and magical needs, did not contain the same structured cosmology or metaphysical framework as other groups or religions.  The analysis also concludes that enquiry into the realms of the dead and how they were treated is crucial to our fuller understanding of religion in the ancient world as these ideas would also have impacted on how people would have lived their lives.  There is a dearth of information on these cults, and what does exist comes from literature or as a periphery in documents relating to some other aspect of life in the ancient world.  However, the rituals and beliefs of the Oracles of the Dead were far from disorganised or random, and this paper will use the examples from the Old Testament </w:t>
      </w:r>
      <w:r w:rsidR="009337B7" w:rsidRPr="009337B7">
        <w:rPr>
          <w:rFonts w:ascii="Times New Roman" w:hAnsi="Times New Roman" w:cs="Times New Roman"/>
        </w:rPr>
        <w:t xml:space="preserve">and Greek Oracles of the Dead or </w:t>
      </w:r>
      <w:r w:rsidR="009337B7" w:rsidRPr="009337B7">
        <w:rPr>
          <w:rFonts w:ascii="Times New Roman" w:hAnsi="Times New Roman" w:cs="Times New Roman"/>
          <w:i/>
        </w:rPr>
        <w:t xml:space="preserve">Nekuomanteia </w:t>
      </w:r>
      <w:r w:rsidRPr="009337B7">
        <w:rPr>
          <w:rFonts w:ascii="Times New Roman" w:hAnsi="Times New Roman" w:cs="Times New Roman"/>
        </w:rPr>
        <w:t xml:space="preserve">to demonstrate the common features of the necromancers of the ancient world.  </w:t>
      </w:r>
    </w:p>
    <w:p w14:paraId="4ECBC350" w14:textId="38F48E51"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Necromancy can be described as communication with the dead and is predicated by the belief in life after death.  Theodore Lewis defines cults of the dead as, “those acts directed towards the deceased functioning either to placate the dead or to secure favours from them for the present life”</w:t>
      </w:r>
      <w:r w:rsidRPr="009337B7">
        <w:rPr>
          <w:rStyle w:val="FootnoteReference"/>
          <w:rFonts w:ascii="Times New Roman" w:hAnsi="Times New Roman" w:cs="Times New Roman"/>
        </w:rPr>
        <w:t xml:space="preserve"> </w:t>
      </w:r>
      <w:r w:rsidRPr="009337B7">
        <w:rPr>
          <w:rStyle w:val="FootnoteReference"/>
          <w:rFonts w:ascii="Times New Roman" w:hAnsi="Times New Roman" w:cs="Times New Roman"/>
        </w:rPr>
        <w:footnoteReference w:id="1"/>
      </w:r>
      <w:r w:rsidRPr="009337B7">
        <w:rPr>
          <w:rFonts w:ascii="Times New Roman" w:hAnsi="Times New Roman" w:cs="Times New Roman"/>
        </w:rPr>
        <w:t>.   The basic understanding is that people who lived and then die pass on to another plane of existence where the spirit remains alive after death and can be called upon by those with the specialist knowledge in order to elicit information about the past, present or future.  Necromancy in its most traditional form was related to funerary rites, post funeral rituals or ancestor worship</w:t>
      </w:r>
      <w:r w:rsidRPr="009337B7">
        <w:rPr>
          <w:rStyle w:val="FootnoteReference"/>
          <w:rFonts w:ascii="Times New Roman" w:hAnsi="Times New Roman" w:cs="Times New Roman"/>
        </w:rPr>
        <w:footnoteReference w:id="2"/>
      </w:r>
      <w:r w:rsidRPr="009337B7">
        <w:rPr>
          <w:rFonts w:ascii="Times New Roman" w:hAnsi="Times New Roman" w:cs="Times New Roman"/>
        </w:rPr>
        <w:t xml:space="preserve">.  </w:t>
      </w:r>
    </w:p>
    <w:p w14:paraId="2CF40417" w14:textId="0EFEBB7B" w:rsidR="005C050C" w:rsidRPr="009337B7" w:rsidRDefault="005C050C" w:rsidP="009337B7">
      <w:pPr>
        <w:spacing w:line="480" w:lineRule="auto"/>
        <w:rPr>
          <w:rFonts w:ascii="Times New Roman" w:hAnsi="Times New Roman" w:cs="Times New Roman"/>
          <w:u w:val="single"/>
        </w:rPr>
      </w:pPr>
      <w:r w:rsidRPr="009337B7">
        <w:rPr>
          <w:rFonts w:ascii="Times New Roman" w:hAnsi="Times New Roman" w:cs="Times New Roman"/>
          <w:u w:val="single"/>
        </w:rPr>
        <w:t>Features of the Oracles of the Dead and Necromancy</w:t>
      </w:r>
    </w:p>
    <w:p w14:paraId="30F641CD" w14:textId="5A582953"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Oracles of the Dead formed the basis of a ‘popular religion’, although it is difficult to ascertain from the bible any particular cosmology or doctrine that is specifically formed.  Whilst they operated in both religious and magical spheres, cults of the dead in Western Europe were most likely to be found </w:t>
      </w:r>
      <w:r w:rsidRPr="009337B7">
        <w:rPr>
          <w:rFonts w:ascii="Times New Roman" w:hAnsi="Times New Roman" w:cs="Times New Roman"/>
        </w:rPr>
        <w:lastRenderedPageBreak/>
        <w:t>on the perimeters of communities where they either operated alone or were linked to other cults, as was the case in ancient Greece or in the example of King Saul in the Old Testament.  There is evidence of a hero cult from the fifth century, for instance, that which the Spartan hero Astrabacus belonged to, where the dead were expected to assist with individuals or communities</w:t>
      </w:r>
      <w:r w:rsidRPr="009337B7">
        <w:rPr>
          <w:rStyle w:val="FootnoteReference"/>
          <w:rFonts w:ascii="Times New Roman" w:hAnsi="Times New Roman" w:cs="Times New Roman"/>
        </w:rPr>
        <w:footnoteReference w:id="3"/>
      </w:r>
      <w:r w:rsidRPr="009337B7">
        <w:rPr>
          <w:rFonts w:ascii="Times New Roman" w:hAnsi="Times New Roman" w:cs="Times New Roman"/>
        </w:rPr>
        <w:t>.</w:t>
      </w:r>
    </w:p>
    <w:p w14:paraId="61146296" w14:textId="06C7A453"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Cultural and geographical differences would no doubt be responsible for variations in the operation of communicating with the dead, but it does appear that there were similarities, particularly in the biblical examples or those of ancient Greece.  Further examples of the procedures for the conjuring of the spirit are found in Greek, Mesopotamian and Hittite literature, along with evidence of communication with the dead found in ancient Egypt.  </w:t>
      </w:r>
    </w:p>
    <w:p w14:paraId="25D7BCF0" w14:textId="18450002"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Old Testament researchers suggest that ritual pits were employed whereby ancestral spirits could be raised and questioned, and these were usually dug at night using a particular ceremonial tool.  Whilst the medium of Endor had the specialist knowledge required to conjure the dead and to know where the pit should be located, she was not possessed by the spirit itself and was therefore not considered a medium in the contemporary sense</w:t>
      </w:r>
      <w:r w:rsidRPr="009337B7">
        <w:rPr>
          <w:rStyle w:val="FootnoteReference"/>
          <w:rFonts w:ascii="Times New Roman" w:hAnsi="Times New Roman" w:cs="Times New Roman"/>
        </w:rPr>
        <w:footnoteReference w:id="4"/>
      </w:r>
      <w:r w:rsidRPr="009337B7">
        <w:rPr>
          <w:rFonts w:ascii="Times New Roman" w:hAnsi="Times New Roman" w:cs="Times New Roman"/>
        </w:rPr>
        <w:t xml:space="preserve">.  </w:t>
      </w:r>
    </w:p>
    <w:p w14:paraId="0BA8B400" w14:textId="3A369975"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Aside from the use of a special pit, it is believed by researchers that rituals were usually undertaken at night, and special offerings such as food or the blood of a sacrificial animal were placed in the pit to call or attract the spirit.  After preparation of the pit, the spirit was invoked using a particular prayer and the name of the spirit, and then the pit was covered to prevent the spirit from escaping</w:t>
      </w:r>
      <w:r w:rsidRPr="009337B7">
        <w:rPr>
          <w:rStyle w:val="FootnoteReference"/>
          <w:rFonts w:ascii="Times New Roman" w:hAnsi="Times New Roman" w:cs="Times New Roman"/>
        </w:rPr>
        <w:footnoteReference w:id="5"/>
      </w:r>
      <w:r w:rsidRPr="009337B7">
        <w:rPr>
          <w:rFonts w:ascii="Times New Roman" w:hAnsi="Times New Roman" w:cs="Times New Roman"/>
        </w:rPr>
        <w:t>.  Literature shows that the spirits who appeared were in human form, whilst in Mesopotamian cults, only the medium could see or question the spirit through the smearing of oil or ointment on the face</w:t>
      </w:r>
      <w:r w:rsidRPr="009337B7">
        <w:rPr>
          <w:rStyle w:val="FootnoteReference"/>
          <w:rFonts w:ascii="Times New Roman" w:hAnsi="Times New Roman" w:cs="Times New Roman"/>
        </w:rPr>
        <w:footnoteReference w:id="6"/>
      </w:r>
      <w:r w:rsidRPr="009337B7">
        <w:rPr>
          <w:rFonts w:ascii="Times New Roman" w:hAnsi="Times New Roman" w:cs="Times New Roman"/>
        </w:rPr>
        <w:t xml:space="preserve">.  </w:t>
      </w:r>
    </w:p>
    <w:p w14:paraId="6A483A32" w14:textId="5BEC3D35"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Archaeological evidence of Necromancy or Oracles of the Dead is scant, however, there are a number of sites which bear relevance to the present enquiry.  The first site is the </w:t>
      </w:r>
      <w:r w:rsidRPr="009337B7">
        <w:rPr>
          <w:rFonts w:ascii="Times New Roman" w:hAnsi="Times New Roman" w:cs="Times New Roman"/>
          <w:i/>
        </w:rPr>
        <w:t xml:space="preserve">Nekuomanteion </w:t>
      </w:r>
      <w:r w:rsidRPr="009337B7">
        <w:rPr>
          <w:rFonts w:ascii="Times New Roman" w:hAnsi="Times New Roman" w:cs="Times New Roman"/>
        </w:rPr>
        <w:t xml:space="preserve">at Ephyra which researchers believe was dedicated to the Oracles of the Dead.  Thought to be the only site of </w:t>
      </w:r>
      <w:r w:rsidRPr="009337B7">
        <w:rPr>
          <w:rFonts w:ascii="Times New Roman" w:hAnsi="Times New Roman" w:cs="Times New Roman"/>
        </w:rPr>
        <w:lastRenderedPageBreak/>
        <w:t>this kind, i.e. one designated specifically to the cult, it is reported to be the place that Homer sent Odysseus to seek the advice of the gods.  Dating from the 3</w:t>
      </w:r>
      <w:r w:rsidRPr="009337B7">
        <w:rPr>
          <w:rFonts w:ascii="Times New Roman" w:hAnsi="Times New Roman" w:cs="Times New Roman"/>
          <w:vertAlign w:val="superscript"/>
        </w:rPr>
        <w:t>rd</w:t>
      </w:r>
      <w:r w:rsidRPr="009337B7">
        <w:rPr>
          <w:rFonts w:ascii="Times New Roman" w:hAnsi="Times New Roman" w:cs="Times New Roman"/>
        </w:rPr>
        <w:t xml:space="preserve"> or 4</w:t>
      </w:r>
      <w:r w:rsidRPr="009337B7">
        <w:rPr>
          <w:rFonts w:ascii="Times New Roman" w:hAnsi="Times New Roman" w:cs="Times New Roman"/>
          <w:vertAlign w:val="superscript"/>
        </w:rPr>
        <w:t>th</w:t>
      </w:r>
      <w:r w:rsidRPr="009337B7">
        <w:rPr>
          <w:rFonts w:ascii="Times New Roman" w:hAnsi="Times New Roman" w:cs="Times New Roman"/>
        </w:rPr>
        <w:t xml:space="preserve"> century BC and situated on the top of a hill, the site is 72 square feet with walls eleven feet thick and the subterranean chambers remain intact</w:t>
      </w:r>
      <w:r w:rsidRPr="009337B7">
        <w:rPr>
          <w:rStyle w:val="FootnoteReference"/>
          <w:rFonts w:ascii="Times New Roman" w:hAnsi="Times New Roman" w:cs="Times New Roman"/>
        </w:rPr>
        <w:footnoteReference w:id="7"/>
      </w:r>
      <w:r w:rsidRPr="009337B7">
        <w:rPr>
          <w:rFonts w:ascii="Times New Roman" w:hAnsi="Times New Roman" w:cs="Times New Roman"/>
        </w:rPr>
        <w:t xml:space="preserve">.  </w:t>
      </w:r>
    </w:p>
    <w:p w14:paraId="718B5274" w14:textId="3F0CACCD"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Similarly, in discussing the cult of the dead in ancient Israel, King and Stager cite literary and archaeological evidence from the site of Ras Shamra or Urgarit in Syria.  They believed that the structure of certain tombs at the site made it possible to provide offerings to the dead, and that two key texts found at the site confirm its dedication to the deceased.  The texts are called “The Urgaritic Funerary Text” and the “Duties of an Ideal Son” respectively.  The funerary text relates to the death of King Niqmaddu III and seeks to provide information on services for the dead and how to obtain blessings from them; whilst the second lists six different tasks that need to be accomplished by a son for his Father including two that clearly relate to the cult of the dead.  The first tells the son to set up the stele to his divine ancestor and the second relates to the eating of an offering to the god Ba’al</w:t>
      </w:r>
      <w:r w:rsidRPr="009337B7">
        <w:rPr>
          <w:rStyle w:val="FootnoteReference"/>
          <w:rFonts w:ascii="Times New Roman" w:hAnsi="Times New Roman" w:cs="Times New Roman"/>
        </w:rPr>
        <w:footnoteReference w:id="8"/>
      </w:r>
      <w:r w:rsidRPr="009337B7">
        <w:rPr>
          <w:rFonts w:ascii="Times New Roman" w:hAnsi="Times New Roman" w:cs="Times New Roman"/>
        </w:rPr>
        <w:t>.</w:t>
      </w:r>
    </w:p>
    <w:p w14:paraId="644DFC1A" w14:textId="13CBAF3F"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There still, however, remains debate over whether either of the above sites can be concretely labelled as evidence for Oracles of the Dead or Necromancy.  Although some argue that the ambiguous proof is not enough to attest to cults of the dead in the ancient world, it could also be the case that these cults were simply small and isolated due to their nature, but also that our modern sensibilities struggle to accept the reality of life after death and the concomitant interactions that may have taken place.  They also infer that the practice of maintaining the dead has implications on belief in the afterlife that would affect the way in which people lived their lives and the decisions they make.</w:t>
      </w:r>
    </w:p>
    <w:p w14:paraId="4BF3FC81" w14:textId="4D3BFDB0" w:rsidR="005C050C" w:rsidRPr="009337B7" w:rsidRDefault="005C050C" w:rsidP="009337B7">
      <w:pPr>
        <w:spacing w:line="480" w:lineRule="auto"/>
        <w:rPr>
          <w:rFonts w:ascii="Times New Roman" w:hAnsi="Times New Roman" w:cs="Times New Roman"/>
          <w:u w:val="single"/>
        </w:rPr>
      </w:pPr>
      <w:r w:rsidRPr="009337B7">
        <w:rPr>
          <w:rFonts w:ascii="Times New Roman" w:hAnsi="Times New Roman" w:cs="Times New Roman"/>
          <w:u w:val="single"/>
        </w:rPr>
        <w:t>Necromancy in the Old Testament</w:t>
      </w:r>
    </w:p>
    <w:p w14:paraId="4EC88A00" w14:textId="2614F553"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Herodotus writes that by the time of his observations, </w:t>
      </w:r>
      <w:r w:rsidRPr="009337B7">
        <w:rPr>
          <w:rFonts w:ascii="Times New Roman" w:hAnsi="Times New Roman" w:cs="Times New Roman"/>
          <w:i/>
        </w:rPr>
        <w:t>Nekuomanteia</w:t>
      </w:r>
      <w:r w:rsidRPr="009337B7">
        <w:rPr>
          <w:rFonts w:ascii="Times New Roman" w:hAnsi="Times New Roman" w:cs="Times New Roman"/>
        </w:rPr>
        <w:t xml:space="preserve"> (or Oracles of the Dead) had been big business for at least a century</w:t>
      </w:r>
      <w:r w:rsidRPr="009337B7">
        <w:rPr>
          <w:rStyle w:val="FootnoteReference"/>
          <w:rFonts w:ascii="Times New Roman" w:hAnsi="Times New Roman" w:cs="Times New Roman"/>
        </w:rPr>
        <w:footnoteReference w:id="9"/>
      </w:r>
      <w:r w:rsidRPr="009337B7">
        <w:rPr>
          <w:rFonts w:ascii="Times New Roman" w:hAnsi="Times New Roman" w:cs="Times New Roman"/>
        </w:rPr>
        <w:t xml:space="preserve">.  Earlier references to necromancy can be found in the Old </w:t>
      </w:r>
      <w:r w:rsidRPr="009337B7">
        <w:rPr>
          <w:rFonts w:ascii="Times New Roman" w:hAnsi="Times New Roman" w:cs="Times New Roman"/>
        </w:rPr>
        <w:lastRenderedPageBreak/>
        <w:t>Testament from ancient Israel, for example, Walton et al.</w:t>
      </w:r>
      <w:r w:rsidRPr="009337B7">
        <w:rPr>
          <w:rStyle w:val="FootnoteReference"/>
          <w:rFonts w:ascii="Times New Roman" w:hAnsi="Times New Roman" w:cs="Times New Roman"/>
        </w:rPr>
        <w:footnoteReference w:id="10"/>
      </w:r>
      <w:r w:rsidRPr="009337B7">
        <w:rPr>
          <w:rFonts w:ascii="Times New Roman" w:hAnsi="Times New Roman" w:cs="Times New Roman"/>
        </w:rPr>
        <w:t xml:space="preserve"> note that in the book of 1 Samuel sorcery and discussions with the dead are condemned as they relate to the Canaanite religions, and whilst king, Saul had followed the example of King Gudea of Lagash almost a millennium before who had banned the cult from his realm.  </w:t>
      </w:r>
    </w:p>
    <w:p w14:paraId="5E084299" w14:textId="77777777"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This demonstrated that the suspicions aroused by the Oracles of the Dead were not limited to monotheistic cultures.  When worrying about an upcoming battle with five Philistine city states, King Saul had undertaken the usual methods of divination including incubation rituals, the casting of lots and seeking the visions of the prophets. Eventually, King Saul broke his own law and sought out a medium in Endor.  Despite the condemnation of necromancy rituals in Deuteronomy 18, outside of the story of Saul consulting the woman of Endor, there are no other examples are found in the Old Testament</w:t>
      </w:r>
      <w:r w:rsidRPr="009337B7">
        <w:rPr>
          <w:rStyle w:val="FootnoteReference"/>
          <w:rFonts w:ascii="Times New Roman" w:hAnsi="Times New Roman" w:cs="Times New Roman"/>
        </w:rPr>
        <w:footnoteReference w:id="11"/>
      </w:r>
      <w:r w:rsidRPr="009337B7">
        <w:rPr>
          <w:rFonts w:ascii="Times New Roman" w:hAnsi="Times New Roman" w:cs="Times New Roman"/>
        </w:rPr>
        <w:t>.  However, whilst there is an absence of reports of actual practices of necromancy another reference to it being condemned can be found in Isaiah 19 which refers specifically to the practice taking place in Egypt</w:t>
      </w:r>
      <w:r w:rsidRPr="009337B7">
        <w:rPr>
          <w:rStyle w:val="FootnoteReference"/>
          <w:rFonts w:ascii="Times New Roman" w:hAnsi="Times New Roman" w:cs="Times New Roman"/>
        </w:rPr>
        <w:footnoteReference w:id="12"/>
      </w:r>
      <w:r w:rsidRPr="009337B7">
        <w:rPr>
          <w:rFonts w:ascii="Times New Roman" w:hAnsi="Times New Roman" w:cs="Times New Roman"/>
        </w:rPr>
        <w:t xml:space="preserve">.  </w:t>
      </w:r>
    </w:p>
    <w:p w14:paraId="68AFEE1E" w14:textId="0815C611"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What analysis concludes is that there is a far greater amount of condemnation of a practice for which there is little evidence outside of the texts.  Reasons for this could include: secrecy surrounding the practices; the dead that demanded concealment or they would unleash curses; destruction of evidence by those hostile to the notion of summoning the dead or interacting with them; propaganda at the time could have made people think that the practice was wider reaching than it actually was and the lack of evidence is a reflection of lack of practice; change in beliefs about the afterlife and interactions with the dead; suspicion of something that the living were unable to control; or even a misunderstanding of literature that is already available, i.e. that there are more references to these cults but due to their nature we have yet to identify them as such.</w:t>
      </w:r>
    </w:p>
    <w:p w14:paraId="621E2A7C" w14:textId="1B63D823"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Despite the biblical condemnations, Lewis’ thesis is grounded in the belief that some ancient Israelite practices carried vestiges of cults of the dead, for instance, citing the inclusion of ministering to the </w:t>
      </w:r>
      <w:r w:rsidRPr="009337B7">
        <w:rPr>
          <w:rFonts w:ascii="Times New Roman" w:hAnsi="Times New Roman" w:cs="Times New Roman"/>
        </w:rPr>
        <w:lastRenderedPageBreak/>
        <w:t>dead prophets as a practice which was traditional and integral to Israelite society.  This presents a problem for some scholars who argue there is deficiency in the evidence to come to that conclusion; with greater weight supporting a condemnation of the practice.  He does however, agree with other scholars who suggest that inclusion of necromancy or ministering to the dead were most likely an influence from Canaanite religions</w:t>
      </w:r>
      <w:r w:rsidRPr="009337B7">
        <w:rPr>
          <w:rStyle w:val="FootnoteReference"/>
          <w:rFonts w:ascii="Times New Roman" w:hAnsi="Times New Roman" w:cs="Times New Roman"/>
        </w:rPr>
        <w:footnoteReference w:id="13"/>
      </w:r>
      <w:r w:rsidRPr="009337B7">
        <w:rPr>
          <w:rFonts w:ascii="Times New Roman" w:hAnsi="Times New Roman" w:cs="Times New Roman"/>
        </w:rPr>
        <w:t>.</w:t>
      </w:r>
    </w:p>
    <w:p w14:paraId="0D1751C6" w14:textId="5BE7F2D8"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Lewis</w:t>
      </w:r>
      <w:r w:rsidRPr="009337B7">
        <w:rPr>
          <w:rStyle w:val="FootnoteReference"/>
          <w:rFonts w:ascii="Times New Roman" w:hAnsi="Times New Roman" w:cs="Times New Roman"/>
        </w:rPr>
        <w:footnoteReference w:id="14"/>
      </w:r>
      <w:r w:rsidRPr="009337B7">
        <w:rPr>
          <w:rFonts w:ascii="Times New Roman" w:hAnsi="Times New Roman" w:cs="Times New Roman"/>
        </w:rPr>
        <w:t xml:space="preserve"> believed that whilst the archaeological evidence and our knowledge of cults of the dead or necromancy is scant, it was in fact a significant and important part of the ancient world, going as far as to assert that cults of the dead engaged in “an ongoing battle throughout ancient Israel’s history between adherents of what becomes normative Yahwism and those who practised death cult rituals”</w:t>
      </w:r>
      <w:r w:rsidRPr="009337B7">
        <w:rPr>
          <w:rStyle w:val="FootnoteReference"/>
          <w:rFonts w:ascii="Times New Roman" w:hAnsi="Times New Roman" w:cs="Times New Roman"/>
        </w:rPr>
        <w:footnoteReference w:id="15"/>
      </w:r>
      <w:r w:rsidRPr="009337B7">
        <w:rPr>
          <w:rFonts w:ascii="Times New Roman" w:hAnsi="Times New Roman" w:cs="Times New Roman"/>
        </w:rPr>
        <w:t>.  Even though Lewis believes that necromantic practices were included in Israelite society, there were still those who would include more of it, particularly under a Canaanite influence, and those who would see it removed entirely from Israel’s belief system.  Anderson</w:t>
      </w:r>
      <w:r w:rsidRPr="009337B7">
        <w:rPr>
          <w:rStyle w:val="FootnoteReference"/>
          <w:rFonts w:ascii="Times New Roman" w:hAnsi="Times New Roman" w:cs="Times New Roman"/>
        </w:rPr>
        <w:footnoteReference w:id="16"/>
      </w:r>
      <w:r w:rsidRPr="009337B7">
        <w:rPr>
          <w:rFonts w:ascii="Times New Roman" w:hAnsi="Times New Roman" w:cs="Times New Roman"/>
        </w:rPr>
        <w:t xml:space="preserve"> describes the New Year Festival which took place at Urgarit and celebrated Baal’s victory over death itself and revivification of the dead.  In a similar fashion to modern Halloween then, the festival was thought to bring the living and the dead together to feast the victory of Baal, demonstrating a greater connection and awareness between this life and the next than is observed in modern contexts.</w:t>
      </w:r>
    </w:p>
    <w:p w14:paraId="137BB431" w14:textId="15E747EE"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Walton believes that researching and understanding Necromancy and the cult of dead in ancient Israel and biblical times is crucial for two reasons that interact.  Firstly, that establishing the importance of the cults of the dead will enable investigators to ascertain the nature of the afterlife for the ancient Hebrews, and as a result what impact those beliefs had on the lives of the people.  The second reason follows from this, in that once the landscape and dimensions of the cults of the dead have been identified, it is then possible to read the ancient texts, even those replete with complicated symbolism, in a way that was originally intended</w:t>
      </w:r>
      <w:r w:rsidRPr="009337B7">
        <w:rPr>
          <w:rStyle w:val="FootnoteReference"/>
          <w:rFonts w:ascii="Times New Roman" w:hAnsi="Times New Roman" w:cs="Times New Roman"/>
        </w:rPr>
        <w:footnoteReference w:id="17"/>
      </w:r>
      <w:r w:rsidRPr="009337B7">
        <w:rPr>
          <w:rFonts w:ascii="Times New Roman" w:hAnsi="Times New Roman" w:cs="Times New Roman"/>
        </w:rPr>
        <w:t xml:space="preserve">.  This assertion is true for most aspects of religious enquiry but </w:t>
      </w:r>
      <w:r w:rsidRPr="009337B7">
        <w:rPr>
          <w:rFonts w:ascii="Times New Roman" w:hAnsi="Times New Roman" w:cs="Times New Roman"/>
        </w:rPr>
        <w:lastRenderedPageBreak/>
        <w:t>is particularly relevant in this instance where archaeological evidence is lacking yet where literary evidence tells of a practice and belief that was quite widespread.</w:t>
      </w:r>
    </w:p>
    <w:p w14:paraId="70333B6B" w14:textId="4F99CA27" w:rsidR="005C050C" w:rsidRPr="009337B7" w:rsidRDefault="005C050C" w:rsidP="009337B7">
      <w:pPr>
        <w:spacing w:line="480" w:lineRule="auto"/>
        <w:rPr>
          <w:rFonts w:ascii="Times New Roman" w:hAnsi="Times New Roman" w:cs="Times New Roman"/>
          <w:u w:val="single"/>
        </w:rPr>
      </w:pPr>
      <w:r w:rsidRPr="009337B7">
        <w:rPr>
          <w:rFonts w:ascii="Times New Roman" w:hAnsi="Times New Roman" w:cs="Times New Roman"/>
          <w:u w:val="single"/>
        </w:rPr>
        <w:t>Oracles of the Dead in Ancient Greece</w:t>
      </w:r>
    </w:p>
    <w:p w14:paraId="53C92D3E" w14:textId="4C878CA0"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No doubt due to the lack of collective evidence regarding the Oracles of the Dead (and the difficulties surrounding anecdotal evidence of the practices), some scholars doubt the existence of such cults outside of creative or literary fiction.  Matthew Dillon</w:t>
      </w:r>
      <w:r w:rsidRPr="009337B7">
        <w:rPr>
          <w:rStyle w:val="FootnoteReference"/>
          <w:rFonts w:ascii="Times New Roman" w:hAnsi="Times New Roman" w:cs="Times New Roman"/>
        </w:rPr>
        <w:footnoteReference w:id="18"/>
      </w:r>
      <w:r w:rsidRPr="009337B7">
        <w:rPr>
          <w:rFonts w:ascii="Times New Roman" w:hAnsi="Times New Roman" w:cs="Times New Roman"/>
        </w:rPr>
        <w:t xml:space="preserve"> believed that the ancient Greeks did not use </w:t>
      </w:r>
      <w:r w:rsidRPr="009337B7">
        <w:rPr>
          <w:rFonts w:ascii="Times New Roman" w:hAnsi="Times New Roman" w:cs="Times New Roman"/>
          <w:i/>
        </w:rPr>
        <w:t>Nekuomanteia</w:t>
      </w:r>
      <w:r w:rsidRPr="009337B7">
        <w:rPr>
          <w:rFonts w:ascii="Times New Roman" w:hAnsi="Times New Roman" w:cs="Times New Roman"/>
        </w:rPr>
        <w:t xml:space="preserve"> in a literal sense, rather that it was a literary device betraying a belief that Hades could be accessed via places in the mortal plane.</w:t>
      </w:r>
    </w:p>
    <w:p w14:paraId="072ABCEE" w14:textId="6B646F86"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Ancient Greece provides us wi</w:t>
      </w:r>
      <w:bookmarkStart w:id="6" w:name="_GoBack"/>
      <w:bookmarkEnd w:id="6"/>
      <w:r w:rsidRPr="009337B7">
        <w:rPr>
          <w:rFonts w:ascii="Times New Roman" w:hAnsi="Times New Roman" w:cs="Times New Roman"/>
        </w:rPr>
        <w:t xml:space="preserve">th the most amount of research material, including the archaeological sites noted above, however the example to be examined here comes from Homer in </w:t>
      </w:r>
      <w:proofErr w:type="spellStart"/>
      <w:r w:rsidRPr="009337B7">
        <w:rPr>
          <w:rFonts w:ascii="Times New Roman" w:hAnsi="Times New Roman" w:cs="Times New Roman"/>
          <w:i/>
        </w:rPr>
        <w:t>The</w:t>
      </w:r>
      <w:proofErr w:type="spellEnd"/>
      <w:r w:rsidRPr="009337B7">
        <w:rPr>
          <w:rFonts w:ascii="Times New Roman" w:hAnsi="Times New Roman" w:cs="Times New Roman"/>
          <w:i/>
        </w:rPr>
        <w:t xml:space="preserve"> Odyssey.  </w:t>
      </w:r>
      <w:r w:rsidRPr="009337B7">
        <w:rPr>
          <w:rFonts w:ascii="Times New Roman" w:hAnsi="Times New Roman" w:cs="Times New Roman"/>
        </w:rPr>
        <w:t>In one section of the text, Odysseus speaks with the goddess Circe and sends him to consult with Tiresias, a blind prophet in the underworld.  Circe tells Tiresias, “For to him alone did Persephone grant retention of his wits even after death.  But the other dead just flit about as shadows”</w:t>
      </w:r>
      <w:r w:rsidRPr="009337B7">
        <w:rPr>
          <w:rStyle w:val="FootnoteReference"/>
          <w:rFonts w:ascii="Times New Roman" w:hAnsi="Times New Roman" w:cs="Times New Roman"/>
        </w:rPr>
        <w:footnoteReference w:id="19"/>
      </w:r>
      <w:r w:rsidRPr="009337B7">
        <w:rPr>
          <w:rFonts w:ascii="Times New Roman" w:hAnsi="Times New Roman" w:cs="Times New Roman"/>
        </w:rPr>
        <w:t xml:space="preserve">.  This could be an indication of a belief that the inhabitants of the underworld included gods, disembodied souls in a state of wandering, but also those who had been human but were granted </w:t>
      </w:r>
      <w:proofErr w:type="gramStart"/>
      <w:r w:rsidRPr="009337B7">
        <w:rPr>
          <w:rFonts w:ascii="Times New Roman" w:hAnsi="Times New Roman" w:cs="Times New Roman"/>
        </w:rPr>
        <w:t>particular status</w:t>
      </w:r>
      <w:proofErr w:type="gramEnd"/>
      <w:r w:rsidRPr="009337B7">
        <w:rPr>
          <w:rFonts w:ascii="Times New Roman" w:hAnsi="Times New Roman" w:cs="Times New Roman"/>
        </w:rPr>
        <w:t xml:space="preserve"> or benefit.  Accordingly, if this were widespread belief among the living then it would influence behaviour in this life.</w:t>
      </w:r>
    </w:p>
    <w:p w14:paraId="50A1069D" w14:textId="0C739A5D"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Just after this, Odysseus asks Circe, “Circe, who will guide me on this journey?  No one has yet come to Hades in a black ship”</w:t>
      </w:r>
      <w:r w:rsidRPr="009337B7">
        <w:rPr>
          <w:rStyle w:val="FootnoteReference"/>
          <w:rFonts w:ascii="Times New Roman" w:hAnsi="Times New Roman" w:cs="Times New Roman"/>
        </w:rPr>
        <w:footnoteReference w:id="20"/>
      </w:r>
      <w:r w:rsidRPr="009337B7">
        <w:rPr>
          <w:rFonts w:ascii="Times New Roman" w:hAnsi="Times New Roman" w:cs="Times New Roman"/>
        </w:rPr>
        <w:t>.  Hades does not correspond with Christian ideas of hell, and it is a powerful symbol that Odysseus’ cynicism of a ship coming out of Hades coming to collect him is the opposite direction to the one that Circe is urging him to take into Hades.  Whilst Circe is a necromancer</w:t>
      </w:r>
      <w:r w:rsidRPr="009337B7">
        <w:rPr>
          <w:rStyle w:val="FootnoteReference"/>
          <w:rFonts w:ascii="Times New Roman" w:hAnsi="Times New Roman" w:cs="Times New Roman"/>
        </w:rPr>
        <w:footnoteReference w:id="21"/>
      </w:r>
      <w:r w:rsidRPr="009337B7">
        <w:rPr>
          <w:rFonts w:ascii="Times New Roman" w:hAnsi="Times New Roman" w:cs="Times New Roman"/>
        </w:rPr>
        <w:t xml:space="preserve">, she is also a goddess which is why she is possession of knowledge of the afterlife and </w:t>
      </w:r>
      <w:r w:rsidRPr="009337B7">
        <w:rPr>
          <w:rFonts w:ascii="Times New Roman" w:hAnsi="Times New Roman" w:cs="Times New Roman"/>
        </w:rPr>
        <w:lastRenderedPageBreak/>
        <w:t xml:space="preserve">who resides there.  </w:t>
      </w:r>
      <w:r w:rsidR="008B5E3E" w:rsidRPr="009337B7">
        <w:rPr>
          <w:rFonts w:ascii="Times New Roman" w:hAnsi="Times New Roman" w:cs="Times New Roman"/>
        </w:rPr>
        <w:t xml:space="preserve">It is also worth noting that </w:t>
      </w:r>
      <w:r w:rsidR="004B2396" w:rsidRPr="009337B7">
        <w:rPr>
          <w:rFonts w:ascii="Times New Roman" w:hAnsi="Times New Roman" w:cs="Times New Roman"/>
        </w:rPr>
        <w:t xml:space="preserve">once in the afterlife, all power and control is taken unless granted otherwise by the gods, hence those that ‘flit about as shadows’.  </w:t>
      </w:r>
    </w:p>
    <w:p w14:paraId="49F5AAD7" w14:textId="15C821DE" w:rsidR="004B2396" w:rsidRPr="009337B7" w:rsidRDefault="004B2396" w:rsidP="009337B7">
      <w:pPr>
        <w:spacing w:line="480" w:lineRule="auto"/>
        <w:rPr>
          <w:rFonts w:ascii="Times New Roman" w:hAnsi="Times New Roman" w:cs="Times New Roman"/>
        </w:rPr>
      </w:pPr>
      <w:r w:rsidRPr="009337B7">
        <w:rPr>
          <w:rFonts w:ascii="Times New Roman" w:hAnsi="Times New Roman" w:cs="Times New Roman"/>
        </w:rPr>
        <w:t xml:space="preserve">Even this small fragment from a literary work displays a wealth of information of how the underworld was viewed, if only by Homer, although his world view would have been informed by his cultural and socio-religious environment.  Interaction between the living and the dead was as frequent, and perilous, as interactions with the gods in the ancient world.  </w:t>
      </w:r>
      <w:r w:rsidR="009337B7" w:rsidRPr="009337B7">
        <w:rPr>
          <w:rFonts w:ascii="Times New Roman" w:hAnsi="Times New Roman" w:cs="Times New Roman"/>
        </w:rPr>
        <w:t>The</w:t>
      </w:r>
      <w:r w:rsidRPr="009337B7">
        <w:rPr>
          <w:rFonts w:ascii="Times New Roman" w:hAnsi="Times New Roman" w:cs="Times New Roman"/>
        </w:rPr>
        <w:t xml:space="preserve"> contemporary psychoanalytical models </w:t>
      </w:r>
      <w:r w:rsidR="009337B7" w:rsidRPr="009337B7">
        <w:rPr>
          <w:rFonts w:ascii="Times New Roman" w:hAnsi="Times New Roman" w:cs="Times New Roman"/>
        </w:rPr>
        <w:t xml:space="preserve">of Jung and Freud </w:t>
      </w:r>
      <w:r w:rsidRPr="009337B7">
        <w:rPr>
          <w:rFonts w:ascii="Times New Roman" w:hAnsi="Times New Roman" w:cs="Times New Roman"/>
        </w:rPr>
        <w:t>are built from the remnants of the ancient world</w:t>
      </w:r>
      <w:r w:rsidR="009337B7" w:rsidRPr="009337B7">
        <w:rPr>
          <w:rFonts w:ascii="Times New Roman" w:hAnsi="Times New Roman" w:cs="Times New Roman"/>
        </w:rPr>
        <w:t xml:space="preserve"> and the journey of the hero</w:t>
      </w:r>
      <w:r w:rsidR="009337B7" w:rsidRPr="009337B7">
        <w:rPr>
          <w:rStyle w:val="FootnoteReference"/>
          <w:rFonts w:ascii="Times New Roman" w:hAnsi="Times New Roman" w:cs="Times New Roman"/>
        </w:rPr>
        <w:footnoteReference w:id="22"/>
      </w:r>
      <w:r w:rsidRPr="009337B7">
        <w:rPr>
          <w:rFonts w:ascii="Times New Roman" w:hAnsi="Times New Roman" w:cs="Times New Roman"/>
        </w:rPr>
        <w:t xml:space="preserve">, </w:t>
      </w:r>
      <w:r w:rsidR="009337B7" w:rsidRPr="009337B7">
        <w:rPr>
          <w:rFonts w:ascii="Times New Roman" w:hAnsi="Times New Roman" w:cs="Times New Roman"/>
        </w:rPr>
        <w:t xml:space="preserve">and the Odyssey is probably one of the most detailed that we have available.  </w:t>
      </w:r>
    </w:p>
    <w:p w14:paraId="3AF6B4F3" w14:textId="77777777" w:rsidR="005C050C" w:rsidRPr="009337B7" w:rsidRDefault="005C050C" w:rsidP="009337B7">
      <w:pPr>
        <w:spacing w:line="480" w:lineRule="auto"/>
        <w:rPr>
          <w:rFonts w:ascii="Times New Roman" w:hAnsi="Times New Roman" w:cs="Times New Roman"/>
        </w:rPr>
      </w:pPr>
    </w:p>
    <w:p w14:paraId="69D81F4B" w14:textId="2639795B" w:rsidR="005C050C" w:rsidRPr="009337B7" w:rsidRDefault="005C050C" w:rsidP="009337B7">
      <w:pPr>
        <w:spacing w:line="480" w:lineRule="auto"/>
        <w:rPr>
          <w:rFonts w:ascii="Times New Roman" w:hAnsi="Times New Roman" w:cs="Times New Roman"/>
          <w:u w:val="single"/>
        </w:rPr>
      </w:pPr>
      <w:r w:rsidRPr="009337B7">
        <w:rPr>
          <w:rFonts w:ascii="Times New Roman" w:hAnsi="Times New Roman" w:cs="Times New Roman"/>
          <w:u w:val="single"/>
        </w:rPr>
        <w:t>Conclusion</w:t>
      </w:r>
    </w:p>
    <w:p w14:paraId="1847F35F" w14:textId="234A4B9B"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Of Oracles of the Dead, Necromancy or Cults of the Dead, archaeological evidence is sadly lacking although literary proof is much more available, whether as religious texts or mythology.  What is clearly present are indications that across the ancient world, that is ancient Greece, Rome, Egypt, Mesopotamia, Israel to mention a few, belief in and communication with the dead was an assumed reality.  </w:t>
      </w:r>
    </w:p>
    <w:p w14:paraId="60B4B124" w14:textId="1E5E073A"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Common features of world view, cosmology and metaphysics present themselves, for instance: the focus is on the relationship between the enquirer or the specialist and the deceased rather than through a deity; a suspicion of these acts and cults meant that they appear to be centred in isolation as opposed to the cults of the gods, for example, many of the texts show that enquirers had to travel to get to them; a lack of dogma or other usual types of religious framework; strong focus and use of ritual as part of worship; and a pattern of tension between the living and the dead, the practice and normative religions or cults, those who practised the art and those who did not, those gods who used the dead as part of their doctrine and those who did not.  </w:t>
      </w:r>
    </w:p>
    <w:p w14:paraId="33865730" w14:textId="4C47271F"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lastRenderedPageBreak/>
        <w:t xml:space="preserve">Some scholars have denied the cults completely, suggesting that they are mere literary devices that enable people to symbolically communicate with the deceased and to understand cosmology and the afterlife.  One of the issues with this assertion is that whilst the evidence is scant, there is still enough available to infer the existence of belief systems that utilised this form of divination and that it was not only a religious and magical practice, but one that was used for political purposes.  </w:t>
      </w:r>
    </w:p>
    <w:p w14:paraId="536BEFCC" w14:textId="461796C7"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Defining what a cult of the dead, oracle of the dead or necromancy is and the broad spectrum that those labels carry is enough to fill a thesis of its own, particularly when the net is widened and includes modern contexts.  Ancestor worship and communication; funerary rites; and rites of passage for example all seek to include death as part of an every day experience, to create a seamless journey from this world to the next and could therefore be considered necromancy in terms of their behaviour.  Generally, the paper utilised scholars who identified necromancy, cults of the dead, and oracles of the dead in their own geographical, cultural and socio-religious location but the difficulties in isolating and separating them out from other types of communication with the dead did not go unnoticed.  </w:t>
      </w:r>
    </w:p>
    <w:p w14:paraId="7192DAFD" w14:textId="0627F544"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Far from being an indulgent exercise into the macabre, examination and research into the cults of the dead provides contemporary scholars with the information that they need to extrapolate a fuller picture of religion in the ancient world.  The archaeological sites such as those at Ephyra or Uragrit allow researchers to recreate the view of people of the time, along with their view of an afterlife.  The type of afterlife was also very much dependent on the type of life that a person had lived, and so communication with the dead prompted people of the ancient world, from beggars to kings, to consider their own decisions and behaviour in light of an afterlife and what that could mean to them personally.  </w:t>
      </w:r>
    </w:p>
    <w:p w14:paraId="12003A05" w14:textId="14E5A264"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Time as a construct is an interesting element that was not discussed here due to constraints of space, but it is worth noting that the timelessness of the afterlife has its own implications.  In any of the examples given in this paper the afterlife and those who reside there were the focus, rather than a Creator-God or cult god.  </w:t>
      </w:r>
      <w:r w:rsidR="009337B7" w:rsidRPr="009337B7">
        <w:rPr>
          <w:rFonts w:ascii="Times New Roman" w:hAnsi="Times New Roman" w:cs="Times New Roman"/>
        </w:rPr>
        <w:t xml:space="preserve">The whole experience of consulting the dead, including the journey to and from their location, are all part of the hero myth which is so vital to psychoanalytical models today for reasons that space constraints do not allow here.  </w:t>
      </w:r>
      <w:r w:rsidRPr="009337B7">
        <w:rPr>
          <w:rFonts w:ascii="Times New Roman" w:hAnsi="Times New Roman" w:cs="Times New Roman"/>
        </w:rPr>
        <w:t xml:space="preserve">What is clear is that so much has been lost already, </w:t>
      </w:r>
      <w:r w:rsidRPr="009337B7">
        <w:rPr>
          <w:rFonts w:ascii="Times New Roman" w:hAnsi="Times New Roman" w:cs="Times New Roman"/>
        </w:rPr>
        <w:lastRenderedPageBreak/>
        <w:t xml:space="preserve">to those who have sought to destroy the material past and to those who sought to bury notions of the afterlife.  It is therefore imperative that research continues into the aspects of death in the ancient world so that the picture is complete.  </w:t>
      </w:r>
    </w:p>
    <w:p w14:paraId="73AEF6C4" w14:textId="77777777" w:rsidR="005C050C" w:rsidRPr="009337B7" w:rsidRDefault="005C050C" w:rsidP="009337B7">
      <w:pPr>
        <w:spacing w:line="480" w:lineRule="auto"/>
        <w:rPr>
          <w:rFonts w:ascii="Times New Roman" w:hAnsi="Times New Roman" w:cs="Times New Roman"/>
        </w:rPr>
      </w:pPr>
    </w:p>
    <w:p w14:paraId="7F169D59" w14:textId="28347BF5" w:rsidR="005C050C" w:rsidRPr="009337B7" w:rsidRDefault="005C050C" w:rsidP="009337B7">
      <w:pPr>
        <w:spacing w:line="480" w:lineRule="auto"/>
        <w:rPr>
          <w:rFonts w:ascii="Times New Roman" w:hAnsi="Times New Roman" w:cs="Times New Roman"/>
          <w:u w:val="single"/>
        </w:rPr>
      </w:pPr>
      <w:r w:rsidRPr="009337B7">
        <w:rPr>
          <w:rFonts w:ascii="Times New Roman" w:hAnsi="Times New Roman" w:cs="Times New Roman"/>
          <w:u w:val="single"/>
        </w:rPr>
        <w:t>References</w:t>
      </w:r>
    </w:p>
    <w:p w14:paraId="4B7507F9" w14:textId="210F58CF"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Anderson, J. </w:t>
      </w:r>
      <w:r w:rsidRPr="009337B7">
        <w:rPr>
          <w:rFonts w:ascii="Times New Roman" w:hAnsi="Times New Roman" w:cs="Times New Roman"/>
          <w:i/>
        </w:rPr>
        <w:t>Monotheism and Yahweh’s Appropriation of Baal</w:t>
      </w:r>
      <w:r w:rsidRPr="009337B7">
        <w:rPr>
          <w:rFonts w:ascii="Times New Roman" w:hAnsi="Times New Roman" w:cs="Times New Roman"/>
        </w:rPr>
        <w:t>.  2015.  London, T&amp;T Clark.</w:t>
      </w:r>
    </w:p>
    <w:p w14:paraId="64CED0BE" w14:textId="56804DC9"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Black, A. </w:t>
      </w:r>
      <w:r w:rsidRPr="009337B7">
        <w:rPr>
          <w:rFonts w:ascii="Times New Roman" w:hAnsi="Times New Roman" w:cs="Times New Roman"/>
          <w:i/>
        </w:rPr>
        <w:t xml:space="preserve">Necromanteion of Ephyra.  </w:t>
      </w:r>
      <w:r w:rsidRPr="009337B7">
        <w:rPr>
          <w:rFonts w:ascii="Times New Roman" w:hAnsi="Times New Roman" w:cs="Times New Roman"/>
        </w:rPr>
        <w:t xml:space="preserve">2018.  [Online] Available at: </w:t>
      </w:r>
      <w:hyperlink r:id="rId9" w:history="1">
        <w:r w:rsidRPr="009337B7">
          <w:rPr>
            <w:rStyle w:val="Hyperlink"/>
            <w:rFonts w:ascii="Times New Roman" w:hAnsi="Times New Roman" w:cs="Times New Roman"/>
          </w:rPr>
          <w:t>https://www.atlasobscura.com/places/necromanteion-of-ephyra</w:t>
        </w:r>
      </w:hyperlink>
      <w:r w:rsidRPr="009337B7">
        <w:rPr>
          <w:rFonts w:ascii="Times New Roman" w:hAnsi="Times New Roman" w:cs="Times New Roman"/>
        </w:rPr>
        <w:t xml:space="preserve"> (Accessed 24th July 2018). </w:t>
      </w:r>
    </w:p>
    <w:p w14:paraId="481A667D" w14:textId="39C7FA85"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Bloch-Smith, E. Reviewed Work of Cults of the Dead in Ancient Israel and Urgarit by Theodore J. Lewis, in </w:t>
      </w:r>
      <w:r w:rsidRPr="009337B7">
        <w:rPr>
          <w:rFonts w:ascii="Times New Roman" w:hAnsi="Times New Roman" w:cs="Times New Roman"/>
          <w:i/>
        </w:rPr>
        <w:t>Journal of Biblical Literature</w:t>
      </w:r>
      <w:r w:rsidRPr="009337B7">
        <w:rPr>
          <w:rFonts w:ascii="Times New Roman" w:hAnsi="Times New Roman" w:cs="Times New Roman"/>
        </w:rPr>
        <w:t xml:space="preserve">.  Vol. 110 (2).  1991.  327-330. </w:t>
      </w:r>
    </w:p>
    <w:p w14:paraId="47E294FC" w14:textId="446A802A" w:rsidR="009337B7" w:rsidRPr="009337B7" w:rsidRDefault="009337B7" w:rsidP="009337B7">
      <w:pPr>
        <w:spacing w:line="480" w:lineRule="auto"/>
        <w:rPr>
          <w:rFonts w:ascii="Times New Roman" w:hAnsi="Times New Roman" w:cs="Times New Roman"/>
        </w:rPr>
      </w:pPr>
      <w:r w:rsidRPr="009337B7">
        <w:rPr>
          <w:rFonts w:ascii="Times New Roman" w:hAnsi="Times New Roman" w:cs="Times New Roman"/>
        </w:rPr>
        <w:t xml:space="preserve">Brown, J., and Moffatt, C.  </w:t>
      </w:r>
      <w:r w:rsidRPr="009337B7">
        <w:rPr>
          <w:rFonts w:ascii="Times New Roman" w:hAnsi="Times New Roman" w:cs="Times New Roman"/>
          <w:i/>
        </w:rPr>
        <w:t>The Hero’s Journey</w:t>
      </w:r>
      <w:r w:rsidRPr="009337B7">
        <w:rPr>
          <w:rFonts w:ascii="Times New Roman" w:hAnsi="Times New Roman" w:cs="Times New Roman"/>
        </w:rPr>
        <w:t xml:space="preserve">.  1999.  Vancouver, ASDC.  </w:t>
      </w:r>
    </w:p>
    <w:p w14:paraId="5DE2171D" w14:textId="61498AAA"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Dillon, M. </w:t>
      </w:r>
      <w:r w:rsidRPr="009337B7">
        <w:rPr>
          <w:rFonts w:ascii="Times New Roman" w:hAnsi="Times New Roman" w:cs="Times New Roman"/>
          <w:i/>
        </w:rPr>
        <w:t>Omens and Oracles: Divination in Ancient Greece</w:t>
      </w:r>
      <w:r w:rsidRPr="009337B7">
        <w:rPr>
          <w:rFonts w:ascii="Times New Roman" w:hAnsi="Times New Roman" w:cs="Times New Roman"/>
        </w:rPr>
        <w:t xml:space="preserve">.  2017.  London, Routledge. </w:t>
      </w:r>
    </w:p>
    <w:p w14:paraId="5D5998E3" w14:textId="15F0BF2E"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Homer, Odyssey, 10.488, (extract).  Cited from Daniel Ogden, </w:t>
      </w:r>
      <w:r w:rsidRPr="009337B7">
        <w:rPr>
          <w:rFonts w:ascii="Times New Roman" w:hAnsi="Times New Roman" w:cs="Times New Roman"/>
          <w:i/>
        </w:rPr>
        <w:t>Magic, Witchcraft and Ghosts in the Greek and Roman Worlds: A Sourcebook</w:t>
      </w:r>
      <w:r w:rsidRPr="009337B7">
        <w:rPr>
          <w:rFonts w:ascii="Times New Roman" w:hAnsi="Times New Roman" w:cs="Times New Roman"/>
        </w:rPr>
        <w:t>, Oxford: Oxford University Press, 2002, pp.179-182 (Source number 144).</w:t>
      </w:r>
    </w:p>
    <w:p w14:paraId="047F2AE5" w14:textId="2B310082"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Lewis, T. </w:t>
      </w:r>
      <w:r w:rsidRPr="009337B7">
        <w:rPr>
          <w:rFonts w:ascii="Times New Roman" w:hAnsi="Times New Roman" w:cs="Times New Roman"/>
          <w:i/>
        </w:rPr>
        <w:t>Cults of the Dead in Ancient Israel and Urgarit</w:t>
      </w:r>
      <w:r w:rsidRPr="009337B7">
        <w:rPr>
          <w:rFonts w:ascii="Times New Roman" w:hAnsi="Times New Roman" w:cs="Times New Roman"/>
        </w:rPr>
        <w:t>.  1989.  Atlanta, Scholars Press.</w:t>
      </w:r>
    </w:p>
    <w:p w14:paraId="57C7E995" w14:textId="467368C8"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Jeffers, A. </w:t>
      </w:r>
      <w:r w:rsidRPr="009337B7">
        <w:rPr>
          <w:rFonts w:ascii="Times New Roman" w:hAnsi="Times New Roman" w:cs="Times New Roman"/>
          <w:i/>
        </w:rPr>
        <w:t>Magic and Divination in Ancient Palestine and Syria</w:t>
      </w:r>
      <w:r w:rsidRPr="009337B7">
        <w:rPr>
          <w:rFonts w:ascii="Times New Roman" w:hAnsi="Times New Roman" w:cs="Times New Roman"/>
        </w:rPr>
        <w:t>.  1996.  London, E.J. Brill.</w:t>
      </w:r>
    </w:p>
    <w:p w14:paraId="29373A8F" w14:textId="6A50B1EA"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Johnson, S. I. </w:t>
      </w:r>
      <w:r w:rsidRPr="009337B7">
        <w:rPr>
          <w:rFonts w:ascii="Times New Roman" w:hAnsi="Times New Roman" w:cs="Times New Roman"/>
          <w:i/>
        </w:rPr>
        <w:t>Restless Dead: Encounters Between the Living and Dead in Ancient Greece</w:t>
      </w:r>
      <w:r w:rsidRPr="009337B7">
        <w:rPr>
          <w:rFonts w:ascii="Times New Roman" w:hAnsi="Times New Roman" w:cs="Times New Roman"/>
        </w:rPr>
        <w:t xml:space="preserve">.  1999. California, University of California.  </w:t>
      </w:r>
    </w:p>
    <w:p w14:paraId="34C65572" w14:textId="45104BD0"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King, P., and Stager, W. 2001.  </w:t>
      </w:r>
      <w:r w:rsidRPr="009337B7">
        <w:rPr>
          <w:rFonts w:ascii="Times New Roman" w:hAnsi="Times New Roman" w:cs="Times New Roman"/>
          <w:i/>
        </w:rPr>
        <w:t>Life in Biblical Israel</w:t>
      </w:r>
      <w:r w:rsidRPr="009337B7">
        <w:rPr>
          <w:rFonts w:ascii="Times New Roman" w:hAnsi="Times New Roman" w:cs="Times New Roman"/>
        </w:rPr>
        <w:t xml:space="preserve">.  Kentucky, Westminster John Knox.  </w:t>
      </w:r>
    </w:p>
    <w:p w14:paraId="1D394754" w14:textId="0EAABEFD"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t xml:space="preserve">Walton, J. </w:t>
      </w:r>
      <w:r w:rsidRPr="009337B7">
        <w:rPr>
          <w:rFonts w:ascii="Times New Roman" w:hAnsi="Times New Roman" w:cs="Times New Roman"/>
          <w:i/>
        </w:rPr>
        <w:t>Ancient Near Eastern Thought and the Old Testament</w:t>
      </w:r>
      <w:r w:rsidRPr="009337B7">
        <w:rPr>
          <w:rFonts w:ascii="Times New Roman" w:hAnsi="Times New Roman" w:cs="Times New Roman"/>
        </w:rPr>
        <w:t xml:space="preserve">.  2006.  Michigan, Baker Academic Press. </w:t>
      </w:r>
    </w:p>
    <w:p w14:paraId="0E54B59D" w14:textId="60A655B2" w:rsidR="005C050C" w:rsidRPr="009337B7" w:rsidRDefault="005C050C" w:rsidP="009337B7">
      <w:pPr>
        <w:spacing w:line="480" w:lineRule="auto"/>
        <w:rPr>
          <w:rFonts w:ascii="Times New Roman" w:hAnsi="Times New Roman" w:cs="Times New Roman"/>
        </w:rPr>
      </w:pPr>
      <w:r w:rsidRPr="009337B7">
        <w:rPr>
          <w:rFonts w:ascii="Times New Roman" w:hAnsi="Times New Roman" w:cs="Times New Roman"/>
        </w:rPr>
        <w:lastRenderedPageBreak/>
        <w:t xml:space="preserve">Walton, J., Matthews, V., and Chavalas, M..  </w:t>
      </w:r>
      <w:r w:rsidRPr="009337B7">
        <w:rPr>
          <w:rFonts w:ascii="Times New Roman" w:hAnsi="Times New Roman" w:cs="Times New Roman"/>
          <w:i/>
        </w:rPr>
        <w:t>The IVP Bible Background Commentary: Old Testament</w:t>
      </w:r>
      <w:r w:rsidRPr="009337B7">
        <w:rPr>
          <w:rFonts w:ascii="Times New Roman" w:hAnsi="Times New Roman" w:cs="Times New Roman"/>
        </w:rPr>
        <w:t>.  2000.  Illinois, InterVarsity Press.</w:t>
      </w:r>
    </w:p>
    <w:sectPr w:rsidR="005C050C" w:rsidRPr="009337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4792D" w14:textId="77777777" w:rsidR="004261A9" w:rsidRDefault="004261A9" w:rsidP="005C050C">
      <w:pPr>
        <w:spacing w:after="0" w:line="240" w:lineRule="auto"/>
      </w:pPr>
      <w:r>
        <w:separator/>
      </w:r>
    </w:p>
  </w:endnote>
  <w:endnote w:type="continuationSeparator" w:id="0">
    <w:p w14:paraId="72C4DDCA" w14:textId="77777777" w:rsidR="004261A9" w:rsidRDefault="004261A9" w:rsidP="005C0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DD8A0" w14:textId="77777777" w:rsidR="004261A9" w:rsidRDefault="004261A9" w:rsidP="005C050C">
      <w:pPr>
        <w:spacing w:after="0" w:line="240" w:lineRule="auto"/>
      </w:pPr>
      <w:r>
        <w:separator/>
      </w:r>
    </w:p>
  </w:footnote>
  <w:footnote w:type="continuationSeparator" w:id="0">
    <w:p w14:paraId="10D823FB" w14:textId="77777777" w:rsidR="004261A9" w:rsidRDefault="004261A9" w:rsidP="005C050C">
      <w:pPr>
        <w:spacing w:after="0" w:line="240" w:lineRule="auto"/>
      </w:pPr>
      <w:r>
        <w:continuationSeparator/>
      </w:r>
    </w:p>
  </w:footnote>
  <w:footnote w:id="1">
    <w:p w14:paraId="6C5589A2" w14:textId="77777777" w:rsidR="009337B7" w:rsidRDefault="009337B7" w:rsidP="005C050C">
      <w:pPr>
        <w:pStyle w:val="FootnoteText"/>
      </w:pPr>
      <w:r>
        <w:rPr>
          <w:rStyle w:val="FootnoteReference"/>
        </w:rPr>
        <w:footnoteRef/>
      </w:r>
      <w:r>
        <w:t xml:space="preserve"> Lewis 1989: 2</w:t>
      </w:r>
    </w:p>
  </w:footnote>
  <w:footnote w:id="2">
    <w:p w14:paraId="63FD5511" w14:textId="10242759" w:rsidR="009337B7" w:rsidRDefault="009337B7">
      <w:pPr>
        <w:pStyle w:val="FootnoteText"/>
      </w:pPr>
      <w:r>
        <w:rPr>
          <w:rStyle w:val="FootnoteReference"/>
        </w:rPr>
        <w:footnoteRef/>
      </w:r>
      <w:r>
        <w:t xml:space="preserve"> Jeffers 1996: 167</w:t>
      </w:r>
    </w:p>
  </w:footnote>
  <w:footnote w:id="3">
    <w:p w14:paraId="03362C39" w14:textId="05B07699" w:rsidR="009337B7" w:rsidRDefault="009337B7">
      <w:pPr>
        <w:pStyle w:val="FootnoteText"/>
      </w:pPr>
      <w:r>
        <w:rPr>
          <w:rStyle w:val="FootnoteReference"/>
        </w:rPr>
        <w:footnoteRef/>
      </w:r>
      <w:r>
        <w:t xml:space="preserve"> Iles Johnson 1999: 29</w:t>
      </w:r>
    </w:p>
  </w:footnote>
  <w:footnote w:id="4">
    <w:p w14:paraId="6B36D54C" w14:textId="0500074F" w:rsidR="009337B7" w:rsidRDefault="009337B7">
      <w:pPr>
        <w:pStyle w:val="FootnoteText"/>
      </w:pPr>
      <w:r>
        <w:rPr>
          <w:rStyle w:val="FootnoteReference"/>
        </w:rPr>
        <w:footnoteRef/>
      </w:r>
      <w:r>
        <w:t xml:space="preserve"> Walton et al 2000: 263</w:t>
      </w:r>
    </w:p>
  </w:footnote>
  <w:footnote w:id="5">
    <w:p w14:paraId="0D6133D6" w14:textId="07384B55" w:rsidR="009337B7" w:rsidRDefault="009337B7">
      <w:pPr>
        <w:pStyle w:val="FootnoteText"/>
      </w:pPr>
      <w:r>
        <w:rPr>
          <w:rStyle w:val="FootnoteReference"/>
        </w:rPr>
        <w:footnoteRef/>
      </w:r>
      <w:r>
        <w:t xml:space="preserve"> Walton et al 2000: 263</w:t>
      </w:r>
    </w:p>
  </w:footnote>
  <w:footnote w:id="6">
    <w:p w14:paraId="620E1DB1" w14:textId="77777777" w:rsidR="009337B7" w:rsidRDefault="009337B7" w:rsidP="005C050C">
      <w:pPr>
        <w:pStyle w:val="FootnoteText"/>
      </w:pPr>
      <w:r>
        <w:rPr>
          <w:rStyle w:val="FootnoteReference"/>
        </w:rPr>
        <w:footnoteRef/>
      </w:r>
      <w:r>
        <w:t xml:space="preserve"> Walton et al., 2000: 263</w:t>
      </w:r>
    </w:p>
  </w:footnote>
  <w:footnote w:id="7">
    <w:p w14:paraId="52BC32FA" w14:textId="139EB075" w:rsidR="009337B7" w:rsidRDefault="009337B7">
      <w:pPr>
        <w:pStyle w:val="FootnoteText"/>
      </w:pPr>
      <w:r>
        <w:rPr>
          <w:rStyle w:val="FootnoteReference"/>
        </w:rPr>
        <w:footnoteRef/>
      </w:r>
      <w:r>
        <w:t xml:space="preserve"> Black 2018 [Online]</w:t>
      </w:r>
    </w:p>
  </w:footnote>
  <w:footnote w:id="8">
    <w:p w14:paraId="680A2257" w14:textId="0FCEF261" w:rsidR="009337B7" w:rsidRDefault="009337B7">
      <w:pPr>
        <w:pStyle w:val="FootnoteText"/>
      </w:pPr>
      <w:r>
        <w:rPr>
          <w:rStyle w:val="FootnoteReference"/>
        </w:rPr>
        <w:footnoteRef/>
      </w:r>
      <w:r>
        <w:t xml:space="preserve"> King &amp; Stager 2001: 377</w:t>
      </w:r>
    </w:p>
  </w:footnote>
  <w:footnote w:id="9">
    <w:p w14:paraId="4C5FF6D5" w14:textId="36605A99" w:rsidR="009337B7" w:rsidRDefault="009337B7">
      <w:pPr>
        <w:pStyle w:val="FootnoteText"/>
      </w:pPr>
      <w:r>
        <w:rPr>
          <w:rStyle w:val="FootnoteReference"/>
        </w:rPr>
        <w:footnoteRef/>
      </w:r>
      <w:r>
        <w:t xml:space="preserve"> Johnston 1999: 29</w:t>
      </w:r>
    </w:p>
  </w:footnote>
  <w:footnote w:id="10">
    <w:p w14:paraId="78857B6E" w14:textId="148DB6A8" w:rsidR="009337B7" w:rsidRDefault="009337B7">
      <w:pPr>
        <w:pStyle w:val="FootnoteText"/>
      </w:pPr>
      <w:r>
        <w:rPr>
          <w:rStyle w:val="FootnoteReference"/>
        </w:rPr>
        <w:footnoteRef/>
      </w:r>
      <w:r>
        <w:t xml:space="preserve"> Walton et al 2000: 263</w:t>
      </w:r>
    </w:p>
  </w:footnote>
  <w:footnote w:id="11">
    <w:p w14:paraId="66A94022" w14:textId="63CA1A4D" w:rsidR="009337B7" w:rsidRDefault="009337B7">
      <w:pPr>
        <w:pStyle w:val="FootnoteText"/>
      </w:pPr>
      <w:r>
        <w:rPr>
          <w:rStyle w:val="FootnoteReference"/>
        </w:rPr>
        <w:footnoteRef/>
      </w:r>
      <w:r>
        <w:t xml:space="preserve"> Walton et al 2000: 263</w:t>
      </w:r>
    </w:p>
  </w:footnote>
  <w:footnote w:id="12">
    <w:p w14:paraId="28998C47" w14:textId="5A332232" w:rsidR="009337B7" w:rsidRDefault="009337B7">
      <w:pPr>
        <w:pStyle w:val="FootnoteText"/>
      </w:pPr>
      <w:r>
        <w:rPr>
          <w:rStyle w:val="FootnoteReference"/>
        </w:rPr>
        <w:footnoteRef/>
      </w:r>
      <w:r>
        <w:t xml:space="preserve"> Jeffers 1996: 167</w:t>
      </w:r>
    </w:p>
  </w:footnote>
  <w:footnote w:id="13">
    <w:p w14:paraId="4780F1EC" w14:textId="44416347" w:rsidR="009337B7" w:rsidRDefault="009337B7">
      <w:pPr>
        <w:pStyle w:val="FootnoteText"/>
      </w:pPr>
      <w:r>
        <w:rPr>
          <w:rStyle w:val="FootnoteReference"/>
        </w:rPr>
        <w:footnoteRef/>
      </w:r>
      <w:r>
        <w:t xml:space="preserve"> Bloch-Smith 1991: 328-9</w:t>
      </w:r>
    </w:p>
  </w:footnote>
  <w:footnote w:id="14">
    <w:p w14:paraId="30B78763" w14:textId="5BCC2910" w:rsidR="009337B7" w:rsidRDefault="009337B7">
      <w:pPr>
        <w:pStyle w:val="FootnoteText"/>
      </w:pPr>
      <w:r>
        <w:rPr>
          <w:rStyle w:val="FootnoteReference"/>
        </w:rPr>
        <w:footnoteRef/>
      </w:r>
      <w:r>
        <w:t xml:space="preserve"> Lewis 1989: 2</w:t>
      </w:r>
    </w:p>
  </w:footnote>
  <w:footnote w:id="15">
    <w:p w14:paraId="39E6B3B9" w14:textId="39ACB5A6" w:rsidR="009337B7" w:rsidRDefault="009337B7">
      <w:pPr>
        <w:pStyle w:val="FootnoteText"/>
      </w:pPr>
      <w:r>
        <w:rPr>
          <w:rStyle w:val="FootnoteReference"/>
        </w:rPr>
        <w:footnoteRef/>
      </w:r>
      <w:r>
        <w:t xml:space="preserve"> Lewis 1989: 2</w:t>
      </w:r>
    </w:p>
  </w:footnote>
  <w:footnote w:id="16">
    <w:p w14:paraId="57A47B2E" w14:textId="46FB395D" w:rsidR="009337B7" w:rsidRDefault="009337B7">
      <w:pPr>
        <w:pStyle w:val="FootnoteText"/>
      </w:pPr>
      <w:r>
        <w:rPr>
          <w:rStyle w:val="FootnoteReference"/>
        </w:rPr>
        <w:footnoteRef/>
      </w:r>
      <w:r>
        <w:t xml:space="preserve"> Anderson 2015: 60</w:t>
      </w:r>
    </w:p>
  </w:footnote>
  <w:footnote w:id="17">
    <w:p w14:paraId="42D97D70" w14:textId="3CD3ED17" w:rsidR="009337B7" w:rsidRDefault="009337B7">
      <w:pPr>
        <w:pStyle w:val="FootnoteText"/>
      </w:pPr>
      <w:r>
        <w:rPr>
          <w:rStyle w:val="FootnoteReference"/>
        </w:rPr>
        <w:footnoteRef/>
      </w:r>
      <w:r>
        <w:t xml:space="preserve"> Walton 2006: 319</w:t>
      </w:r>
    </w:p>
  </w:footnote>
  <w:footnote w:id="18">
    <w:p w14:paraId="1FE8996F" w14:textId="46EAF88F" w:rsidR="009337B7" w:rsidRDefault="009337B7">
      <w:pPr>
        <w:pStyle w:val="FootnoteText"/>
      </w:pPr>
      <w:r>
        <w:rPr>
          <w:rStyle w:val="FootnoteReference"/>
        </w:rPr>
        <w:footnoteRef/>
      </w:r>
      <w:r>
        <w:t xml:space="preserve"> Dillon 2017: 309</w:t>
      </w:r>
    </w:p>
  </w:footnote>
  <w:footnote w:id="19">
    <w:p w14:paraId="54FA793F" w14:textId="280A3DB4" w:rsidR="009337B7" w:rsidRDefault="009337B7">
      <w:pPr>
        <w:pStyle w:val="FootnoteText"/>
      </w:pPr>
      <w:r>
        <w:rPr>
          <w:rStyle w:val="FootnoteReference"/>
        </w:rPr>
        <w:footnoteRef/>
      </w:r>
      <w:r>
        <w:t xml:space="preserve"> </w:t>
      </w:r>
      <w:r w:rsidRPr="005C050C">
        <w:t xml:space="preserve">Homer, Odyssey, 10.488, </w:t>
      </w:r>
      <w:r>
        <w:t>(</w:t>
      </w:r>
      <w:r w:rsidRPr="005C050C">
        <w:t>extract).  Cited from Daniel Ogden, 2002</w:t>
      </w:r>
      <w:r>
        <w:t>: 179.</w:t>
      </w:r>
    </w:p>
  </w:footnote>
  <w:footnote w:id="20">
    <w:p w14:paraId="67F8D714" w14:textId="617C83C9" w:rsidR="009337B7" w:rsidRDefault="009337B7">
      <w:pPr>
        <w:pStyle w:val="FootnoteText"/>
      </w:pPr>
      <w:r>
        <w:rPr>
          <w:rStyle w:val="FootnoteReference"/>
        </w:rPr>
        <w:footnoteRef/>
      </w:r>
      <w:r>
        <w:t xml:space="preserve"> Homer, Odyssey, 10.496 (extract). Cited from Daniel Ogden, 2002: 180. </w:t>
      </w:r>
    </w:p>
  </w:footnote>
  <w:footnote w:id="21">
    <w:p w14:paraId="46AE59DF" w14:textId="7F759DF9" w:rsidR="009337B7" w:rsidRDefault="009337B7">
      <w:pPr>
        <w:pStyle w:val="FootnoteText"/>
      </w:pPr>
      <w:r>
        <w:rPr>
          <w:rStyle w:val="FootnoteReference"/>
        </w:rPr>
        <w:footnoteRef/>
      </w:r>
      <w:r>
        <w:t xml:space="preserve"> See Ogden, D. 2002: 181, “Circe is the first necromantic witch of the classical tradition”.</w:t>
      </w:r>
    </w:p>
  </w:footnote>
  <w:footnote w:id="22">
    <w:p w14:paraId="31888A50" w14:textId="7C55D3D1" w:rsidR="009337B7" w:rsidRDefault="009337B7">
      <w:pPr>
        <w:pStyle w:val="FootnoteText"/>
      </w:pPr>
      <w:r>
        <w:rPr>
          <w:rStyle w:val="FootnoteReference"/>
        </w:rPr>
        <w:footnoteRef/>
      </w:r>
      <w:r>
        <w:t xml:space="preserve"> Brown &amp; Moffatt 1999: 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9830D6"/>
    <w:multiLevelType w:val="hybridMultilevel"/>
    <w:tmpl w:val="6C6E527E"/>
    <w:lvl w:ilvl="0" w:tplc="345ABB2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A38"/>
    <w:rsid w:val="000F14C9"/>
    <w:rsid w:val="004261A9"/>
    <w:rsid w:val="004B2396"/>
    <w:rsid w:val="004F192A"/>
    <w:rsid w:val="005316A2"/>
    <w:rsid w:val="005C050C"/>
    <w:rsid w:val="00664332"/>
    <w:rsid w:val="006A7F11"/>
    <w:rsid w:val="00887A38"/>
    <w:rsid w:val="008B5E3E"/>
    <w:rsid w:val="009337B7"/>
    <w:rsid w:val="00EE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1313"/>
  <w15:chartTrackingRefBased/>
  <w15:docId w15:val="{D8A20D21-BFF2-471F-BDC9-7F1BCB4D0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50C"/>
    <w:pPr>
      <w:ind w:left="720"/>
      <w:contextualSpacing/>
    </w:pPr>
  </w:style>
  <w:style w:type="paragraph" w:styleId="FootnoteText">
    <w:name w:val="footnote text"/>
    <w:basedOn w:val="Normal"/>
    <w:link w:val="FootnoteTextChar"/>
    <w:uiPriority w:val="99"/>
    <w:semiHidden/>
    <w:unhideWhenUsed/>
    <w:rsid w:val="005C05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050C"/>
    <w:rPr>
      <w:sz w:val="20"/>
      <w:szCs w:val="20"/>
    </w:rPr>
  </w:style>
  <w:style w:type="character" w:styleId="FootnoteReference">
    <w:name w:val="footnote reference"/>
    <w:basedOn w:val="DefaultParagraphFont"/>
    <w:uiPriority w:val="99"/>
    <w:semiHidden/>
    <w:unhideWhenUsed/>
    <w:rsid w:val="005C050C"/>
    <w:rPr>
      <w:vertAlign w:val="superscript"/>
    </w:rPr>
  </w:style>
  <w:style w:type="character" w:styleId="Hyperlink">
    <w:name w:val="Hyperlink"/>
    <w:basedOn w:val="DefaultParagraphFont"/>
    <w:uiPriority w:val="99"/>
    <w:unhideWhenUsed/>
    <w:rsid w:val="005C050C"/>
    <w:rPr>
      <w:color w:val="0563C1" w:themeColor="hyperlink"/>
      <w:u w:val="single"/>
    </w:rPr>
  </w:style>
  <w:style w:type="character" w:styleId="UnresolvedMention">
    <w:name w:val="Unresolved Mention"/>
    <w:basedOn w:val="DefaultParagraphFont"/>
    <w:uiPriority w:val="99"/>
    <w:semiHidden/>
    <w:unhideWhenUsed/>
    <w:rsid w:val="005C0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tlasobscura.com/places/necromanteion-of-ephy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868DA-8B64-4164-BA29-477F71CAA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3126</Words>
  <Characters>17819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Mildenhall</dc:creator>
  <cp:keywords/>
  <dc:description/>
  <cp:lastModifiedBy>Victoria Mildenhall</cp:lastModifiedBy>
  <cp:revision>2</cp:revision>
  <cp:lastPrinted>2018-07-25T16:43:00Z</cp:lastPrinted>
  <dcterms:created xsi:type="dcterms:W3CDTF">2018-07-26T20:36:00Z</dcterms:created>
  <dcterms:modified xsi:type="dcterms:W3CDTF">2018-07-26T20:36:00Z</dcterms:modified>
</cp:coreProperties>
</file>