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9AC6C" w14:textId="2E79B335" w:rsidR="00C86EAA" w:rsidRDefault="00A74331" w:rsidP="00C86EAA">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14:anchorId="4EBED9BF" wp14:editId="12FDD24E">
                <wp:simplePos x="0" y="0"/>
                <wp:positionH relativeFrom="column">
                  <wp:posOffset>5143500</wp:posOffset>
                </wp:positionH>
                <wp:positionV relativeFrom="paragraph">
                  <wp:posOffset>-342900</wp:posOffset>
                </wp:positionV>
                <wp:extent cx="1457325" cy="1153160"/>
                <wp:effectExtent l="19050" t="19050" r="9525" b="889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0AB45619" wp14:editId="7B8AA3B0">
                <wp:simplePos x="0" y="0"/>
                <wp:positionH relativeFrom="column">
                  <wp:posOffset>6629400</wp:posOffset>
                </wp:positionH>
                <wp:positionV relativeFrom="paragraph">
                  <wp:posOffset>114300</wp:posOffset>
                </wp:positionV>
                <wp:extent cx="914400" cy="914400"/>
                <wp:effectExtent l="0" t="0" r="635"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633B6EBA" w:rsidR="00C86EAA" w:rsidRPr="00C1361B" w:rsidRDefault="007C5678" w:rsidP="00C86EAA">
            <w:pPr>
              <w:spacing w:before="120" w:after="120"/>
              <w:jc w:val="both"/>
              <w:rPr>
                <w:rFonts w:ascii="Calibri" w:hAnsi="Calibri" w:cs="Arial"/>
                <w:b/>
                <w:sz w:val="22"/>
                <w:szCs w:val="22"/>
              </w:rPr>
            </w:pPr>
            <w:r>
              <w:rPr>
                <w:rFonts w:ascii="Calibri" w:hAnsi="Calibri" w:cs="Arial"/>
                <w:b/>
                <w:sz w:val="22"/>
                <w:szCs w:val="22"/>
              </w:rPr>
              <w:t>Lowri Hopkins</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457BF566" w:rsidR="00C86EAA" w:rsidRPr="00C1361B" w:rsidRDefault="007C5678" w:rsidP="00C86EAA">
            <w:pPr>
              <w:spacing w:before="120" w:after="120"/>
              <w:jc w:val="both"/>
              <w:rPr>
                <w:rFonts w:ascii="Calibri" w:hAnsi="Calibri" w:cs="Arial"/>
                <w:b/>
                <w:sz w:val="22"/>
                <w:szCs w:val="22"/>
              </w:rPr>
            </w:pPr>
            <w:r>
              <w:rPr>
                <w:rFonts w:ascii="Calibri" w:hAnsi="Calibri" w:cs="Arial"/>
                <w:b/>
                <w:sz w:val="22"/>
                <w:szCs w:val="22"/>
              </w:rPr>
              <w:t>1500205</w:t>
            </w: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1B9304AC" w:rsidR="00C86EAA" w:rsidRPr="00C1361B" w:rsidRDefault="00AF513D" w:rsidP="00C86EAA">
            <w:pPr>
              <w:spacing w:before="120" w:after="120"/>
              <w:rPr>
                <w:rFonts w:ascii="Calibri" w:hAnsi="Calibri" w:cs="Arial"/>
                <w:b/>
                <w:sz w:val="22"/>
                <w:szCs w:val="22"/>
              </w:rPr>
            </w:pPr>
            <w:r w:rsidRPr="00AF513D">
              <w:rPr>
                <w:rFonts w:ascii="Calibri" w:hAnsi="Calibri" w:cs="Arial"/>
                <w:b/>
                <w:sz w:val="22"/>
                <w:szCs w:val="22"/>
              </w:rPr>
              <w:t xml:space="preserve">Enterprising and Creative Teaching and Learning / </w:t>
            </w:r>
            <w:proofErr w:type="spellStart"/>
            <w:r w:rsidRPr="00AF513D">
              <w:rPr>
                <w:rFonts w:ascii="Calibri" w:hAnsi="Calibri" w:cs="Arial"/>
                <w:b/>
                <w:sz w:val="22"/>
                <w:szCs w:val="22"/>
              </w:rPr>
              <w:t>ECAD6004C</w:t>
            </w:r>
            <w:proofErr w:type="spellEnd"/>
            <w:r w:rsidRPr="00AF513D">
              <w:rPr>
                <w:rFonts w:ascii="Calibri" w:hAnsi="Calibri" w:cs="Arial"/>
                <w:b/>
                <w:sz w:val="22"/>
                <w:szCs w:val="22"/>
              </w:rPr>
              <w:t xml:space="preserve"> - </w:t>
            </w:r>
            <w:proofErr w:type="spellStart"/>
            <w:r w:rsidRPr="00AF513D">
              <w:rPr>
                <w:rFonts w:ascii="Calibri" w:hAnsi="Calibri" w:cs="Arial"/>
                <w:b/>
                <w:sz w:val="22"/>
                <w:szCs w:val="22"/>
              </w:rPr>
              <w:t>Addysgu</w:t>
            </w:r>
            <w:proofErr w:type="spellEnd"/>
            <w:r w:rsidRPr="00AF513D">
              <w:rPr>
                <w:rFonts w:ascii="Calibri" w:hAnsi="Calibri" w:cs="Arial"/>
                <w:b/>
                <w:sz w:val="22"/>
                <w:szCs w:val="22"/>
              </w:rPr>
              <w:t xml:space="preserve"> a </w:t>
            </w:r>
            <w:proofErr w:type="spellStart"/>
            <w:r w:rsidRPr="00AF513D">
              <w:rPr>
                <w:rFonts w:ascii="Calibri" w:hAnsi="Calibri" w:cs="Arial"/>
                <w:b/>
                <w:sz w:val="22"/>
                <w:szCs w:val="22"/>
              </w:rPr>
              <w:t>Dysgu</w:t>
            </w:r>
            <w:proofErr w:type="spellEnd"/>
            <w:r w:rsidRPr="00AF513D">
              <w:rPr>
                <w:rFonts w:ascii="Calibri" w:hAnsi="Calibri" w:cs="Arial"/>
                <w:b/>
                <w:sz w:val="22"/>
                <w:szCs w:val="22"/>
              </w:rPr>
              <w:t xml:space="preserve"> </w:t>
            </w:r>
            <w:proofErr w:type="spellStart"/>
            <w:r w:rsidRPr="00AF513D">
              <w:rPr>
                <w:rFonts w:ascii="Calibri" w:hAnsi="Calibri" w:cs="Arial"/>
                <w:b/>
                <w:sz w:val="22"/>
                <w:szCs w:val="22"/>
              </w:rPr>
              <w:t>Mentrus</w:t>
            </w:r>
            <w:proofErr w:type="spellEnd"/>
            <w:r w:rsidRPr="00AF513D">
              <w:rPr>
                <w:rFonts w:ascii="Calibri" w:hAnsi="Calibri" w:cs="Arial"/>
                <w:b/>
                <w:sz w:val="22"/>
                <w:szCs w:val="22"/>
              </w:rPr>
              <w:t xml:space="preserve"> a </w:t>
            </w:r>
            <w:proofErr w:type="spellStart"/>
            <w:r w:rsidRPr="00AF513D">
              <w:rPr>
                <w:rFonts w:ascii="Calibri" w:hAnsi="Calibri" w:cs="Arial"/>
                <w:b/>
                <w:sz w:val="22"/>
                <w:szCs w:val="22"/>
              </w:rPr>
              <w:t>Chreadigol</w:t>
            </w:r>
            <w:proofErr w:type="spellEnd"/>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1956" w:type="dxa"/>
          </w:tcPr>
          <w:p w14:paraId="23D3D2CA" w14:textId="16971113" w:rsidR="00C86EAA" w:rsidRPr="00C1361B" w:rsidRDefault="00657F4E" w:rsidP="00C86EAA">
            <w:pPr>
              <w:spacing w:before="120" w:after="120"/>
              <w:jc w:val="both"/>
              <w:rPr>
                <w:rFonts w:ascii="Calibri" w:hAnsi="Calibri" w:cs="Arial"/>
                <w:b/>
                <w:sz w:val="22"/>
                <w:szCs w:val="22"/>
              </w:rPr>
            </w:pPr>
            <w:r>
              <w:rPr>
                <w:rFonts w:ascii="Calibri" w:hAnsi="Calibri" w:cs="Arial"/>
                <w:b/>
                <w:sz w:val="22"/>
                <w:szCs w:val="22"/>
              </w:rPr>
              <w:t>2</w:t>
            </w:r>
            <w:r w:rsidR="00C86EAA">
              <w:rPr>
                <w:rFonts w:ascii="Calibri" w:hAnsi="Calibri" w:cs="Arial"/>
                <w:b/>
                <w:sz w:val="22"/>
                <w:szCs w:val="22"/>
              </w:rPr>
              <w:t xml:space="preserve"> of </w:t>
            </w:r>
            <w:r>
              <w:rPr>
                <w:rFonts w:ascii="Calibri" w:hAnsi="Calibri" w:cs="Arial"/>
                <w:b/>
                <w:sz w:val="22"/>
                <w:szCs w:val="22"/>
              </w:rPr>
              <w:t>2</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3781" w:type="dxa"/>
            <w:shd w:val="clear" w:color="auto" w:fill="auto"/>
          </w:tcPr>
          <w:p w14:paraId="2900CDA7" w14:textId="4CC0A5C2" w:rsidR="00C86EAA" w:rsidRPr="00C1361B" w:rsidRDefault="00AF513D" w:rsidP="00C86EAA">
            <w:pPr>
              <w:spacing w:before="120" w:after="120"/>
              <w:jc w:val="both"/>
              <w:rPr>
                <w:rFonts w:ascii="Calibri" w:hAnsi="Calibri" w:cs="Arial"/>
                <w:b/>
                <w:sz w:val="22"/>
                <w:szCs w:val="22"/>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1956" w:type="dxa"/>
          </w:tcPr>
          <w:p w14:paraId="4F81EB69" w14:textId="7F9154DD" w:rsidR="00C86EAA" w:rsidRPr="00C1361B" w:rsidRDefault="002D2BE8" w:rsidP="00C86EAA">
            <w:pPr>
              <w:spacing w:before="120" w:after="120"/>
              <w:jc w:val="both"/>
              <w:rPr>
                <w:rFonts w:ascii="Calibri" w:hAnsi="Calibri" w:cs="Arial"/>
                <w:b/>
                <w:sz w:val="22"/>
                <w:szCs w:val="22"/>
              </w:rPr>
            </w:pPr>
            <w:r>
              <w:rPr>
                <w:rFonts w:ascii="Calibri" w:hAnsi="Calibri" w:cs="Arial"/>
                <w:b/>
                <w:sz w:val="22"/>
                <w:szCs w:val="22"/>
              </w:rPr>
              <w:t>5/4</w:t>
            </w:r>
            <w:r w:rsidR="00C86EAA">
              <w:rPr>
                <w:rFonts w:ascii="Calibri" w:hAnsi="Calibri" w:cs="Arial"/>
                <w:b/>
                <w:sz w:val="22"/>
                <w:szCs w:val="22"/>
              </w:rPr>
              <w:t>/1</w:t>
            </w:r>
            <w:r w:rsidR="00795393">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8505" w:type="dxa"/>
            <w:gridSpan w:val="3"/>
            <w:shd w:val="clear" w:color="auto" w:fill="auto"/>
          </w:tcPr>
          <w:p w14:paraId="6A30773B" w14:textId="77777777" w:rsidR="0066580A" w:rsidRPr="0066580A" w:rsidRDefault="0066580A" w:rsidP="0066580A">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6A9F6E28" w:rsidR="00C86EAA" w:rsidRPr="008F78C2" w:rsidRDefault="00323562" w:rsidP="00C86EAA">
            <w:pPr>
              <w:pStyle w:val="BodyText2"/>
              <w:rPr>
                <w:rFonts w:ascii="Calibri" w:hAnsi="Calibri" w:cs="Arial"/>
                <w:sz w:val="18"/>
                <w:szCs w:val="18"/>
              </w:rPr>
            </w:pPr>
            <w:r>
              <w:rPr>
                <w:rFonts w:ascii="Calibri" w:hAnsi="Calibri" w:cs="Arial"/>
                <w:sz w:val="18"/>
                <w:szCs w:val="18"/>
              </w:rPr>
              <w:t xml:space="preserve">In the </w:t>
            </w:r>
            <w:r w:rsidR="00DE063C">
              <w:rPr>
                <w:rFonts w:ascii="Calibri" w:hAnsi="Calibri" w:cs="Arial"/>
                <w:sz w:val="18"/>
                <w:szCs w:val="18"/>
              </w:rPr>
              <w:t xml:space="preserve">presentation and summary </w:t>
            </w:r>
            <w:r w:rsidR="00C86EAA"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sidR="00DE063C">
              <w:rPr>
                <w:rFonts w:ascii="Calibri" w:hAnsi="Calibri" w:cs="Arial"/>
                <w:sz w:val="18"/>
                <w:szCs w:val="18"/>
              </w:rPr>
              <w:t>surname of author and initials,</w:t>
            </w:r>
            <w:r w:rsidR="00C86EAA" w:rsidRPr="008F78C2">
              <w:rPr>
                <w:rFonts w:ascii="Calibri" w:hAnsi="Calibri" w:cs="Arial"/>
                <w:sz w:val="18"/>
                <w:szCs w:val="18"/>
              </w:rPr>
              <w:t xml:space="preserve"> year of publication,</w:t>
            </w:r>
            <w:r w:rsidR="00C86EAA">
              <w:rPr>
                <w:rFonts w:ascii="Calibri" w:hAnsi="Calibri" w:cs="Arial"/>
                <w:sz w:val="18"/>
                <w:szCs w:val="18"/>
              </w:rPr>
              <w:t xml:space="preserve"> </w:t>
            </w:r>
            <w:r w:rsidR="00C86EAA" w:rsidRPr="008F78C2">
              <w:rPr>
                <w:rFonts w:ascii="Calibri" w:hAnsi="Calibri" w:cs="Arial"/>
                <w:sz w:val="18"/>
                <w:szCs w:val="18"/>
                <w:u w:val="single"/>
              </w:rPr>
              <w:t>title of book</w:t>
            </w:r>
            <w:r w:rsidR="00C86EAA"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65100F0F" w:rsidR="00C86EAA" w:rsidRPr="00C1361B" w:rsidRDefault="00DE063C" w:rsidP="00C86EAA">
            <w:pPr>
              <w:rPr>
                <w:rFonts w:ascii="Calibri" w:hAnsi="Calibri" w:cs="Arial"/>
                <w:b/>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 xml:space="preserve">Module lead to tick to indicate if a hard copy version of the assignment must be </w:t>
            </w:r>
            <w:proofErr w:type="gramStart"/>
            <w:r w:rsidRPr="00AA29AB">
              <w:rPr>
                <w:rFonts w:ascii="Calibri" w:hAnsi="Calibri" w:cs="Arial"/>
                <w:sz w:val="22"/>
                <w:szCs w:val="22"/>
              </w:rPr>
              <w:t>submitted.*</w:t>
            </w:r>
            <w:proofErr w:type="gramEnd"/>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58C50554" w14:textId="77777777" w:rsidR="00C86EAA" w:rsidRDefault="00C86EAA" w:rsidP="00C86EAA">
      <w:pPr>
        <w:rPr>
          <w:rFonts w:ascii="Calibri" w:hAnsi="Calibri" w:cs="Calibri"/>
          <w:b/>
        </w:rPr>
      </w:pPr>
    </w:p>
    <w:p w14:paraId="12F30629" w14:textId="1803D8B2" w:rsidR="00C86EAA" w:rsidRPr="00C315AF" w:rsidRDefault="00C86EAA" w:rsidP="00C86EAA">
      <w:pPr>
        <w:rPr>
          <w:vanish/>
        </w:rPr>
      </w:pPr>
    </w:p>
    <w:p w14:paraId="10401F06" w14:textId="77777777" w:rsidR="00C86EAA" w:rsidRDefault="00C86EAA" w:rsidP="00C86EAA">
      <w:pPr>
        <w:rPr>
          <w:rFonts w:ascii="Calibri" w:hAnsi="Calibri"/>
          <w:sz w:val="18"/>
          <w:szCs w:val="18"/>
        </w:rPr>
      </w:pPr>
    </w:p>
    <w:p w14:paraId="06F2F1A4" w14:textId="77777777" w:rsidR="00C86EAA" w:rsidRPr="000522A4" w:rsidRDefault="00C86EAA" w:rsidP="00C86EAA">
      <w:pPr>
        <w:jc w:val="both"/>
        <w:rPr>
          <w:sz w:val="2"/>
          <w:szCs w:val="2"/>
        </w:rPr>
      </w:pPr>
    </w:p>
    <w:p w14:paraId="312CC67E" w14:textId="77777777" w:rsidR="00C86EAA" w:rsidRPr="000522A4" w:rsidRDefault="00C86EAA" w:rsidP="00C86EAA">
      <w:pPr>
        <w:jc w:val="both"/>
        <w:rPr>
          <w:sz w:val="2"/>
          <w:szCs w:val="2"/>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47885520" w14:textId="6E34680D" w:rsidR="0045662B" w:rsidRDefault="00C86EAA" w:rsidP="00B24DD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B88A8F1" w14:textId="77777777" w:rsidR="00B24DD5" w:rsidRPr="0045662B" w:rsidRDefault="00B24DD5" w:rsidP="00B24DD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2AB22807" w:rsidR="0045662B" w:rsidRPr="00F61A20" w:rsidRDefault="007C5678" w:rsidP="0045662B">
            <w:pPr>
              <w:rPr>
                <w:rFonts w:ascii="Calibri" w:hAnsi="Calibri"/>
                <w:szCs w:val="32"/>
              </w:rPr>
            </w:pPr>
            <w:r>
              <w:rPr>
                <w:rFonts w:ascii="MS Gothic" w:eastAsia="MS Gothic" w:hAnsi="MS Gothic" w:hint="eastAsia"/>
                <w:szCs w:val="32"/>
              </w:rPr>
              <w:t>☑</w:t>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6145DED8" w:rsidR="0045662B" w:rsidRPr="00F61A20" w:rsidRDefault="007C5678" w:rsidP="0045662B">
            <w:pPr>
              <w:rPr>
                <w:rFonts w:ascii="Calibri" w:hAnsi="Calibri"/>
                <w:szCs w:val="32"/>
              </w:rPr>
            </w:pPr>
            <w:r>
              <w:rPr>
                <w:rFonts w:ascii="MS Gothic" w:eastAsia="MS Gothic" w:hAnsi="MS Gothic" w:hint="eastAsia"/>
                <w:szCs w:val="32"/>
              </w:rPr>
              <w:t>☑</w:t>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4C881578" w:rsidR="0045662B" w:rsidRPr="00F61A20" w:rsidRDefault="007C5678" w:rsidP="0045662B">
            <w:pPr>
              <w:rPr>
                <w:rFonts w:ascii="Calibri" w:hAnsi="Calibri"/>
                <w:szCs w:val="32"/>
              </w:rPr>
            </w:pPr>
            <w:r>
              <w:rPr>
                <w:rFonts w:ascii="MS Gothic" w:eastAsia="MS Gothic" w:hAnsi="MS Gothic" w:hint="eastAsia"/>
                <w:szCs w:val="32"/>
              </w:rPr>
              <w:t>☑</w:t>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40B0245C" w:rsidR="0045662B" w:rsidRPr="00F61A20" w:rsidRDefault="007C5678" w:rsidP="0045662B">
            <w:pPr>
              <w:rPr>
                <w:rFonts w:ascii="Calibri" w:hAnsi="Calibri"/>
                <w:szCs w:val="32"/>
              </w:rPr>
            </w:pPr>
            <w:r>
              <w:rPr>
                <w:rFonts w:ascii="MS Gothic" w:eastAsia="MS Gothic" w:hAnsi="MS Gothic" w:hint="eastAsia"/>
                <w:szCs w:val="32"/>
              </w:rPr>
              <w:t>☑</w:t>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rsidTr="007C5678">
        <w:trPr>
          <w:trHeight w:val="1833"/>
        </w:trPr>
        <w:tc>
          <w:tcPr>
            <w:tcW w:w="5299" w:type="dxa"/>
            <w:tcBorders>
              <w:bottom w:val="single" w:sz="8" w:space="0" w:color="000000"/>
            </w:tcBorders>
          </w:tcPr>
          <w:p w14:paraId="42A043A4" w14:textId="65344606" w:rsidR="00FC593C" w:rsidRPr="00CE0319" w:rsidRDefault="00C95FF0" w:rsidP="00FC593C">
            <w:pPr>
              <w:pStyle w:val="BulletedList"/>
              <w:numPr>
                <w:ilvl w:val="0"/>
                <w:numId w:val="0"/>
              </w:numPr>
              <w:ind w:left="432"/>
              <w:rPr>
                <w:rFonts w:ascii="Calibri" w:hAnsi="Calibri"/>
                <w:sz w:val="20"/>
                <w:szCs w:val="20"/>
              </w:rPr>
            </w:pPr>
            <w:r>
              <w:rPr>
                <w:rFonts w:ascii="Calibri" w:hAnsi="Calibri"/>
                <w:sz w:val="20"/>
                <w:szCs w:val="20"/>
              </w:rPr>
              <w:t xml:space="preserve">I feel that some of my points are very detailed and are backed up well with research. </w:t>
            </w: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FBF479B" w14:textId="2DB909F5" w:rsidR="00FC593C" w:rsidRPr="00CE0319" w:rsidRDefault="00C95FF0" w:rsidP="00FC593C">
            <w:pPr>
              <w:pStyle w:val="BulletedList"/>
              <w:numPr>
                <w:ilvl w:val="0"/>
                <w:numId w:val="0"/>
              </w:numPr>
              <w:rPr>
                <w:rFonts w:ascii="Calibri" w:hAnsi="Calibri"/>
                <w:sz w:val="20"/>
                <w:szCs w:val="20"/>
              </w:rPr>
            </w:pPr>
            <w:r>
              <w:rPr>
                <w:rFonts w:ascii="Calibri" w:hAnsi="Calibri"/>
                <w:sz w:val="20"/>
                <w:szCs w:val="20"/>
              </w:rPr>
              <w:t xml:space="preserve">I didn’t go into much detail with my last point and I could have used more background reading to back up more of my points. My work would have been more consistent if I had done this. </w:t>
            </w:r>
          </w:p>
          <w:p w14:paraId="482AEAE9" w14:textId="77777777" w:rsidR="00FC593C" w:rsidRPr="00CE0319" w:rsidRDefault="00FC593C" w:rsidP="00FC593C">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778772C" w14:textId="3DA987B0" w:rsidR="00FC593C" w:rsidRPr="00CE0319" w:rsidRDefault="007C5678" w:rsidP="00FC593C">
            <w:pPr>
              <w:spacing w:before="120" w:after="120"/>
              <w:jc w:val="both"/>
              <w:rPr>
                <w:rFonts w:ascii="Calibri" w:hAnsi="Calibri" w:cs="Calibri"/>
                <w:b/>
              </w:rPr>
            </w:pPr>
            <w:r>
              <w:rPr>
                <w:rFonts w:ascii="Calibri" w:hAnsi="Calibri" w:cs="Calibri"/>
                <w:b/>
              </w:rPr>
              <w:t>Lowri A Hopkins</w:t>
            </w: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0FAB0044" w:rsidR="00FC593C" w:rsidRPr="00CE0319" w:rsidRDefault="007C5678" w:rsidP="00FC593C">
            <w:pPr>
              <w:spacing w:before="120" w:after="120"/>
              <w:jc w:val="both"/>
              <w:rPr>
                <w:rFonts w:ascii="Calibri" w:hAnsi="Calibri" w:cs="Calibri"/>
                <w:b/>
              </w:rPr>
            </w:pPr>
            <w:r>
              <w:rPr>
                <w:rFonts w:ascii="Calibri" w:hAnsi="Calibri" w:cs="Calibri"/>
                <w:b/>
              </w:rPr>
              <w:t>13/8/18</w:t>
            </w:r>
          </w:p>
        </w:tc>
      </w:tr>
      <w:tr w:rsidR="00FC593C" w:rsidRPr="00971172" w14:paraId="3FFD5E85" w14:textId="77777777">
        <w:trPr>
          <w:trHeight w:val="574"/>
        </w:trPr>
        <w:tc>
          <w:tcPr>
            <w:tcW w:w="2204" w:type="dxa"/>
            <w:tcBorders>
              <w:bottom w:val="single" w:sz="8" w:space="0" w:color="000000"/>
            </w:tcBorders>
            <w:shd w:val="clear" w:color="auto" w:fill="D9D9D9"/>
          </w:tcPr>
          <w:p w14:paraId="5EA5A8C6"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4489809" w14:textId="1A72DEFE" w:rsidR="00FC593C" w:rsidRPr="00CE0319" w:rsidRDefault="00EF32C1" w:rsidP="00FC593C">
            <w:pPr>
              <w:spacing w:before="120" w:after="120"/>
              <w:jc w:val="both"/>
              <w:rPr>
                <w:rFonts w:ascii="Calibri" w:hAnsi="Calibri" w:cs="Calibri"/>
                <w:b/>
              </w:rPr>
            </w:pPr>
            <w:r>
              <w:rPr>
                <w:noProof/>
              </w:rPr>
              <w:drawing>
                <wp:inline distT="0" distB="0" distL="0" distR="0" wp14:anchorId="43E179DC" wp14:editId="3C0CC09E">
                  <wp:extent cx="609600" cy="273685"/>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0"/>
                          <a:srcRect r="1010" b="48235"/>
                          <a:stretch/>
                        </pic:blipFill>
                        <pic:spPr bwMode="auto">
                          <a:xfrm>
                            <a:off x="0" y="0"/>
                            <a:ext cx="609600" cy="273685"/>
                          </a:xfrm>
                          <a:prstGeom prst="rect">
                            <a:avLst/>
                          </a:prstGeom>
                          <a:ln>
                            <a:noFill/>
                          </a:ln>
                          <a:extLst>
                            <a:ext uri="{53640926-AAD7-44D8-BBD7-CCE9431645EC}">
                              <a14:shadowObscured xmlns:a14="http://schemas.microsoft.com/office/drawing/2010/main"/>
                            </a:ext>
                          </a:extLst>
                        </pic:spPr>
                      </pic:pic>
                    </a:graphicData>
                  </a:graphic>
                </wp:inline>
              </w:drawing>
            </w:r>
          </w:p>
        </w:tc>
      </w:tr>
    </w:tbl>
    <w:p w14:paraId="761FF891" w14:textId="77777777" w:rsidR="00C86EAA" w:rsidRPr="0045662B" w:rsidRDefault="00C86EAA" w:rsidP="0045662B">
      <w:pPr>
        <w:rPr>
          <w:rFonts w:ascii="Calibri" w:hAnsi="Calibri"/>
          <w:sz w:val="22"/>
          <w:szCs w:val="22"/>
        </w:rPr>
        <w:sectPr w:rsidR="00C86EAA" w:rsidRPr="0045662B">
          <w:type w:val="continuous"/>
          <w:pgSz w:w="11894" w:h="16834"/>
          <w:pgMar w:top="720" w:right="720" w:bottom="720" w:left="720" w:header="706" w:footer="454" w:gutter="0"/>
          <w:paperSrc w:first="1" w:other="1"/>
          <w:cols w:space="720"/>
          <w:docGrid w:linePitch="272"/>
        </w:sectPr>
      </w:pPr>
    </w:p>
    <w:p w14:paraId="59FBEFD2" w14:textId="5046431E" w:rsidR="003B73BF" w:rsidRDefault="003B73BF" w:rsidP="003B73BF">
      <w:pPr>
        <w:spacing w:line="360" w:lineRule="auto"/>
        <w:rPr>
          <w:rFonts w:ascii="Arial" w:hAnsi="Arial"/>
          <w:szCs w:val="2"/>
        </w:rPr>
      </w:pPr>
    </w:p>
    <w:p w14:paraId="68D63707" w14:textId="7E79C829" w:rsidR="00BF2727" w:rsidRPr="00BF2727" w:rsidRDefault="00BF2727" w:rsidP="009E3391">
      <w:pPr>
        <w:spacing w:before="240" w:line="360" w:lineRule="auto"/>
        <w:rPr>
          <w:rFonts w:ascii="Arial" w:hAnsi="Arial" w:cs="Arial"/>
          <w:szCs w:val="28"/>
        </w:rPr>
      </w:pPr>
      <w:hyperlink r:id="rId11" w:history="1">
        <w:r w:rsidRPr="00997EBF">
          <w:rPr>
            <w:rStyle w:val="Hyperlink"/>
            <w:rFonts w:ascii="Arial" w:hAnsi="Arial" w:cs="Arial"/>
            <w:szCs w:val="28"/>
          </w:rPr>
          <w:t>https://youtu.be/Q</w:t>
        </w:r>
        <w:bookmarkStart w:id="0" w:name="_GoBack"/>
        <w:bookmarkEnd w:id="0"/>
        <w:r w:rsidRPr="00997EBF">
          <w:rPr>
            <w:rStyle w:val="Hyperlink"/>
            <w:rFonts w:ascii="Arial" w:hAnsi="Arial" w:cs="Arial"/>
            <w:szCs w:val="28"/>
          </w:rPr>
          <w:t>T</w:t>
        </w:r>
        <w:r w:rsidRPr="00997EBF">
          <w:rPr>
            <w:rStyle w:val="Hyperlink"/>
            <w:rFonts w:ascii="Arial" w:hAnsi="Arial" w:cs="Arial"/>
            <w:szCs w:val="28"/>
          </w:rPr>
          <w:t>bLx9jfAJY</w:t>
        </w:r>
      </w:hyperlink>
      <w:r>
        <w:rPr>
          <w:rFonts w:ascii="Arial" w:hAnsi="Arial" w:cs="Arial"/>
          <w:szCs w:val="28"/>
        </w:rPr>
        <w:t xml:space="preserve"> </w:t>
      </w:r>
    </w:p>
    <w:p w14:paraId="3FE6D691" w14:textId="503DAB01" w:rsidR="00EF32C1" w:rsidRPr="00B20EB9" w:rsidRDefault="00EF32C1" w:rsidP="009E3391">
      <w:pPr>
        <w:spacing w:before="240" w:line="360" w:lineRule="auto"/>
        <w:rPr>
          <w:rFonts w:ascii="Arial" w:hAnsi="Arial" w:cs="Arial"/>
          <w:b/>
        </w:rPr>
      </w:pPr>
      <w:r w:rsidRPr="00B20EB9">
        <w:rPr>
          <w:rFonts w:ascii="Arial" w:hAnsi="Arial" w:cs="Arial"/>
          <w:b/>
        </w:rPr>
        <w:t>Summary:</w:t>
      </w:r>
    </w:p>
    <w:p w14:paraId="697AA3C2" w14:textId="77777777" w:rsidR="00EF32C1" w:rsidRDefault="00EF32C1" w:rsidP="009E3391">
      <w:pPr>
        <w:pStyle w:val="ListParagraph"/>
        <w:numPr>
          <w:ilvl w:val="0"/>
          <w:numId w:val="10"/>
        </w:numPr>
        <w:spacing w:before="240" w:line="360" w:lineRule="auto"/>
        <w:rPr>
          <w:rFonts w:ascii="Arial" w:hAnsi="Arial" w:cs="Arial"/>
        </w:rPr>
      </w:pPr>
      <w:r w:rsidRPr="00EF32C1">
        <w:rPr>
          <w:rFonts w:ascii="Arial" w:hAnsi="Arial" w:cs="Arial"/>
        </w:rPr>
        <w:t xml:space="preserve">Creativity is an important, yet often overlooked aspect of a child’s education and development. </w:t>
      </w:r>
    </w:p>
    <w:p w14:paraId="2E2187E3" w14:textId="77777777" w:rsidR="00EF32C1" w:rsidRDefault="00EF32C1" w:rsidP="009E3391">
      <w:pPr>
        <w:pStyle w:val="ListParagraph"/>
        <w:numPr>
          <w:ilvl w:val="0"/>
          <w:numId w:val="10"/>
        </w:numPr>
        <w:spacing w:before="240" w:line="360" w:lineRule="auto"/>
        <w:rPr>
          <w:rFonts w:ascii="Arial" w:hAnsi="Arial" w:cs="Arial"/>
        </w:rPr>
      </w:pPr>
      <w:r w:rsidRPr="00EF32C1">
        <w:rPr>
          <w:rFonts w:ascii="Arial" w:hAnsi="Arial" w:cs="Arial"/>
        </w:rPr>
        <w:t xml:space="preserve">Sir Ken Robinson </w:t>
      </w:r>
      <w:r w:rsidRPr="00EF32C1">
        <w:rPr>
          <w:rFonts w:ascii="Arial" w:hAnsi="Arial" w:cs="Arial"/>
        </w:rPr>
        <w:t xml:space="preserve">(2006) </w:t>
      </w:r>
      <w:r w:rsidRPr="00EF32C1">
        <w:rPr>
          <w:rFonts w:ascii="Arial" w:hAnsi="Arial" w:cs="Arial"/>
        </w:rPr>
        <w:t>suggests that ‘we are educating people out of their creative capacities’, and so it is vital that teachers are aware of the importance of creativity and the strategies that can be used to develop it within children.</w:t>
      </w:r>
      <w:r w:rsidRPr="00EF32C1">
        <w:rPr>
          <w:rFonts w:ascii="Arial" w:hAnsi="Arial" w:cs="Arial"/>
        </w:rPr>
        <w:t xml:space="preserve"> </w:t>
      </w:r>
    </w:p>
    <w:p w14:paraId="4C143870" w14:textId="5766E5DB" w:rsidR="00EF32C1" w:rsidRPr="00EF32C1" w:rsidRDefault="00EF32C1" w:rsidP="009E3391">
      <w:pPr>
        <w:pStyle w:val="ListParagraph"/>
        <w:numPr>
          <w:ilvl w:val="0"/>
          <w:numId w:val="10"/>
        </w:numPr>
        <w:spacing w:before="240" w:line="360" w:lineRule="auto"/>
        <w:rPr>
          <w:rFonts w:ascii="Arial" w:hAnsi="Arial" w:cs="Arial"/>
        </w:rPr>
      </w:pPr>
      <w:r w:rsidRPr="00EF32C1">
        <w:rPr>
          <w:rFonts w:ascii="Arial" w:hAnsi="Arial" w:cs="Arial"/>
        </w:rPr>
        <w:t xml:space="preserve">There are many different definitions, but </w:t>
      </w:r>
      <w:r w:rsidRPr="00EF32C1">
        <w:rPr>
          <w:rFonts w:ascii="Arial" w:hAnsi="Arial" w:cs="Arial"/>
        </w:rPr>
        <w:t xml:space="preserve">for the purpose of this video, a definition taken from the Arts Council of Wales </w:t>
      </w:r>
      <w:r w:rsidRPr="00EF32C1">
        <w:rPr>
          <w:rFonts w:ascii="Arial" w:hAnsi="Arial" w:cs="Arial"/>
        </w:rPr>
        <w:t xml:space="preserve">(2015) </w:t>
      </w:r>
      <w:r w:rsidRPr="00EF32C1">
        <w:rPr>
          <w:rFonts w:ascii="Arial" w:hAnsi="Arial" w:cs="Arial"/>
        </w:rPr>
        <w:t>will be used. They suggest that creativity develops a young person’s ability to question and make connections, and to grow in their capacity for independent, critical thought.</w:t>
      </w:r>
    </w:p>
    <w:p w14:paraId="218CECF5" w14:textId="049CD859" w:rsidR="00EF32C1" w:rsidRPr="009E3391" w:rsidRDefault="00EF32C1" w:rsidP="009E3391">
      <w:pPr>
        <w:pStyle w:val="ListParagraph"/>
        <w:numPr>
          <w:ilvl w:val="0"/>
          <w:numId w:val="10"/>
        </w:numPr>
        <w:spacing w:before="240" w:line="360" w:lineRule="auto"/>
        <w:rPr>
          <w:rFonts w:ascii="Arial" w:hAnsi="Arial" w:cs="Arial"/>
        </w:rPr>
      </w:pPr>
      <w:r w:rsidRPr="00EF32C1">
        <w:rPr>
          <w:rFonts w:ascii="Arial" w:hAnsi="Arial" w:cs="Arial"/>
        </w:rPr>
        <w:t xml:space="preserve">Grigg (2015) suggest creativity can give children essential skills and </w:t>
      </w:r>
      <w:r w:rsidRPr="009E3391">
        <w:rPr>
          <w:rFonts w:ascii="Arial" w:hAnsi="Arial" w:cs="Arial"/>
        </w:rPr>
        <w:t xml:space="preserve">attributes (ability to solve problems, perseverance). </w:t>
      </w:r>
    </w:p>
    <w:p w14:paraId="10248016" w14:textId="7D198513" w:rsidR="009E3391" w:rsidRDefault="009E3391" w:rsidP="009E3391">
      <w:pPr>
        <w:pStyle w:val="ListParagraph"/>
        <w:numPr>
          <w:ilvl w:val="0"/>
          <w:numId w:val="10"/>
        </w:numPr>
        <w:spacing w:before="240" w:line="360" w:lineRule="auto"/>
        <w:rPr>
          <w:rFonts w:ascii="Arial" w:hAnsi="Arial" w:cs="Arial"/>
        </w:rPr>
      </w:pPr>
      <w:r w:rsidRPr="009E3391">
        <w:rPr>
          <w:rFonts w:ascii="Arial" w:hAnsi="Arial" w:cs="Arial"/>
        </w:rPr>
        <w:t xml:space="preserve">Mackinnon </w:t>
      </w:r>
      <w:r w:rsidRPr="009E3391">
        <w:rPr>
          <w:rFonts w:ascii="Arial" w:hAnsi="Arial" w:cs="Arial"/>
        </w:rPr>
        <w:t xml:space="preserve">(2009) </w:t>
      </w:r>
      <w:r w:rsidRPr="009E3391">
        <w:rPr>
          <w:rFonts w:ascii="Arial" w:hAnsi="Arial" w:cs="Arial"/>
        </w:rPr>
        <w:t>and the National Advisory Committee on Creative and Cultural Education</w:t>
      </w:r>
      <w:r w:rsidRPr="009E3391">
        <w:rPr>
          <w:rFonts w:ascii="Arial" w:hAnsi="Arial" w:cs="Arial"/>
        </w:rPr>
        <w:t xml:space="preserve"> (1999)</w:t>
      </w:r>
      <w:r w:rsidRPr="009E3391">
        <w:rPr>
          <w:rFonts w:ascii="Arial" w:hAnsi="Arial" w:cs="Arial"/>
        </w:rPr>
        <w:t xml:space="preserve"> both suggest that creativity requires a degree of </w:t>
      </w:r>
      <w:proofErr w:type="gramStart"/>
      <w:r w:rsidRPr="009E3391">
        <w:rPr>
          <w:rFonts w:ascii="Arial" w:hAnsi="Arial" w:cs="Arial"/>
        </w:rPr>
        <w:t>originality, and</w:t>
      </w:r>
      <w:proofErr w:type="gramEnd"/>
      <w:r w:rsidRPr="009E3391">
        <w:rPr>
          <w:rFonts w:ascii="Arial" w:hAnsi="Arial" w:cs="Arial"/>
        </w:rPr>
        <w:t xml:space="preserve"> implies that there should be an activity or an </w:t>
      </w:r>
      <w:r>
        <w:rPr>
          <w:rFonts w:ascii="Arial" w:hAnsi="Arial" w:cs="Arial"/>
        </w:rPr>
        <w:t xml:space="preserve">outcome to that creativity. </w:t>
      </w:r>
    </w:p>
    <w:p w14:paraId="57132070" w14:textId="45AA419E" w:rsidR="009E3391" w:rsidRDefault="009E3391" w:rsidP="009E3391">
      <w:pPr>
        <w:pStyle w:val="ListParagraph"/>
        <w:numPr>
          <w:ilvl w:val="0"/>
          <w:numId w:val="10"/>
        </w:numPr>
        <w:spacing w:before="240" w:line="360" w:lineRule="auto"/>
        <w:rPr>
          <w:rFonts w:ascii="Arial" w:hAnsi="Arial" w:cs="Arial"/>
        </w:rPr>
      </w:pPr>
      <w:r>
        <w:rPr>
          <w:rFonts w:ascii="Arial" w:hAnsi="Arial" w:cs="Arial"/>
        </w:rPr>
        <w:t xml:space="preserve">From </w:t>
      </w:r>
      <w:r w:rsidRPr="009E3391">
        <w:rPr>
          <w:rFonts w:ascii="Arial" w:hAnsi="Arial" w:cs="Arial"/>
        </w:rPr>
        <w:t xml:space="preserve">research, </w:t>
      </w:r>
      <w:r w:rsidRPr="009E3391">
        <w:rPr>
          <w:rFonts w:ascii="Arial" w:hAnsi="Arial" w:cs="Arial"/>
        </w:rPr>
        <w:t>it is clear to see why one of Professor Graham Donaldson’s purposes for the curriculum is for ‘all children to be enterprising, creative contributors who are ready to play a full part in life and work’.</w:t>
      </w:r>
    </w:p>
    <w:p w14:paraId="2FA42FED" w14:textId="780DAD0F" w:rsidR="009E3391" w:rsidRPr="009E3391" w:rsidRDefault="009E3391" w:rsidP="009E3391">
      <w:pPr>
        <w:pStyle w:val="ListParagraph"/>
        <w:numPr>
          <w:ilvl w:val="0"/>
          <w:numId w:val="10"/>
        </w:numPr>
        <w:spacing w:before="240" w:line="360" w:lineRule="auto"/>
        <w:rPr>
          <w:rFonts w:ascii="Arial" w:hAnsi="Arial" w:cs="Arial"/>
        </w:rPr>
      </w:pPr>
      <w:r w:rsidRPr="009E3391">
        <w:rPr>
          <w:rFonts w:ascii="Arial" w:hAnsi="Arial" w:cs="Arial"/>
        </w:rPr>
        <w:t>A contributing factor to the development of children’s creativity is the environment in which they learn.</w:t>
      </w:r>
    </w:p>
    <w:p w14:paraId="3FB512E2" w14:textId="58F968F0" w:rsidR="009E3391" w:rsidRPr="009E3391" w:rsidRDefault="009E3391" w:rsidP="009E3391">
      <w:pPr>
        <w:pStyle w:val="ListParagraph"/>
        <w:numPr>
          <w:ilvl w:val="0"/>
          <w:numId w:val="10"/>
        </w:numPr>
        <w:spacing w:before="240" w:line="360" w:lineRule="auto"/>
        <w:rPr>
          <w:rFonts w:ascii="Arial" w:hAnsi="Arial" w:cs="Arial"/>
        </w:rPr>
      </w:pPr>
      <w:r w:rsidRPr="009E3391">
        <w:rPr>
          <w:rFonts w:ascii="Arial" w:hAnsi="Arial" w:cs="Arial"/>
        </w:rPr>
        <w:t>The environment, or habitat is discussed by Tina Seelig in her Innovation Engine Model.</w:t>
      </w:r>
      <w:r w:rsidRPr="009E3391">
        <w:rPr>
          <w:rFonts w:ascii="Arial" w:hAnsi="Arial" w:cs="Arial"/>
        </w:rPr>
        <w:t xml:space="preserve"> </w:t>
      </w:r>
      <w:r w:rsidRPr="009E3391">
        <w:rPr>
          <w:rFonts w:ascii="Arial" w:hAnsi="Arial" w:cs="Arial"/>
        </w:rPr>
        <w:t>The habitats we build are the external manifestation of our imagination, and so the two closely link. In order to make a habitat or an environment, it must first be thought of or imagined, and so the two go hand in hand.</w:t>
      </w:r>
    </w:p>
    <w:p w14:paraId="733BB127" w14:textId="40A69207" w:rsidR="009E3391" w:rsidRDefault="009E3391" w:rsidP="009E3391">
      <w:pPr>
        <w:pStyle w:val="ListParagraph"/>
        <w:numPr>
          <w:ilvl w:val="0"/>
          <w:numId w:val="10"/>
        </w:numPr>
        <w:spacing w:before="240" w:line="360" w:lineRule="auto"/>
        <w:rPr>
          <w:rFonts w:ascii="Arial" w:hAnsi="Arial" w:cs="Arial"/>
        </w:rPr>
      </w:pPr>
      <w:r w:rsidRPr="009E3391">
        <w:rPr>
          <w:rFonts w:ascii="Arial" w:hAnsi="Arial" w:cs="Arial"/>
        </w:rPr>
        <w:t>Similarly, Maslow’s hierarchy of needs demonstrates the importance of environment for creativity</w:t>
      </w:r>
      <w:r>
        <w:rPr>
          <w:rFonts w:ascii="Arial" w:hAnsi="Arial" w:cs="Arial"/>
        </w:rPr>
        <w:t>.</w:t>
      </w:r>
    </w:p>
    <w:p w14:paraId="513CF33B" w14:textId="1AF6642E" w:rsidR="009E3391" w:rsidRDefault="009E3391" w:rsidP="009E3391">
      <w:pPr>
        <w:pStyle w:val="ListParagraph"/>
        <w:numPr>
          <w:ilvl w:val="0"/>
          <w:numId w:val="10"/>
        </w:numPr>
        <w:spacing w:before="240" w:line="360" w:lineRule="auto"/>
        <w:rPr>
          <w:rFonts w:ascii="Arial" w:hAnsi="Arial" w:cs="Arial"/>
        </w:rPr>
      </w:pPr>
      <w:r>
        <w:rPr>
          <w:rFonts w:ascii="Arial" w:hAnsi="Arial" w:cs="Arial"/>
        </w:rPr>
        <w:lastRenderedPageBreak/>
        <w:t xml:space="preserve">Classroom setup, resources, displays, objects should all challenge and stimulate learners and have a purpose and develop creativity. Learning should not be confined (resources or classroom). </w:t>
      </w:r>
    </w:p>
    <w:p w14:paraId="796DFB52" w14:textId="6D21E3A9" w:rsidR="009E3391" w:rsidRDefault="009E3391" w:rsidP="009E3391">
      <w:pPr>
        <w:pStyle w:val="ListParagraph"/>
        <w:numPr>
          <w:ilvl w:val="0"/>
          <w:numId w:val="10"/>
        </w:numPr>
        <w:spacing w:before="240" w:line="360" w:lineRule="auto"/>
        <w:rPr>
          <w:rFonts w:ascii="Arial" w:hAnsi="Arial" w:cs="Arial"/>
        </w:rPr>
      </w:pPr>
      <w:r>
        <w:rPr>
          <w:rFonts w:ascii="Arial" w:hAnsi="Arial" w:cs="Arial"/>
        </w:rPr>
        <w:t xml:space="preserve">The teacher’s role is to create the creative learning environment and they should collaborate with others or research if they are not confident to do this. </w:t>
      </w:r>
    </w:p>
    <w:p w14:paraId="6558CDD8" w14:textId="66B327D4" w:rsidR="009E3391" w:rsidRDefault="009E3391" w:rsidP="009E3391">
      <w:pPr>
        <w:pStyle w:val="ListParagraph"/>
        <w:numPr>
          <w:ilvl w:val="0"/>
          <w:numId w:val="10"/>
        </w:numPr>
        <w:spacing w:before="240" w:line="360" w:lineRule="auto"/>
        <w:rPr>
          <w:rFonts w:ascii="Arial" w:hAnsi="Arial" w:cs="Arial"/>
        </w:rPr>
      </w:pPr>
      <w:r>
        <w:rPr>
          <w:rFonts w:ascii="Arial" w:hAnsi="Arial" w:cs="Arial"/>
        </w:rPr>
        <w:t xml:space="preserve">Collaboration is important. Teachers could give children problems or scenarios in groups to solve. The teacher could designate roles and must teach skills before big tasks like this. </w:t>
      </w:r>
    </w:p>
    <w:p w14:paraId="020BD70C" w14:textId="1EFADDFC" w:rsidR="009E3391" w:rsidRPr="009E3391" w:rsidRDefault="009E3391" w:rsidP="009E3391">
      <w:pPr>
        <w:pStyle w:val="ListParagraph"/>
        <w:numPr>
          <w:ilvl w:val="0"/>
          <w:numId w:val="10"/>
        </w:numPr>
        <w:spacing w:before="240" w:line="360" w:lineRule="auto"/>
        <w:rPr>
          <w:rFonts w:ascii="Arial" w:hAnsi="Arial" w:cs="Arial"/>
        </w:rPr>
      </w:pPr>
      <w:r>
        <w:rPr>
          <w:rFonts w:ascii="Arial" w:hAnsi="Arial" w:cs="Arial"/>
        </w:rPr>
        <w:t xml:space="preserve">There are many barriers, such as testing, not differing from lesson plans, work expectations the same for all pupils. To overcome </w:t>
      </w:r>
      <w:proofErr w:type="gramStart"/>
      <w:r>
        <w:rPr>
          <w:rFonts w:ascii="Arial" w:hAnsi="Arial" w:cs="Arial"/>
        </w:rPr>
        <w:t>this teachers</w:t>
      </w:r>
      <w:proofErr w:type="gramEnd"/>
      <w:r>
        <w:rPr>
          <w:rFonts w:ascii="Arial" w:hAnsi="Arial" w:cs="Arial"/>
        </w:rPr>
        <w:t xml:space="preserve"> should be more open and willing to let children be independent and make choices. </w:t>
      </w:r>
    </w:p>
    <w:p w14:paraId="781990EB" w14:textId="40CE2EED" w:rsidR="00EF32C1" w:rsidRPr="00EF32C1" w:rsidRDefault="00EF32C1" w:rsidP="009E3391">
      <w:pPr>
        <w:spacing w:before="240" w:line="360" w:lineRule="auto"/>
        <w:rPr>
          <w:rFonts w:ascii="Arial" w:hAnsi="Arial" w:cs="Arial"/>
        </w:rPr>
      </w:pPr>
    </w:p>
    <w:p w14:paraId="40EB1CA1" w14:textId="4827B7DD" w:rsidR="00EF32C1" w:rsidRDefault="00EF32C1" w:rsidP="009E3391">
      <w:pPr>
        <w:spacing w:before="240" w:line="360" w:lineRule="auto"/>
        <w:rPr>
          <w:rFonts w:ascii="Arial" w:hAnsi="Arial" w:cs="Arial"/>
        </w:rPr>
      </w:pPr>
    </w:p>
    <w:p w14:paraId="36C581A9" w14:textId="520C0B35" w:rsidR="009E3391" w:rsidRDefault="009E3391" w:rsidP="009E3391">
      <w:pPr>
        <w:spacing w:before="240" w:line="360" w:lineRule="auto"/>
        <w:rPr>
          <w:rFonts w:ascii="Arial" w:hAnsi="Arial" w:cs="Arial"/>
        </w:rPr>
      </w:pPr>
    </w:p>
    <w:p w14:paraId="3316CFCA" w14:textId="0D2E4291" w:rsidR="009E3391" w:rsidRDefault="009E3391" w:rsidP="009E3391">
      <w:pPr>
        <w:spacing w:before="240" w:line="360" w:lineRule="auto"/>
        <w:rPr>
          <w:rFonts w:ascii="Arial" w:hAnsi="Arial" w:cs="Arial"/>
        </w:rPr>
      </w:pPr>
    </w:p>
    <w:p w14:paraId="42BC6168" w14:textId="4FF1BD7A" w:rsidR="009E3391" w:rsidRDefault="009E3391" w:rsidP="009E3391">
      <w:pPr>
        <w:spacing w:before="240" w:line="360" w:lineRule="auto"/>
        <w:rPr>
          <w:rFonts w:ascii="Arial" w:hAnsi="Arial" w:cs="Arial"/>
        </w:rPr>
      </w:pPr>
    </w:p>
    <w:p w14:paraId="07FEE457" w14:textId="588A8A1D" w:rsidR="009E3391" w:rsidRDefault="009E3391" w:rsidP="009E3391">
      <w:pPr>
        <w:spacing w:before="240" w:line="360" w:lineRule="auto"/>
        <w:rPr>
          <w:rFonts w:ascii="Arial" w:hAnsi="Arial" w:cs="Arial"/>
        </w:rPr>
      </w:pPr>
    </w:p>
    <w:p w14:paraId="55E15054" w14:textId="3FD37F88" w:rsidR="009E3391" w:rsidRDefault="009E3391" w:rsidP="009E3391">
      <w:pPr>
        <w:spacing w:before="240" w:line="360" w:lineRule="auto"/>
        <w:rPr>
          <w:rFonts w:ascii="Arial" w:hAnsi="Arial" w:cs="Arial"/>
        </w:rPr>
      </w:pPr>
    </w:p>
    <w:p w14:paraId="2FD05628" w14:textId="6685F686" w:rsidR="009E3391" w:rsidRDefault="009E3391" w:rsidP="009E3391">
      <w:pPr>
        <w:spacing w:before="240" w:line="360" w:lineRule="auto"/>
        <w:rPr>
          <w:rFonts w:ascii="Arial" w:hAnsi="Arial" w:cs="Arial"/>
        </w:rPr>
      </w:pPr>
    </w:p>
    <w:p w14:paraId="3C4F6326" w14:textId="4C9B74EE" w:rsidR="009E3391" w:rsidRDefault="009E3391" w:rsidP="009E3391">
      <w:pPr>
        <w:spacing w:before="240" w:line="360" w:lineRule="auto"/>
        <w:rPr>
          <w:rFonts w:ascii="Arial" w:hAnsi="Arial" w:cs="Arial"/>
        </w:rPr>
      </w:pPr>
    </w:p>
    <w:p w14:paraId="02E1BD49" w14:textId="29273F6F" w:rsidR="009E3391" w:rsidRDefault="009E3391" w:rsidP="009E3391">
      <w:pPr>
        <w:spacing w:before="240" w:line="360" w:lineRule="auto"/>
        <w:rPr>
          <w:rFonts w:ascii="Arial" w:hAnsi="Arial" w:cs="Arial"/>
        </w:rPr>
      </w:pPr>
    </w:p>
    <w:p w14:paraId="61B95BB8" w14:textId="1F007CE2" w:rsidR="009E3391" w:rsidRDefault="009E3391" w:rsidP="009E3391">
      <w:pPr>
        <w:spacing w:before="240" w:line="360" w:lineRule="auto"/>
        <w:rPr>
          <w:rFonts w:ascii="Arial" w:hAnsi="Arial" w:cs="Arial"/>
        </w:rPr>
      </w:pPr>
    </w:p>
    <w:p w14:paraId="70C3B82D" w14:textId="1F7D7A87" w:rsidR="009E3391" w:rsidRDefault="009E3391" w:rsidP="009E3391">
      <w:pPr>
        <w:spacing w:before="240" w:line="360" w:lineRule="auto"/>
        <w:rPr>
          <w:rFonts w:ascii="Arial" w:hAnsi="Arial" w:cs="Arial"/>
        </w:rPr>
      </w:pPr>
    </w:p>
    <w:p w14:paraId="603F9269" w14:textId="2140F9E7" w:rsidR="009E3391" w:rsidRDefault="009E3391" w:rsidP="009E3391">
      <w:pPr>
        <w:spacing w:before="240" w:line="360" w:lineRule="auto"/>
        <w:rPr>
          <w:rFonts w:ascii="Arial" w:hAnsi="Arial" w:cs="Arial"/>
        </w:rPr>
      </w:pPr>
    </w:p>
    <w:p w14:paraId="54BFD528" w14:textId="77777777" w:rsidR="009E3391" w:rsidRPr="00EF32C1" w:rsidRDefault="009E3391" w:rsidP="009E3391">
      <w:pPr>
        <w:spacing w:before="240" w:line="360" w:lineRule="auto"/>
        <w:rPr>
          <w:rFonts w:ascii="Arial" w:hAnsi="Arial" w:cs="Arial"/>
        </w:rPr>
      </w:pPr>
    </w:p>
    <w:p w14:paraId="64175FA0" w14:textId="6FBC76CE" w:rsidR="00EF32C1" w:rsidRPr="00EF32C1" w:rsidRDefault="00EF32C1" w:rsidP="009E3391">
      <w:pPr>
        <w:spacing w:before="240" w:line="360" w:lineRule="auto"/>
        <w:rPr>
          <w:rFonts w:ascii="Arial" w:hAnsi="Arial" w:cs="Arial"/>
        </w:rPr>
      </w:pPr>
    </w:p>
    <w:p w14:paraId="6517FB6A" w14:textId="77777777" w:rsidR="00EF32C1" w:rsidRPr="00B20EB9" w:rsidRDefault="00EF32C1" w:rsidP="009E3391">
      <w:pPr>
        <w:spacing w:before="240" w:line="360" w:lineRule="auto"/>
        <w:rPr>
          <w:rFonts w:ascii="Arial" w:hAnsi="Arial" w:cs="Arial"/>
          <w:b/>
        </w:rPr>
      </w:pPr>
      <w:r w:rsidRPr="00B20EB9">
        <w:rPr>
          <w:rFonts w:ascii="Arial" w:hAnsi="Arial" w:cs="Arial"/>
          <w:b/>
        </w:rPr>
        <w:t>References:</w:t>
      </w:r>
    </w:p>
    <w:p w14:paraId="6414EC78" w14:textId="77777777" w:rsidR="00EF32C1" w:rsidRPr="00EF32C1" w:rsidRDefault="00EF32C1" w:rsidP="009E3391">
      <w:pPr>
        <w:spacing w:before="240" w:line="360" w:lineRule="auto"/>
        <w:rPr>
          <w:rFonts w:ascii="Arial" w:hAnsi="Arial" w:cs="Arial"/>
        </w:rPr>
      </w:pPr>
      <w:r w:rsidRPr="00EF32C1">
        <w:rPr>
          <w:rFonts w:ascii="Arial" w:hAnsi="Arial" w:cs="Arial"/>
        </w:rPr>
        <w:t xml:space="preserve">Arts Council of Wales (2015) </w:t>
      </w:r>
      <w:r w:rsidRPr="00EF32C1">
        <w:rPr>
          <w:rFonts w:ascii="Arial" w:hAnsi="Arial" w:cs="Arial"/>
          <w:i/>
        </w:rPr>
        <w:t>Lead Creative Schools Scheme Handbook.</w:t>
      </w:r>
      <w:r w:rsidRPr="00EF32C1">
        <w:rPr>
          <w:rFonts w:ascii="Arial" w:hAnsi="Arial" w:cs="Arial"/>
        </w:rPr>
        <w:t xml:space="preserve"> Cardiff: WG.</w:t>
      </w:r>
    </w:p>
    <w:p w14:paraId="11C0A511" w14:textId="77777777" w:rsidR="00EF32C1" w:rsidRPr="00EF32C1" w:rsidRDefault="00EF32C1" w:rsidP="009E3391">
      <w:pPr>
        <w:spacing w:before="240" w:line="360" w:lineRule="auto"/>
        <w:rPr>
          <w:rFonts w:ascii="Arial" w:hAnsi="Arial" w:cs="Arial"/>
        </w:rPr>
      </w:pPr>
      <w:proofErr w:type="spellStart"/>
      <w:r w:rsidRPr="00EF32C1">
        <w:rPr>
          <w:rFonts w:ascii="Arial" w:hAnsi="Arial" w:cs="Arial"/>
        </w:rPr>
        <w:t>Beghetto</w:t>
      </w:r>
      <w:proofErr w:type="spellEnd"/>
      <w:r w:rsidRPr="00EF32C1">
        <w:rPr>
          <w:rFonts w:ascii="Arial" w:hAnsi="Arial" w:cs="Arial"/>
        </w:rPr>
        <w:t>, R. and Kaufman, J. (2010). </w:t>
      </w:r>
      <w:r w:rsidRPr="00EF32C1">
        <w:rPr>
          <w:rFonts w:ascii="Arial" w:hAnsi="Arial" w:cs="Arial"/>
          <w:i/>
          <w:iCs/>
        </w:rPr>
        <w:t>Nurturing Creativity in the Classroom</w:t>
      </w:r>
      <w:r w:rsidRPr="00EF32C1">
        <w:rPr>
          <w:rFonts w:ascii="Arial" w:hAnsi="Arial" w:cs="Arial"/>
        </w:rPr>
        <w:t>. New York: Cambridge University Press.</w:t>
      </w:r>
    </w:p>
    <w:p w14:paraId="26893F1D" w14:textId="77777777" w:rsidR="00EF32C1" w:rsidRPr="00EF32C1" w:rsidRDefault="00EF32C1" w:rsidP="009E3391">
      <w:pPr>
        <w:spacing w:before="240" w:line="360" w:lineRule="auto"/>
        <w:rPr>
          <w:rFonts w:ascii="Arial" w:hAnsi="Arial" w:cs="Arial"/>
        </w:rPr>
      </w:pPr>
      <w:r w:rsidRPr="00EF32C1">
        <w:rPr>
          <w:rFonts w:ascii="Arial" w:hAnsi="Arial" w:cs="Arial"/>
        </w:rPr>
        <w:t>Desailly, J. (2012). </w:t>
      </w:r>
      <w:r w:rsidRPr="00EF32C1">
        <w:rPr>
          <w:rFonts w:ascii="Arial" w:hAnsi="Arial" w:cs="Arial"/>
          <w:i/>
          <w:iCs/>
        </w:rPr>
        <w:t>Creativity in the primary classroom</w:t>
      </w:r>
      <w:r w:rsidRPr="00EF32C1">
        <w:rPr>
          <w:rFonts w:ascii="Arial" w:hAnsi="Arial" w:cs="Arial"/>
        </w:rPr>
        <w:t>. Los Angeles: Sage Publications.</w:t>
      </w:r>
    </w:p>
    <w:p w14:paraId="7A470F60" w14:textId="77777777" w:rsidR="00EF32C1" w:rsidRPr="00EF32C1" w:rsidRDefault="00EF32C1" w:rsidP="009E3391">
      <w:pPr>
        <w:spacing w:before="240" w:line="360" w:lineRule="auto"/>
        <w:rPr>
          <w:rFonts w:ascii="Arial" w:hAnsi="Arial" w:cs="Arial"/>
        </w:rPr>
      </w:pPr>
      <w:r w:rsidRPr="00EF32C1">
        <w:rPr>
          <w:rFonts w:ascii="Arial" w:hAnsi="Arial" w:cs="Arial"/>
          <w:lang w:val="en-US"/>
        </w:rPr>
        <w:t xml:space="preserve">Donaldson, G (2015) </w:t>
      </w:r>
      <w:r w:rsidRPr="00EF32C1">
        <w:rPr>
          <w:rFonts w:ascii="Arial" w:hAnsi="Arial" w:cs="Arial"/>
          <w:i/>
          <w:iCs/>
          <w:lang w:val="en-US"/>
        </w:rPr>
        <w:t>Successful Futures</w:t>
      </w:r>
      <w:r w:rsidRPr="00EF32C1">
        <w:rPr>
          <w:rFonts w:ascii="Arial" w:hAnsi="Arial" w:cs="Arial"/>
          <w:lang w:val="en-US"/>
        </w:rPr>
        <w:t>. Cardiff: WAG</w:t>
      </w:r>
      <w:r w:rsidRPr="00EF32C1">
        <w:rPr>
          <w:rFonts w:ascii="Arial" w:hAnsi="Arial" w:cs="Arial"/>
        </w:rPr>
        <w:t>.</w:t>
      </w:r>
    </w:p>
    <w:p w14:paraId="1325DFE5" w14:textId="77777777" w:rsidR="00EF32C1" w:rsidRPr="00EF32C1" w:rsidRDefault="00EF32C1" w:rsidP="009E3391">
      <w:pPr>
        <w:spacing w:before="240" w:line="360" w:lineRule="auto"/>
        <w:rPr>
          <w:rFonts w:ascii="Arial" w:hAnsi="Arial" w:cs="Arial"/>
        </w:rPr>
      </w:pPr>
      <w:r w:rsidRPr="00EF32C1">
        <w:rPr>
          <w:rFonts w:ascii="Arial" w:hAnsi="Arial" w:cs="Arial"/>
        </w:rPr>
        <w:t xml:space="preserve">Grigg, R. (2015). </w:t>
      </w:r>
      <w:r w:rsidRPr="00EF32C1">
        <w:rPr>
          <w:rFonts w:ascii="Arial" w:hAnsi="Arial" w:cs="Arial"/>
          <w:i/>
          <w:iCs/>
        </w:rPr>
        <w:t>Becoming an outstanding primary school teacher</w:t>
      </w:r>
      <w:r w:rsidRPr="00EF32C1">
        <w:rPr>
          <w:rFonts w:ascii="Arial" w:hAnsi="Arial" w:cs="Arial"/>
        </w:rPr>
        <w:t>. 2nd ed. Oxon: Routledge.</w:t>
      </w:r>
    </w:p>
    <w:p w14:paraId="2F0B1E26" w14:textId="77777777" w:rsidR="00EF32C1" w:rsidRPr="00EF32C1" w:rsidRDefault="00EF32C1" w:rsidP="009E3391">
      <w:pPr>
        <w:spacing w:before="240" w:line="360" w:lineRule="auto"/>
        <w:rPr>
          <w:rFonts w:ascii="Arial" w:hAnsi="Arial" w:cs="Arial"/>
        </w:rPr>
      </w:pPr>
      <w:r w:rsidRPr="00EF32C1">
        <w:rPr>
          <w:rFonts w:ascii="Arial" w:hAnsi="Arial" w:cs="Arial"/>
        </w:rPr>
        <w:t>Mackinnon, D. (2009) ‘</w:t>
      </w:r>
      <w:proofErr w:type="spellStart"/>
      <w:r w:rsidRPr="00EF32C1">
        <w:rPr>
          <w:rFonts w:ascii="Arial" w:hAnsi="Arial" w:cs="Arial"/>
        </w:rPr>
        <w:t>IPAR's</w:t>
      </w:r>
      <w:proofErr w:type="spellEnd"/>
      <w:r w:rsidRPr="00EF32C1">
        <w:rPr>
          <w:rFonts w:ascii="Arial" w:hAnsi="Arial" w:cs="Arial"/>
        </w:rPr>
        <w:t xml:space="preserve"> Contribution to the Study of Creativity’ in Taylor, </w:t>
      </w:r>
      <w:proofErr w:type="spellStart"/>
      <w:r w:rsidRPr="00EF32C1">
        <w:rPr>
          <w:rFonts w:ascii="Arial" w:hAnsi="Arial" w:cs="Arial"/>
        </w:rPr>
        <w:t>I.A</w:t>
      </w:r>
      <w:proofErr w:type="spellEnd"/>
      <w:r w:rsidRPr="00EF32C1">
        <w:rPr>
          <w:rFonts w:ascii="Arial" w:hAnsi="Arial" w:cs="Arial"/>
        </w:rPr>
        <w:t xml:space="preserve">. and </w:t>
      </w:r>
      <w:proofErr w:type="spellStart"/>
      <w:r w:rsidRPr="00EF32C1">
        <w:rPr>
          <w:rFonts w:ascii="Arial" w:hAnsi="Arial" w:cs="Arial"/>
        </w:rPr>
        <w:t>Getzels</w:t>
      </w:r>
      <w:proofErr w:type="spellEnd"/>
      <w:r w:rsidRPr="00EF32C1">
        <w:rPr>
          <w:rFonts w:ascii="Arial" w:hAnsi="Arial" w:cs="Arial"/>
        </w:rPr>
        <w:t xml:space="preserve"> </w:t>
      </w:r>
      <w:proofErr w:type="spellStart"/>
      <w:r w:rsidRPr="00EF32C1">
        <w:rPr>
          <w:rFonts w:ascii="Arial" w:hAnsi="Arial" w:cs="Arial"/>
        </w:rPr>
        <w:t>J.W</w:t>
      </w:r>
      <w:proofErr w:type="spellEnd"/>
      <w:r w:rsidRPr="00EF32C1">
        <w:rPr>
          <w:rFonts w:ascii="Arial" w:hAnsi="Arial" w:cs="Arial"/>
        </w:rPr>
        <w:t xml:space="preserve">. (ed.) </w:t>
      </w:r>
      <w:r w:rsidRPr="00EF32C1">
        <w:rPr>
          <w:rFonts w:ascii="Arial" w:hAnsi="Arial" w:cs="Arial"/>
          <w:i/>
          <w:iCs/>
        </w:rPr>
        <w:t>Perspectives in Creativity</w:t>
      </w:r>
      <w:r w:rsidRPr="00EF32C1">
        <w:rPr>
          <w:rFonts w:ascii="Arial" w:hAnsi="Arial" w:cs="Arial"/>
        </w:rPr>
        <w:t xml:space="preserve">. Chicago: Transaction Publishers, </w:t>
      </w:r>
      <w:proofErr w:type="spellStart"/>
      <w:r w:rsidRPr="00EF32C1">
        <w:rPr>
          <w:rFonts w:ascii="Arial" w:hAnsi="Arial" w:cs="Arial"/>
        </w:rPr>
        <w:t>pp.67</w:t>
      </w:r>
      <w:proofErr w:type="spellEnd"/>
      <w:r w:rsidRPr="00EF32C1">
        <w:rPr>
          <w:rFonts w:ascii="Arial" w:hAnsi="Arial" w:cs="Arial"/>
        </w:rPr>
        <w:t>-68.</w:t>
      </w:r>
    </w:p>
    <w:p w14:paraId="589055FE" w14:textId="3B15857E" w:rsidR="00EF32C1" w:rsidRPr="00EF32C1" w:rsidRDefault="00EF32C1" w:rsidP="009E3391">
      <w:pPr>
        <w:spacing w:before="240" w:line="360" w:lineRule="auto"/>
        <w:rPr>
          <w:rFonts w:ascii="Arial" w:hAnsi="Arial" w:cs="Arial"/>
        </w:rPr>
      </w:pPr>
      <w:r w:rsidRPr="00EF32C1">
        <w:rPr>
          <w:rFonts w:ascii="Arial" w:hAnsi="Arial" w:cs="Arial"/>
        </w:rPr>
        <w:t>Mindtools Editorial Team (2000). </w:t>
      </w:r>
      <w:r w:rsidRPr="00EF32C1">
        <w:rPr>
          <w:rFonts w:ascii="Arial" w:hAnsi="Arial" w:cs="Arial"/>
          <w:i/>
          <w:iCs/>
        </w:rPr>
        <w:t xml:space="preserve">Six Thinking Hats: Looking at a Decision </w:t>
      </w:r>
      <w:proofErr w:type="gramStart"/>
      <w:r w:rsidRPr="00EF32C1">
        <w:rPr>
          <w:rFonts w:ascii="Arial" w:hAnsi="Arial" w:cs="Arial"/>
          <w:i/>
          <w:iCs/>
        </w:rPr>
        <w:t>From</w:t>
      </w:r>
      <w:proofErr w:type="gramEnd"/>
      <w:r w:rsidRPr="00EF32C1">
        <w:rPr>
          <w:rFonts w:ascii="Arial" w:hAnsi="Arial" w:cs="Arial"/>
          <w:i/>
          <w:iCs/>
        </w:rPr>
        <w:t xml:space="preserve"> All Points of View</w:t>
      </w:r>
      <w:r w:rsidRPr="00EF32C1">
        <w:rPr>
          <w:rFonts w:ascii="Arial" w:hAnsi="Arial" w:cs="Arial"/>
        </w:rPr>
        <w:t xml:space="preserve">. [online] Available at: </w:t>
      </w:r>
      <w:hyperlink r:id="rId12" w:history="1">
        <w:r w:rsidR="00B20EB9" w:rsidRPr="00997EBF">
          <w:rPr>
            <w:rStyle w:val="Hyperlink"/>
            <w:rFonts w:ascii="Arial" w:hAnsi="Arial" w:cs="Arial"/>
          </w:rPr>
          <w:t>https://www.mindtools.com/pages/article/newTED_07.htm</w:t>
        </w:r>
      </w:hyperlink>
      <w:proofErr w:type="gramStart"/>
      <w:r w:rsidR="00B20EB9">
        <w:rPr>
          <w:rFonts w:ascii="Arial" w:hAnsi="Arial" w:cs="Arial"/>
        </w:rPr>
        <w:t xml:space="preserve"> </w:t>
      </w:r>
      <w:r w:rsidRPr="00EF32C1">
        <w:rPr>
          <w:rFonts w:ascii="Arial" w:hAnsi="Arial" w:cs="Arial"/>
        </w:rPr>
        <w:t xml:space="preserve">  [</w:t>
      </w:r>
      <w:proofErr w:type="gramEnd"/>
      <w:r w:rsidRPr="00EF32C1">
        <w:rPr>
          <w:rFonts w:ascii="Arial" w:hAnsi="Arial" w:cs="Arial"/>
        </w:rPr>
        <w:t>Accessed 3 Mar. 2018].</w:t>
      </w:r>
    </w:p>
    <w:p w14:paraId="343FE856" w14:textId="77777777" w:rsidR="00EF32C1" w:rsidRPr="00EF32C1" w:rsidRDefault="00EF32C1" w:rsidP="009E3391">
      <w:pPr>
        <w:spacing w:before="240" w:after="160" w:line="360" w:lineRule="auto"/>
        <w:rPr>
          <w:rFonts w:ascii="Arial" w:hAnsi="Arial" w:cs="Arial"/>
        </w:rPr>
      </w:pPr>
      <w:proofErr w:type="spellStart"/>
      <w:r w:rsidRPr="00EF32C1">
        <w:rPr>
          <w:rFonts w:ascii="Arial" w:hAnsi="Arial" w:cs="Arial"/>
        </w:rPr>
        <w:t>N.A.C.C.C.E</w:t>
      </w:r>
      <w:proofErr w:type="spellEnd"/>
      <w:r w:rsidRPr="00EF32C1">
        <w:rPr>
          <w:rFonts w:ascii="Arial" w:hAnsi="Arial" w:cs="Arial"/>
        </w:rPr>
        <w:t xml:space="preserve">. (1999) </w:t>
      </w:r>
      <w:r w:rsidRPr="00EF32C1">
        <w:rPr>
          <w:rFonts w:ascii="Arial" w:hAnsi="Arial" w:cs="Arial"/>
          <w:i/>
        </w:rPr>
        <w:t>All our futures: creativity, culture and education,</w:t>
      </w:r>
      <w:r w:rsidRPr="00EF32C1">
        <w:rPr>
          <w:rFonts w:ascii="Arial" w:hAnsi="Arial" w:cs="Arial"/>
        </w:rPr>
        <w:t xml:space="preserve"> London: </w:t>
      </w:r>
      <w:proofErr w:type="spellStart"/>
      <w:r w:rsidRPr="00EF32C1">
        <w:rPr>
          <w:rFonts w:ascii="Arial" w:hAnsi="Arial" w:cs="Arial"/>
        </w:rPr>
        <w:t>DfEE</w:t>
      </w:r>
      <w:proofErr w:type="spellEnd"/>
      <w:r w:rsidRPr="00EF32C1">
        <w:rPr>
          <w:rFonts w:ascii="Arial" w:hAnsi="Arial" w:cs="Arial"/>
        </w:rPr>
        <w:t xml:space="preserve">. </w:t>
      </w:r>
    </w:p>
    <w:p w14:paraId="12C0F6C6" w14:textId="72664CB9" w:rsidR="00EF32C1" w:rsidRPr="00EF32C1" w:rsidRDefault="00EF32C1" w:rsidP="009E3391">
      <w:pPr>
        <w:spacing w:before="240" w:line="360" w:lineRule="auto"/>
        <w:rPr>
          <w:rFonts w:ascii="Arial" w:hAnsi="Arial" w:cs="Arial"/>
        </w:rPr>
      </w:pPr>
      <w:r w:rsidRPr="00EF32C1">
        <w:rPr>
          <w:rFonts w:ascii="Arial" w:hAnsi="Arial" w:cs="Arial"/>
        </w:rPr>
        <w:t xml:space="preserve">Robinson, K. (2006) </w:t>
      </w:r>
      <w:r w:rsidRPr="00EF32C1">
        <w:rPr>
          <w:rFonts w:ascii="Arial" w:hAnsi="Arial" w:cs="Arial"/>
          <w:i/>
        </w:rPr>
        <w:t>Ken Robinson: Do schools kill creativity.’</w:t>
      </w:r>
      <w:r w:rsidRPr="00EF32C1">
        <w:rPr>
          <w:rFonts w:ascii="Arial" w:hAnsi="Arial" w:cs="Arial"/>
        </w:rPr>
        <w:t xml:space="preserve"> Available at: </w:t>
      </w:r>
      <w:hyperlink r:id="rId13" w:history="1">
        <w:r w:rsidR="00B20EB9" w:rsidRPr="00997EBF">
          <w:rPr>
            <w:rStyle w:val="Hyperlink"/>
            <w:rFonts w:ascii="Arial" w:hAnsi="Arial" w:cs="Arial"/>
          </w:rPr>
          <w:t>https://www.ted.com/talks/ken_robinson_says_schools_kill_creativity/transcript?language=en</w:t>
        </w:r>
      </w:hyperlink>
      <w:r w:rsidR="00B20EB9">
        <w:rPr>
          <w:rFonts w:ascii="Arial" w:hAnsi="Arial" w:cs="Arial"/>
        </w:rPr>
        <w:t xml:space="preserve"> </w:t>
      </w:r>
      <w:r w:rsidRPr="00EF32C1">
        <w:rPr>
          <w:rFonts w:ascii="Arial" w:hAnsi="Arial" w:cs="Arial"/>
        </w:rPr>
        <w:t xml:space="preserve"> [Accessed 1</w:t>
      </w:r>
      <w:r w:rsidRPr="00EF32C1">
        <w:rPr>
          <w:rFonts w:ascii="Arial" w:hAnsi="Arial" w:cs="Arial"/>
          <w:vertAlign w:val="superscript"/>
        </w:rPr>
        <w:t>st</w:t>
      </w:r>
      <w:r w:rsidRPr="00EF32C1">
        <w:rPr>
          <w:rFonts w:ascii="Arial" w:hAnsi="Arial" w:cs="Arial"/>
        </w:rPr>
        <w:t xml:space="preserve"> Mar. 2018].</w:t>
      </w:r>
    </w:p>
    <w:p w14:paraId="0FC7C101" w14:textId="3306BFD9" w:rsidR="00EF32C1" w:rsidRPr="00EF32C1" w:rsidRDefault="00EF32C1" w:rsidP="009E3391">
      <w:pPr>
        <w:spacing w:before="240" w:line="360" w:lineRule="auto"/>
        <w:rPr>
          <w:rFonts w:ascii="Arial" w:hAnsi="Arial" w:cs="Arial"/>
        </w:rPr>
      </w:pPr>
      <w:r w:rsidRPr="00EF32C1">
        <w:rPr>
          <w:rFonts w:ascii="Arial" w:hAnsi="Arial" w:cs="Arial"/>
        </w:rPr>
        <w:t>TEDx Talks (2012). </w:t>
      </w:r>
      <w:r w:rsidRPr="00EF32C1">
        <w:rPr>
          <w:rFonts w:ascii="Arial" w:hAnsi="Arial" w:cs="Arial"/>
          <w:i/>
          <w:iCs/>
        </w:rPr>
        <w:t xml:space="preserve">A crash course in creativity: Tina Seelig at </w:t>
      </w:r>
      <w:proofErr w:type="spellStart"/>
      <w:r w:rsidRPr="00EF32C1">
        <w:rPr>
          <w:rFonts w:ascii="Arial" w:hAnsi="Arial" w:cs="Arial"/>
          <w:i/>
          <w:iCs/>
        </w:rPr>
        <w:t>TEDxStanford</w:t>
      </w:r>
      <w:proofErr w:type="spellEnd"/>
      <w:r w:rsidRPr="00EF32C1">
        <w:rPr>
          <w:rFonts w:ascii="Arial" w:hAnsi="Arial" w:cs="Arial"/>
        </w:rPr>
        <w:t xml:space="preserve">. [video] Available at: </w:t>
      </w:r>
      <w:hyperlink r:id="rId14" w:history="1">
        <w:r w:rsidR="00B20EB9" w:rsidRPr="00997EBF">
          <w:rPr>
            <w:rStyle w:val="Hyperlink"/>
            <w:rFonts w:ascii="Arial" w:hAnsi="Arial" w:cs="Arial"/>
          </w:rPr>
          <w:t>https://www.youtube.com/watch?v=gyM6rx69iqg</w:t>
        </w:r>
      </w:hyperlink>
      <w:r w:rsidR="00B20EB9">
        <w:rPr>
          <w:rFonts w:ascii="Arial" w:hAnsi="Arial" w:cs="Arial"/>
        </w:rPr>
        <w:t xml:space="preserve"> </w:t>
      </w:r>
      <w:r w:rsidRPr="00EF32C1">
        <w:rPr>
          <w:rFonts w:ascii="Arial" w:hAnsi="Arial" w:cs="Arial"/>
        </w:rPr>
        <w:t xml:space="preserve"> [Accessed 2 Mar. 2018].</w:t>
      </w:r>
    </w:p>
    <w:p w14:paraId="7D440A3E" w14:textId="7A78663F" w:rsidR="00EF32C1" w:rsidRPr="00EF32C1" w:rsidRDefault="00EF32C1" w:rsidP="009E3391">
      <w:pPr>
        <w:spacing w:before="240" w:line="360" w:lineRule="auto"/>
        <w:rPr>
          <w:rFonts w:ascii="Arial" w:hAnsi="Arial" w:cs="Arial"/>
        </w:rPr>
      </w:pPr>
      <w:r w:rsidRPr="00EF32C1">
        <w:rPr>
          <w:rFonts w:ascii="Arial" w:hAnsi="Arial" w:cs="Arial"/>
        </w:rPr>
        <w:t xml:space="preserve">Welsh Government (2016) </w:t>
      </w:r>
      <w:r w:rsidRPr="00EF32C1">
        <w:rPr>
          <w:rFonts w:ascii="Arial" w:hAnsi="Arial" w:cs="Arial"/>
          <w:i/>
        </w:rPr>
        <w:t xml:space="preserve">Master in Education Practice: Special educational needs and inclusion learning pack. </w:t>
      </w:r>
      <w:r w:rsidRPr="00EF32C1">
        <w:rPr>
          <w:rFonts w:ascii="Arial" w:hAnsi="Arial" w:cs="Arial"/>
        </w:rPr>
        <w:t xml:space="preserve">Available at: </w:t>
      </w:r>
      <w:hyperlink r:id="rId15" w:history="1">
        <w:r w:rsidR="00B20EB9" w:rsidRPr="00997EBF">
          <w:rPr>
            <w:rStyle w:val="Hyperlink"/>
            <w:rFonts w:ascii="Arial" w:hAnsi="Arial" w:cs="Arial"/>
          </w:rPr>
          <w:t>http://learning.gov.wales/resources/learningpacks/mep/special-educational-needs-and-inclusion/impact-of-the-environment/maslows-theory-of-motivation/?lang=en</w:t>
        </w:r>
      </w:hyperlink>
      <w:r w:rsidR="00B20EB9">
        <w:rPr>
          <w:rFonts w:ascii="Arial" w:hAnsi="Arial" w:cs="Arial"/>
        </w:rPr>
        <w:t xml:space="preserve"> </w:t>
      </w:r>
      <w:r w:rsidRPr="00EF32C1">
        <w:rPr>
          <w:rFonts w:ascii="Arial" w:hAnsi="Arial" w:cs="Arial"/>
        </w:rPr>
        <w:t xml:space="preserve"> [Accessed 2 Mar. 2018]. </w:t>
      </w:r>
    </w:p>
    <w:p w14:paraId="2C26BC71" w14:textId="77777777" w:rsidR="00EF32C1" w:rsidRPr="00EF32C1" w:rsidRDefault="00EF32C1" w:rsidP="003B73BF">
      <w:pPr>
        <w:spacing w:line="360" w:lineRule="auto"/>
        <w:rPr>
          <w:rFonts w:ascii="Arial" w:hAnsi="Arial"/>
          <w:szCs w:val="2"/>
        </w:rPr>
      </w:pPr>
    </w:p>
    <w:sectPr w:rsidR="00EF32C1" w:rsidRPr="00EF32C1" w:rsidSect="003B73BF">
      <w:footerReference w:type="even" r:id="rId16"/>
      <w:footerReference w:type="default" r:id="rId17"/>
      <w:pgSz w:w="12240" w:h="15840" w:code="1"/>
      <w:pgMar w:top="567"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C1AAA" w14:textId="77777777" w:rsidR="00A41A54" w:rsidRDefault="00A41A54">
      <w:r>
        <w:separator/>
      </w:r>
    </w:p>
  </w:endnote>
  <w:endnote w:type="continuationSeparator" w:id="0">
    <w:p w14:paraId="2273680D" w14:textId="77777777" w:rsidR="00A41A54" w:rsidRDefault="00A41A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4D"/>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panose1 w:val="00000000000000000000"/>
    <w:charset w:val="4D"/>
    <w:family w:val="swiss"/>
    <w:notTrueType/>
    <w:pitch w:val="variable"/>
    <w:sig w:usb0="00000003" w:usb1="00000000" w:usb2="00000000" w:usb3="00000000" w:csb0="00000001" w:csb1="00000000"/>
  </w:font>
  <w:font w:name="Helvetica">
    <w:panose1 w:val="020B0604020202020204"/>
    <w:charset w:val="00"/>
    <w:family w:val="swiss"/>
    <w:pitch w:val="variable"/>
    <w:sig w:usb0="E00002FF" w:usb1="5000785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6B430" w14:textId="77777777" w:rsidR="00E628A3" w:rsidRDefault="00E628A3" w:rsidP="003B73BF">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25FB4DC9" w14:textId="77777777" w:rsidR="00E628A3" w:rsidRDefault="00E628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4AD55A" w14:textId="77777777" w:rsidR="00E628A3" w:rsidRDefault="00E62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0CB2F0" w14:textId="77777777" w:rsidR="00A41A54" w:rsidRDefault="00A41A54">
      <w:r>
        <w:separator/>
      </w:r>
    </w:p>
  </w:footnote>
  <w:footnote w:type="continuationSeparator" w:id="0">
    <w:p w14:paraId="66A53614" w14:textId="77777777" w:rsidR="00A41A54" w:rsidRDefault="00A41A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4F1195"/>
    <w:multiLevelType w:val="hybridMultilevel"/>
    <w:tmpl w:val="7DE08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7"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6"/>
  </w:num>
  <w:num w:numId="4">
    <w:abstractNumId w:val="4"/>
  </w:num>
  <w:num w:numId="5">
    <w:abstractNumId w:val="2"/>
  </w:num>
  <w:num w:numId="6">
    <w:abstractNumId w:val="3"/>
  </w:num>
  <w:num w:numId="7">
    <w:abstractNumId w:val="9"/>
  </w:num>
  <w:num w:numId="8">
    <w:abstractNumId w:val="1"/>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D91"/>
    <w:rsid w:val="0000698B"/>
    <w:rsid w:val="00037442"/>
    <w:rsid w:val="000A1E99"/>
    <w:rsid w:val="000B05BC"/>
    <w:rsid w:val="00101C71"/>
    <w:rsid w:val="001119B6"/>
    <w:rsid w:val="00133440"/>
    <w:rsid w:val="001A41C4"/>
    <w:rsid w:val="001E79BE"/>
    <w:rsid w:val="002917E6"/>
    <w:rsid w:val="002D2BE8"/>
    <w:rsid w:val="00323562"/>
    <w:rsid w:val="003778DA"/>
    <w:rsid w:val="003A0352"/>
    <w:rsid w:val="003B73BF"/>
    <w:rsid w:val="003C1D24"/>
    <w:rsid w:val="0045662B"/>
    <w:rsid w:val="0048764C"/>
    <w:rsid w:val="00490D4C"/>
    <w:rsid w:val="0049569C"/>
    <w:rsid w:val="004D6C31"/>
    <w:rsid w:val="004F28C9"/>
    <w:rsid w:val="00572D9D"/>
    <w:rsid w:val="00585C5B"/>
    <w:rsid w:val="005A2CD2"/>
    <w:rsid w:val="00614CF5"/>
    <w:rsid w:val="00644E0E"/>
    <w:rsid w:val="00657F4E"/>
    <w:rsid w:val="0066580A"/>
    <w:rsid w:val="006662A9"/>
    <w:rsid w:val="00685929"/>
    <w:rsid w:val="00736151"/>
    <w:rsid w:val="00795393"/>
    <w:rsid w:val="007C5678"/>
    <w:rsid w:val="007E4660"/>
    <w:rsid w:val="00807340"/>
    <w:rsid w:val="008444EF"/>
    <w:rsid w:val="0089540D"/>
    <w:rsid w:val="008A73D4"/>
    <w:rsid w:val="008F6EC9"/>
    <w:rsid w:val="00912317"/>
    <w:rsid w:val="00934ECD"/>
    <w:rsid w:val="00944197"/>
    <w:rsid w:val="00975F83"/>
    <w:rsid w:val="00980248"/>
    <w:rsid w:val="009B1EFA"/>
    <w:rsid w:val="009E2D83"/>
    <w:rsid w:val="009E3391"/>
    <w:rsid w:val="009E484D"/>
    <w:rsid w:val="00A04B98"/>
    <w:rsid w:val="00A41A54"/>
    <w:rsid w:val="00A47BD7"/>
    <w:rsid w:val="00A56069"/>
    <w:rsid w:val="00A66626"/>
    <w:rsid w:val="00A67904"/>
    <w:rsid w:val="00A74331"/>
    <w:rsid w:val="00A75D84"/>
    <w:rsid w:val="00AB0BD3"/>
    <w:rsid w:val="00AF513D"/>
    <w:rsid w:val="00B04E72"/>
    <w:rsid w:val="00B20EB9"/>
    <w:rsid w:val="00B24783"/>
    <w:rsid w:val="00B24DD5"/>
    <w:rsid w:val="00B53B6D"/>
    <w:rsid w:val="00B70D91"/>
    <w:rsid w:val="00BF2727"/>
    <w:rsid w:val="00C02FF8"/>
    <w:rsid w:val="00C039B2"/>
    <w:rsid w:val="00C33012"/>
    <w:rsid w:val="00C54019"/>
    <w:rsid w:val="00C67A68"/>
    <w:rsid w:val="00C70728"/>
    <w:rsid w:val="00C77621"/>
    <w:rsid w:val="00C86EAA"/>
    <w:rsid w:val="00C95FF0"/>
    <w:rsid w:val="00CC6674"/>
    <w:rsid w:val="00CD023A"/>
    <w:rsid w:val="00CD3C69"/>
    <w:rsid w:val="00D02F33"/>
    <w:rsid w:val="00D14C2C"/>
    <w:rsid w:val="00D40450"/>
    <w:rsid w:val="00D413E7"/>
    <w:rsid w:val="00D615C5"/>
    <w:rsid w:val="00DE063C"/>
    <w:rsid w:val="00E03D66"/>
    <w:rsid w:val="00E063EF"/>
    <w:rsid w:val="00E1300D"/>
    <w:rsid w:val="00E1668D"/>
    <w:rsid w:val="00E57529"/>
    <w:rsid w:val="00E628A3"/>
    <w:rsid w:val="00EB174B"/>
    <w:rsid w:val="00ED1D8E"/>
    <w:rsid w:val="00EF32C1"/>
    <w:rsid w:val="00F86D3B"/>
    <w:rsid w:val="00FA4353"/>
    <w:rsid w:val="00FB07DD"/>
    <w:rsid w:val="00FC0F21"/>
    <w:rsid w:val="00FC593C"/>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 w:type="character" w:styleId="UnresolvedMention">
    <w:name w:val="Unresolved Mention"/>
    <w:basedOn w:val="DefaultParagraphFont"/>
    <w:rsid w:val="00B20EB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ed.com/talks/ken_robinson_says_schools_kill_creativity/transcript?language=e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www.mindtools.com/pages/article/newTED_07.htm"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youtu.be/QTbLx9jfAJY" TargetMode="External"/><Relationship Id="rId5" Type="http://schemas.openxmlformats.org/officeDocument/2006/relationships/footnotes" Target="footnotes.xml"/><Relationship Id="rId15" Type="http://schemas.openxmlformats.org/officeDocument/2006/relationships/hyperlink" Target="http://learning.gov.wales/resources/learningpacks/mep/special-educational-needs-and-inclusion/impact-of-the-environment/maslows-theory-of-motivation/?lang=en"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hyperlink" Target="https://www.youtube.com/watch?v=gyM6rx69iq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6</Pages>
  <Words>1185</Words>
  <Characters>6755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7925</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Lowri Hopkins</cp:lastModifiedBy>
  <cp:revision>9</cp:revision>
  <cp:lastPrinted>2016-10-02T12:07:00Z</cp:lastPrinted>
  <dcterms:created xsi:type="dcterms:W3CDTF">2018-03-13T20:50:00Z</dcterms:created>
  <dcterms:modified xsi:type="dcterms:W3CDTF">2018-03-13T22:13:00Z</dcterms:modified>
</cp:coreProperties>
</file>