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58B3B" w14:textId="402FD040" w:rsidR="00C57169" w:rsidRPr="009374FF" w:rsidRDefault="00C57169" w:rsidP="00C57169">
      <w:pPr>
        <w:rPr>
          <w:rFonts w:ascii="Calibri" w:hAnsi="Calibri" w:cs="Calibri"/>
        </w:rPr>
      </w:pPr>
    </w:p>
    <w:p w14:paraId="792B59DA" w14:textId="77777777" w:rsidR="00D46B56" w:rsidRPr="006531FB" w:rsidRDefault="00D46B56" w:rsidP="00D46B56">
      <w:pPr>
        <w:spacing w:line="259" w:lineRule="auto"/>
        <w:jc w:val="center"/>
        <w:rPr>
          <w:rFonts w:ascii="Calibri" w:hAnsi="Calibri" w:cs="Calibri"/>
        </w:rPr>
      </w:pPr>
      <w:r w:rsidRPr="006531FB">
        <w:rPr>
          <w:rFonts w:ascii="Calibri" w:hAnsi="Calibri" w:cs="Calibri"/>
          <w:b/>
          <w:bCs/>
        </w:rPr>
        <w:t>The Role of Counselling Skills in Community Mental Health Nursing: A BACP Framework Perspective</w:t>
      </w:r>
    </w:p>
    <w:p w14:paraId="62644DDD" w14:textId="77777777" w:rsidR="00D46B56" w:rsidRPr="009435F4" w:rsidRDefault="00D46B56" w:rsidP="00D46B56">
      <w:pPr>
        <w:jc w:val="center"/>
        <w:rPr>
          <w:rFonts w:ascii="Calibri" w:hAnsi="Calibri" w:cs="Calibri"/>
        </w:rPr>
      </w:pPr>
      <w:r>
        <w:rPr>
          <w:rFonts w:ascii="Calibri" w:hAnsi="Calibri" w:cs="Calibri"/>
        </w:rPr>
        <w:t>Introduction to Counselling Skills</w:t>
      </w:r>
      <w:r w:rsidRPr="009435F4">
        <w:rPr>
          <w:rFonts w:ascii="Calibri" w:hAnsi="Calibri" w:cs="Calibri"/>
        </w:rPr>
        <w:t>: ECPS401</w:t>
      </w:r>
      <w:r>
        <w:rPr>
          <w:rFonts w:ascii="Calibri" w:hAnsi="Calibri" w:cs="Calibri"/>
        </w:rPr>
        <w:t>5</w:t>
      </w:r>
    </w:p>
    <w:p w14:paraId="59A536DF" w14:textId="77777777" w:rsidR="00D46B56" w:rsidRDefault="00D46B56" w:rsidP="00D46B56">
      <w:pPr>
        <w:jc w:val="center"/>
        <w:rPr>
          <w:rFonts w:ascii="Calibri" w:hAnsi="Calibri" w:cs="Calibri"/>
        </w:rPr>
      </w:pPr>
      <w:r w:rsidRPr="000D7C21">
        <w:rPr>
          <w:rFonts w:ascii="Calibri" w:hAnsi="Calibri" w:cs="Calibri"/>
        </w:rPr>
        <w:t xml:space="preserve">Dr </w:t>
      </w:r>
      <w:proofErr w:type="spellStart"/>
      <w:r w:rsidRPr="000D7C21">
        <w:rPr>
          <w:rFonts w:ascii="Calibri" w:hAnsi="Calibri" w:cs="Calibri"/>
        </w:rPr>
        <w:t>Lymarie</w:t>
      </w:r>
      <w:proofErr w:type="spellEnd"/>
      <w:r w:rsidRPr="000D7C21">
        <w:rPr>
          <w:rFonts w:ascii="Calibri" w:hAnsi="Calibri" w:cs="Calibri"/>
        </w:rPr>
        <w:t xml:space="preserve"> Rodriguez-Morales</w:t>
      </w:r>
    </w:p>
    <w:p w14:paraId="3236DE0E" w14:textId="77777777" w:rsidR="00D46B56" w:rsidRPr="009435F4" w:rsidRDefault="00D46B56" w:rsidP="00D46B56">
      <w:pPr>
        <w:jc w:val="center"/>
        <w:rPr>
          <w:rFonts w:ascii="Calibri" w:hAnsi="Calibri" w:cs="Calibri"/>
        </w:rPr>
      </w:pPr>
      <w:r>
        <w:rPr>
          <w:rFonts w:ascii="Calibri" w:hAnsi="Calibri" w:cs="Calibri"/>
        </w:rPr>
        <w:t>18</w:t>
      </w:r>
      <w:r w:rsidRPr="009435F4">
        <w:rPr>
          <w:rFonts w:ascii="Calibri" w:hAnsi="Calibri" w:cs="Calibri"/>
          <w:vertAlign w:val="superscript"/>
        </w:rPr>
        <w:t>th</w:t>
      </w:r>
      <w:r w:rsidRPr="009435F4">
        <w:rPr>
          <w:rFonts w:ascii="Calibri" w:hAnsi="Calibri" w:cs="Calibri"/>
        </w:rPr>
        <w:t xml:space="preserve"> March 2025</w:t>
      </w:r>
    </w:p>
    <w:p w14:paraId="0E24ED85" w14:textId="77777777" w:rsidR="00C57169" w:rsidRPr="009374FF" w:rsidRDefault="00C57169" w:rsidP="00C57169">
      <w:pPr>
        <w:rPr>
          <w:rFonts w:ascii="Calibri" w:hAnsi="Calibri" w:cs="Calibri"/>
        </w:rPr>
      </w:pPr>
    </w:p>
    <w:p w14:paraId="742F28AB" w14:textId="77777777" w:rsidR="000716E0" w:rsidRPr="009374FF" w:rsidRDefault="000716E0" w:rsidP="00C57169">
      <w:pPr>
        <w:rPr>
          <w:rFonts w:ascii="Calibri" w:hAnsi="Calibri" w:cs="Calibri"/>
        </w:rPr>
        <w:sectPr w:rsidR="000716E0" w:rsidRPr="009374FF" w:rsidSect="000716E0">
          <w:headerReference w:type="default" r:id="rId6"/>
          <w:footerReference w:type="default" r:id="rId7"/>
          <w:pgSz w:w="11906" w:h="16838" w:code="9"/>
          <w:pgMar w:top="1440" w:right="1440" w:bottom="1440" w:left="1440" w:header="706" w:footer="706" w:gutter="0"/>
          <w:cols w:space="708"/>
          <w:vAlign w:val="center"/>
          <w:docGrid w:linePitch="360"/>
        </w:sectPr>
      </w:pPr>
    </w:p>
    <w:p w14:paraId="74DE616E" w14:textId="78EB5A25" w:rsidR="00621967" w:rsidRPr="00621967" w:rsidRDefault="00621967" w:rsidP="00DE73B1">
      <w:pPr>
        <w:jc w:val="center"/>
        <w:rPr>
          <w:rFonts w:ascii="Calibri" w:hAnsi="Calibri" w:cs="Calibri"/>
          <w:b/>
          <w:bCs/>
          <w:sz w:val="24"/>
          <w:szCs w:val="24"/>
        </w:rPr>
      </w:pPr>
      <w:r w:rsidRPr="00621967">
        <w:rPr>
          <w:rFonts w:ascii="Calibri" w:hAnsi="Calibri" w:cs="Calibri"/>
          <w:b/>
          <w:bCs/>
          <w:sz w:val="24"/>
          <w:szCs w:val="24"/>
        </w:rPr>
        <w:lastRenderedPageBreak/>
        <w:t>AI Acknowledgement</w:t>
      </w:r>
    </w:p>
    <w:p w14:paraId="788749C0" w14:textId="77777777" w:rsidR="00D46B56" w:rsidRDefault="00621967" w:rsidP="00DE73B1">
      <w:pPr>
        <w:jc w:val="center"/>
        <w:rPr>
          <w:rFonts w:ascii="Calibri" w:hAnsi="Calibri" w:cs="Calibri"/>
        </w:rPr>
        <w:sectPr w:rsidR="00D46B56" w:rsidSect="00D46B56">
          <w:pgSz w:w="11906" w:h="16838" w:code="9"/>
          <w:pgMar w:top="1440" w:right="1440" w:bottom="1440" w:left="1440" w:header="709" w:footer="709" w:gutter="0"/>
          <w:cols w:space="708"/>
          <w:vAlign w:val="center"/>
          <w:docGrid w:linePitch="360"/>
        </w:sectPr>
      </w:pPr>
      <w:r w:rsidRPr="00621967">
        <w:rPr>
          <w:rFonts w:ascii="Calibri" w:hAnsi="Calibri" w:cs="Calibri"/>
        </w:rPr>
        <w:t xml:space="preserve">I confirm that I have not used any AI tools in the research and creation of this assignment. I confirm that I have not presented any AI generated materials as my own work. </w:t>
      </w:r>
      <w:proofErr w:type="gramStart"/>
      <w:r w:rsidRPr="00621967">
        <w:rPr>
          <w:rFonts w:ascii="Calibri" w:hAnsi="Calibri" w:cs="Calibri"/>
        </w:rPr>
        <w:t>I confirm</w:t>
      </w:r>
      <w:proofErr w:type="gramEnd"/>
      <w:r w:rsidRPr="00621967">
        <w:rPr>
          <w:rFonts w:ascii="Calibri" w:hAnsi="Calibri" w:cs="Calibri"/>
        </w:rPr>
        <w:t xml:space="preserve"> I have copies of my drafts, notes, and other resources I used, which I may be asked to provide in evidence. </w:t>
      </w:r>
    </w:p>
    <w:p w14:paraId="0A54439F" w14:textId="2150DCC2" w:rsidR="00D46B56" w:rsidRPr="00D41BED" w:rsidRDefault="00D46B56" w:rsidP="00D46B56">
      <w:pPr>
        <w:rPr>
          <w:rFonts w:ascii="Calibri" w:hAnsi="Calibri" w:cs="Calibri"/>
          <w:b/>
          <w:bCs/>
        </w:rPr>
      </w:pPr>
      <w:r w:rsidRPr="00D41BED">
        <w:rPr>
          <w:rFonts w:ascii="Calibri" w:hAnsi="Calibri" w:cs="Calibri"/>
          <w:b/>
          <w:bCs/>
        </w:rPr>
        <w:lastRenderedPageBreak/>
        <w:t>Introduction</w:t>
      </w:r>
    </w:p>
    <w:p w14:paraId="5DB2F012" w14:textId="77777777" w:rsidR="00D46B56" w:rsidRPr="00D41BED" w:rsidRDefault="00D46B56" w:rsidP="00D46B56">
      <w:pPr>
        <w:ind w:firstLine="720"/>
        <w:rPr>
          <w:rFonts w:ascii="Calibri" w:hAnsi="Calibri" w:cs="Calibri"/>
        </w:rPr>
      </w:pPr>
      <w:r>
        <w:rPr>
          <w:rFonts w:ascii="Calibri" w:hAnsi="Calibri" w:cs="Calibri"/>
        </w:rPr>
        <w:t xml:space="preserve">The </w:t>
      </w:r>
      <w:r w:rsidRPr="00D41BED">
        <w:rPr>
          <w:rFonts w:ascii="Calibri" w:hAnsi="Calibri" w:cs="Calibri"/>
        </w:rPr>
        <w:t xml:space="preserve">United Kingdom (UK) </w:t>
      </w:r>
      <w:r>
        <w:rPr>
          <w:rFonts w:ascii="Calibri" w:hAnsi="Calibri" w:cs="Calibri"/>
        </w:rPr>
        <w:t>has</w:t>
      </w:r>
      <w:r w:rsidRPr="00D41BED">
        <w:rPr>
          <w:rFonts w:ascii="Calibri" w:hAnsi="Calibri" w:cs="Calibri"/>
        </w:rPr>
        <w:t xml:space="preserve"> a number of regulatory bodies in place to monitor healthcare providers. In Wales </w:t>
      </w:r>
      <w:r>
        <w:rPr>
          <w:rFonts w:ascii="Calibri" w:hAnsi="Calibri" w:cs="Calibri"/>
        </w:rPr>
        <w:t>it</w:t>
      </w:r>
      <w:r w:rsidRPr="00D41BED">
        <w:rPr>
          <w:rFonts w:ascii="Calibri" w:hAnsi="Calibri" w:cs="Calibri"/>
        </w:rPr>
        <w:t xml:space="preserve"> is the Healthcare Inspectorate Wales (HIW). Scotland has the Care Inspectorate. Northern Ireland has </w:t>
      </w:r>
      <w:r>
        <w:rPr>
          <w:rFonts w:ascii="Calibri" w:hAnsi="Calibri" w:cs="Calibri"/>
        </w:rPr>
        <w:t>t</w:t>
      </w:r>
      <w:r w:rsidRPr="00D41BED">
        <w:rPr>
          <w:rFonts w:ascii="Calibri" w:hAnsi="Calibri" w:cs="Calibri"/>
        </w:rPr>
        <w:t xml:space="preserve">he Regulation and Quality Improvement Authority (RQIA). England has the Care Quality Commission (CQC). For the purposes of this essay, the CQC, will be the primary focus. </w:t>
      </w:r>
    </w:p>
    <w:p w14:paraId="34B0BD0E" w14:textId="77777777" w:rsidR="00D46B56" w:rsidRPr="00D41BED" w:rsidRDefault="00D46B56" w:rsidP="00D46B56">
      <w:pPr>
        <w:ind w:firstLine="720"/>
        <w:rPr>
          <w:rFonts w:ascii="Calibri" w:hAnsi="Calibri" w:cs="Calibri"/>
        </w:rPr>
      </w:pPr>
      <w:r w:rsidRPr="00D41BED">
        <w:rPr>
          <w:rFonts w:ascii="Calibri" w:hAnsi="Calibri" w:cs="Calibri"/>
        </w:rPr>
        <w:t>The CQC reported that “there were 600,000 more people in contact with secondary mental health services in June 2024 than there were in June 2019. This reflects a 45% increase in 5 years, which cannot be accounted for by population growth alone.” (CQC, 202</w:t>
      </w:r>
      <w:r>
        <w:rPr>
          <w:rFonts w:ascii="Calibri" w:hAnsi="Calibri" w:cs="Calibri"/>
        </w:rPr>
        <w:t>4</w:t>
      </w:r>
      <w:r w:rsidRPr="00D41BED">
        <w:rPr>
          <w:rFonts w:ascii="Calibri" w:hAnsi="Calibri" w:cs="Calibri"/>
        </w:rPr>
        <w:t xml:space="preserve">). When comparing figures from 2019 to 2024, whilst the number of people contacting secondary mental health services has increased by nearly 50%, the number of interactions/appointments with the services has not increased accordingly. </w:t>
      </w:r>
    </w:p>
    <w:p w14:paraId="7B5185BE" w14:textId="77777777" w:rsidR="00D46B56" w:rsidRPr="00D41BED" w:rsidRDefault="00D46B56" w:rsidP="00D46B56">
      <w:pPr>
        <w:ind w:firstLine="720"/>
        <w:rPr>
          <w:rFonts w:ascii="Calibri" w:hAnsi="Calibri" w:cs="Calibri"/>
        </w:rPr>
      </w:pPr>
      <w:r w:rsidRPr="00D41BED">
        <w:rPr>
          <w:rFonts w:ascii="Calibri" w:hAnsi="Calibri" w:cs="Calibri"/>
        </w:rPr>
        <w:t xml:space="preserve">The British Association for Counselling and Psychotherapy (BACP) is an accrediting body </w:t>
      </w:r>
      <w:r>
        <w:rPr>
          <w:rFonts w:ascii="Calibri" w:hAnsi="Calibri" w:cs="Calibri"/>
        </w:rPr>
        <w:t xml:space="preserve">responsible for </w:t>
      </w:r>
      <w:r w:rsidRPr="00D41BED">
        <w:rPr>
          <w:rFonts w:ascii="Calibri" w:hAnsi="Calibri" w:cs="Calibri"/>
        </w:rPr>
        <w:t>reviewing standards, such as ethics and proficiency within the counselling profession. When considering counselling skills, and the role they play in everyday life, the BACP framework extends further than the “core” group of people one would expect to be governed and guided by.</w:t>
      </w:r>
      <w:r>
        <w:rPr>
          <w:rFonts w:ascii="Calibri" w:hAnsi="Calibri" w:cs="Calibri"/>
        </w:rPr>
        <w:t xml:space="preserve"> </w:t>
      </w:r>
      <w:r w:rsidRPr="006531FB">
        <w:rPr>
          <w:rFonts w:ascii="Calibri" w:hAnsi="Calibri" w:cs="Calibri"/>
        </w:rPr>
        <w:t>The BACP</w:t>
      </w:r>
      <w:r w:rsidRPr="00D41BED">
        <w:rPr>
          <w:rFonts w:ascii="Calibri" w:hAnsi="Calibri" w:cs="Calibri"/>
        </w:rPr>
        <w:t xml:space="preserve"> </w:t>
      </w:r>
      <w:r w:rsidRPr="006531FB">
        <w:rPr>
          <w:rFonts w:ascii="Calibri" w:hAnsi="Calibri" w:cs="Calibri"/>
        </w:rPr>
        <w:t>framework outline</w:t>
      </w:r>
      <w:r w:rsidRPr="00D41BED">
        <w:rPr>
          <w:rFonts w:ascii="Calibri" w:hAnsi="Calibri" w:cs="Calibri"/>
        </w:rPr>
        <w:t>s</w:t>
      </w:r>
      <w:r w:rsidRPr="006531FB">
        <w:rPr>
          <w:rFonts w:ascii="Calibri" w:hAnsi="Calibri" w:cs="Calibri"/>
        </w:rPr>
        <w:t xml:space="preserve"> the competencies required for effective counselling practice</w:t>
      </w:r>
      <w:r w:rsidRPr="00D41BED">
        <w:rPr>
          <w:rFonts w:ascii="Calibri" w:hAnsi="Calibri" w:cs="Calibri"/>
        </w:rPr>
        <w:t xml:space="preserve">, and as mentioned </w:t>
      </w:r>
      <w:r>
        <w:rPr>
          <w:rFonts w:ascii="Calibri" w:hAnsi="Calibri" w:cs="Calibri"/>
        </w:rPr>
        <w:t>below</w:t>
      </w:r>
      <w:r w:rsidRPr="00D41BED">
        <w:rPr>
          <w:rFonts w:ascii="Calibri" w:hAnsi="Calibri" w:cs="Calibri"/>
        </w:rPr>
        <w:t xml:space="preserve"> </w:t>
      </w:r>
      <w:r>
        <w:rPr>
          <w:rFonts w:ascii="Calibri" w:hAnsi="Calibri" w:cs="Calibri"/>
        </w:rPr>
        <w:t xml:space="preserve">they can be </w:t>
      </w:r>
      <w:r w:rsidRPr="006531FB">
        <w:rPr>
          <w:rFonts w:ascii="Calibri" w:hAnsi="Calibri" w:cs="Calibri"/>
        </w:rPr>
        <w:t>appl</w:t>
      </w:r>
      <w:r>
        <w:rPr>
          <w:rFonts w:ascii="Calibri" w:hAnsi="Calibri" w:cs="Calibri"/>
        </w:rPr>
        <w:t>ied</w:t>
      </w:r>
      <w:r w:rsidRPr="006531FB">
        <w:rPr>
          <w:rFonts w:ascii="Calibri" w:hAnsi="Calibri" w:cs="Calibri"/>
        </w:rPr>
        <w:t xml:space="preserve"> to any role requiring the use of counselling skills</w:t>
      </w:r>
      <w:r w:rsidRPr="00D41BED">
        <w:rPr>
          <w:rFonts w:ascii="Calibri" w:hAnsi="Calibri" w:cs="Calibri"/>
        </w:rPr>
        <w:t>. They recognise that,</w:t>
      </w:r>
    </w:p>
    <w:p w14:paraId="0184CB0E" w14:textId="77777777" w:rsidR="00D46B56" w:rsidRPr="00D41BED" w:rsidRDefault="00D46B56" w:rsidP="00D46B56">
      <w:pPr>
        <w:ind w:left="720"/>
        <w:rPr>
          <w:rFonts w:ascii="Calibri" w:hAnsi="Calibri" w:cs="Calibri"/>
        </w:rPr>
      </w:pPr>
      <w:r w:rsidRPr="00D41BED">
        <w:rPr>
          <w:rFonts w:ascii="Calibri" w:hAnsi="Calibri" w:cs="Calibri"/>
        </w:rPr>
        <w:t>Counselling skills are a combination of values, ethics, knowledge, and communication skills that are used to support another person’s emotional health and wellbeing. They are not exclusive to counsellors since a wide range of people use them, often to enhance a primary role. Their use is therefore dependent on who is using them and the setting in which they’re used. (BACP, 2020, p. 1).</w:t>
      </w:r>
    </w:p>
    <w:p w14:paraId="5E6E8378" w14:textId="77777777" w:rsidR="00D46B56" w:rsidRPr="00D41BED" w:rsidRDefault="00D46B56" w:rsidP="00D46B56">
      <w:pPr>
        <w:ind w:firstLine="720"/>
        <w:rPr>
          <w:rFonts w:ascii="Calibri" w:hAnsi="Calibri" w:cs="Calibri"/>
        </w:rPr>
      </w:pPr>
      <w:r w:rsidRPr="00D41BED">
        <w:rPr>
          <w:rFonts w:ascii="Calibri" w:hAnsi="Calibri" w:cs="Calibri"/>
        </w:rPr>
        <w:lastRenderedPageBreak/>
        <w:t>One such role is that of a Community Mental Health Nurse (CMHN)</w:t>
      </w:r>
      <w:r w:rsidRPr="006531FB">
        <w:rPr>
          <w:rFonts w:ascii="Calibri" w:hAnsi="Calibri" w:cs="Calibri"/>
        </w:rPr>
        <w:t xml:space="preserve">. </w:t>
      </w:r>
      <w:r w:rsidRPr="00D41BED">
        <w:rPr>
          <w:rFonts w:ascii="Calibri" w:hAnsi="Calibri" w:cs="Calibri"/>
        </w:rPr>
        <w:t xml:space="preserve">As well as adhering to their own code of conduct set by the Nursing and Midwifery Council (NMC), </w:t>
      </w:r>
      <w:r w:rsidRPr="006531FB">
        <w:rPr>
          <w:rFonts w:ascii="Calibri" w:hAnsi="Calibri" w:cs="Calibri"/>
        </w:rPr>
        <w:t xml:space="preserve">CMHNs </w:t>
      </w:r>
      <w:r>
        <w:rPr>
          <w:rFonts w:ascii="Calibri" w:hAnsi="Calibri" w:cs="Calibri"/>
        </w:rPr>
        <w:t xml:space="preserve">use </w:t>
      </w:r>
      <w:r w:rsidRPr="00D41BED">
        <w:rPr>
          <w:rFonts w:ascii="Calibri" w:hAnsi="Calibri" w:cs="Calibri"/>
        </w:rPr>
        <w:t xml:space="preserve">the BACP competency framework to better help them create </w:t>
      </w:r>
      <w:r w:rsidRPr="006531FB">
        <w:rPr>
          <w:rFonts w:ascii="Calibri" w:hAnsi="Calibri" w:cs="Calibri"/>
        </w:rPr>
        <w:t>supportive environments, allowing for</w:t>
      </w:r>
      <w:r w:rsidRPr="00D41BED">
        <w:rPr>
          <w:rFonts w:ascii="Calibri" w:hAnsi="Calibri" w:cs="Calibri"/>
        </w:rPr>
        <w:t xml:space="preserve"> a safe, and empathetic space. The BACP’s competenc</w:t>
      </w:r>
      <w:r>
        <w:rPr>
          <w:rFonts w:ascii="Calibri" w:hAnsi="Calibri" w:cs="Calibri"/>
        </w:rPr>
        <w:t>ies</w:t>
      </w:r>
      <w:r w:rsidRPr="00D41BED">
        <w:rPr>
          <w:rFonts w:ascii="Calibri" w:hAnsi="Calibri" w:cs="Calibri"/>
        </w:rPr>
        <w:t xml:space="preserve"> are Professional context, Empathy, Skills and techniques, Working alliance, and Personal qualities. The NMC code of conduct focusses on 4 fundamental areas</w:t>
      </w:r>
      <w:r>
        <w:rPr>
          <w:rFonts w:ascii="Calibri" w:hAnsi="Calibri" w:cs="Calibri"/>
        </w:rPr>
        <w:t xml:space="preserve">; </w:t>
      </w:r>
      <w:r w:rsidRPr="00D41BED">
        <w:rPr>
          <w:rFonts w:ascii="Calibri" w:hAnsi="Calibri" w:cs="Calibri"/>
        </w:rPr>
        <w:t>Prioritise people, Practise effectively, Preserve safety, and Promote professionalism and trust, which although different from the BACP competence framework, can be linked as the primary focus is on person-centred car</w:t>
      </w:r>
      <w:r>
        <w:rPr>
          <w:rFonts w:ascii="Calibri" w:hAnsi="Calibri" w:cs="Calibri"/>
        </w:rPr>
        <w:t>e (NMC, 2018)</w:t>
      </w:r>
    </w:p>
    <w:p w14:paraId="50B672F4" w14:textId="77777777" w:rsidR="00D46B56" w:rsidRPr="00D41BED" w:rsidRDefault="00D46B56" w:rsidP="00D46B56">
      <w:pPr>
        <w:ind w:firstLine="720"/>
        <w:rPr>
          <w:rFonts w:ascii="Calibri" w:hAnsi="Calibri" w:cs="Calibri"/>
        </w:rPr>
      </w:pPr>
      <w:r w:rsidRPr="00D41BED">
        <w:rPr>
          <w:rFonts w:ascii="Calibri" w:hAnsi="Calibri" w:cs="Calibri"/>
        </w:rPr>
        <w:t xml:space="preserve">Person-centred care is particularly important </w:t>
      </w:r>
      <w:r>
        <w:rPr>
          <w:rFonts w:ascii="Calibri" w:hAnsi="Calibri" w:cs="Calibri"/>
        </w:rPr>
        <w:t xml:space="preserve">in </w:t>
      </w:r>
      <w:r w:rsidRPr="00D41BED">
        <w:rPr>
          <w:rFonts w:ascii="Calibri" w:hAnsi="Calibri" w:cs="Calibri"/>
        </w:rPr>
        <w:t xml:space="preserve">the </w:t>
      </w:r>
      <w:r w:rsidRPr="006531FB">
        <w:rPr>
          <w:rFonts w:ascii="Calibri" w:hAnsi="Calibri" w:cs="Calibri"/>
        </w:rPr>
        <w:t>development of trust</w:t>
      </w:r>
      <w:r w:rsidRPr="00D41BED">
        <w:rPr>
          <w:rFonts w:ascii="Calibri" w:hAnsi="Calibri" w:cs="Calibri"/>
        </w:rPr>
        <w:t>, whilst allowing space</w:t>
      </w:r>
      <w:r w:rsidRPr="006531FB">
        <w:rPr>
          <w:rFonts w:ascii="Calibri" w:hAnsi="Calibri" w:cs="Calibri"/>
        </w:rPr>
        <w:t xml:space="preserve"> </w:t>
      </w:r>
      <w:r w:rsidRPr="00D41BED">
        <w:rPr>
          <w:rFonts w:ascii="Calibri" w:hAnsi="Calibri" w:cs="Calibri"/>
        </w:rPr>
        <w:t xml:space="preserve">for the </w:t>
      </w:r>
      <w:r w:rsidRPr="006531FB">
        <w:rPr>
          <w:rFonts w:ascii="Calibri" w:hAnsi="Calibri" w:cs="Calibri"/>
        </w:rPr>
        <w:t>co-creation of care plans</w:t>
      </w:r>
      <w:r w:rsidRPr="00D41BED">
        <w:rPr>
          <w:rFonts w:ascii="Calibri" w:hAnsi="Calibri" w:cs="Calibri"/>
        </w:rPr>
        <w:t>, involving the patient, empowering them to make decisions</w:t>
      </w:r>
      <w:r>
        <w:rPr>
          <w:rFonts w:ascii="Calibri" w:hAnsi="Calibri" w:cs="Calibri"/>
        </w:rPr>
        <w:t>, t</w:t>
      </w:r>
      <w:r w:rsidRPr="00D41BED">
        <w:rPr>
          <w:rFonts w:ascii="Calibri" w:hAnsi="Calibri" w:cs="Calibri"/>
        </w:rPr>
        <w:t>ak</w:t>
      </w:r>
      <w:r>
        <w:rPr>
          <w:rFonts w:ascii="Calibri" w:hAnsi="Calibri" w:cs="Calibri"/>
        </w:rPr>
        <w:t>ing</w:t>
      </w:r>
      <w:r w:rsidRPr="00D41BED">
        <w:rPr>
          <w:rFonts w:ascii="Calibri" w:hAnsi="Calibri" w:cs="Calibri"/>
        </w:rPr>
        <w:t xml:space="preserve"> further steps towards better understanding and managing their condition. This essay will demonstrate how each of the 5 key competencies listed in the BACP framework can underpin the effectiveness of a CMHN, and expands on each of the competencies, identifying how to positively influence mental health outcomes</w:t>
      </w:r>
      <w:r>
        <w:rPr>
          <w:rFonts w:ascii="Calibri" w:hAnsi="Calibri" w:cs="Calibri"/>
        </w:rPr>
        <w:t xml:space="preserve">, </w:t>
      </w:r>
      <w:r w:rsidRPr="00D41BED">
        <w:rPr>
          <w:rFonts w:ascii="Calibri" w:hAnsi="Calibri" w:cs="Calibri"/>
        </w:rPr>
        <w:t>promote recovery</w:t>
      </w:r>
      <w:r>
        <w:rPr>
          <w:rFonts w:ascii="Calibri" w:hAnsi="Calibri" w:cs="Calibri"/>
        </w:rPr>
        <w:t>,</w:t>
      </w:r>
      <w:r w:rsidRPr="00D41BED">
        <w:rPr>
          <w:rFonts w:ascii="Calibri" w:hAnsi="Calibri" w:cs="Calibri"/>
        </w:rPr>
        <w:t xml:space="preserve"> and better understand mental health conditions.</w:t>
      </w:r>
    </w:p>
    <w:p w14:paraId="0264D036" w14:textId="77777777" w:rsidR="00D46B56" w:rsidRPr="00D41BED" w:rsidRDefault="00D46B56" w:rsidP="00D46B56">
      <w:pPr>
        <w:rPr>
          <w:rFonts w:ascii="Calibri" w:hAnsi="Calibri" w:cs="Calibri"/>
          <w:b/>
          <w:bCs/>
        </w:rPr>
      </w:pPr>
      <w:r w:rsidRPr="00D41BED">
        <w:rPr>
          <w:rFonts w:ascii="Calibri" w:hAnsi="Calibri" w:cs="Calibri"/>
          <w:b/>
          <w:bCs/>
        </w:rPr>
        <w:t>Professional context</w:t>
      </w:r>
    </w:p>
    <w:p w14:paraId="70946BB9" w14:textId="77777777" w:rsidR="00D46B56" w:rsidRPr="00D41BED" w:rsidRDefault="00D46B56" w:rsidP="00D46B56">
      <w:pPr>
        <w:ind w:firstLine="720"/>
        <w:rPr>
          <w:rFonts w:ascii="Calibri" w:hAnsi="Calibri" w:cs="Calibri"/>
        </w:rPr>
      </w:pPr>
      <w:r w:rsidRPr="00D41BED">
        <w:rPr>
          <w:rFonts w:ascii="Calibri" w:hAnsi="Calibri" w:cs="Calibri"/>
        </w:rPr>
        <w:t xml:space="preserve">According to the BACP framework, those practicing must operate “within legal, ethical, and professional guidelines,” and “work within professional boundaries appropriate to the role and setting.” (BACP, 2020). </w:t>
      </w:r>
      <w:r>
        <w:rPr>
          <w:rFonts w:ascii="Calibri" w:hAnsi="Calibri" w:cs="Calibri"/>
        </w:rPr>
        <w:t xml:space="preserve">A </w:t>
      </w:r>
      <w:r w:rsidRPr="00D41BED">
        <w:rPr>
          <w:rFonts w:ascii="Calibri" w:hAnsi="Calibri" w:cs="Calibri"/>
        </w:rPr>
        <w:t xml:space="preserve">CMHN </w:t>
      </w:r>
      <w:r>
        <w:rPr>
          <w:rFonts w:ascii="Calibri" w:hAnsi="Calibri" w:cs="Calibri"/>
        </w:rPr>
        <w:t xml:space="preserve">works with </w:t>
      </w:r>
      <w:r w:rsidRPr="00D41BED">
        <w:rPr>
          <w:rFonts w:ascii="Calibri" w:hAnsi="Calibri" w:cs="Calibri"/>
        </w:rPr>
        <w:t>several codes of conducts/frameworks</w:t>
      </w:r>
      <w:r>
        <w:rPr>
          <w:rFonts w:ascii="Calibri" w:hAnsi="Calibri" w:cs="Calibri"/>
        </w:rPr>
        <w:t>,</w:t>
      </w:r>
      <w:r w:rsidRPr="00D41BED">
        <w:rPr>
          <w:rFonts w:ascii="Calibri" w:hAnsi="Calibri" w:cs="Calibri"/>
        </w:rPr>
        <w:t xml:space="preserve"> as the role requires the person to adhere to NHS operating guidelines, NMC’s Code of Conduct, and the BACP competency framework. These guidelines and policies apply to safeguard the patient, and the practitioner alike, whilst keeping the focus on the patient’s needs. </w:t>
      </w:r>
    </w:p>
    <w:p w14:paraId="08F59CB0" w14:textId="77777777" w:rsidR="00D46B56" w:rsidRPr="00D41BED" w:rsidRDefault="00D46B56" w:rsidP="00D46B56">
      <w:pPr>
        <w:ind w:firstLine="720"/>
        <w:rPr>
          <w:rFonts w:ascii="Calibri" w:hAnsi="Calibri" w:cs="Calibri"/>
        </w:rPr>
      </w:pPr>
      <w:r w:rsidRPr="00D41BED">
        <w:rPr>
          <w:rFonts w:ascii="Calibri" w:hAnsi="Calibri" w:cs="Calibri"/>
        </w:rPr>
        <w:t xml:space="preserve">Confidentiality is a vital consideration for CMHNs, as ethical dilemmas can arise when sharing information, especially within a multi-disciplinary setting. Whilst CMHNs may need to share information with other teams, and departments, </w:t>
      </w:r>
      <w:r>
        <w:rPr>
          <w:rFonts w:ascii="Calibri" w:hAnsi="Calibri" w:cs="Calibri"/>
        </w:rPr>
        <w:t xml:space="preserve">a </w:t>
      </w:r>
      <w:r w:rsidRPr="00D41BED">
        <w:rPr>
          <w:rFonts w:ascii="Calibri" w:hAnsi="Calibri" w:cs="Calibri"/>
        </w:rPr>
        <w:t>balance</w:t>
      </w:r>
      <w:r>
        <w:rPr>
          <w:rFonts w:ascii="Calibri" w:hAnsi="Calibri" w:cs="Calibri"/>
        </w:rPr>
        <w:t xml:space="preserve"> is needed</w:t>
      </w:r>
      <w:r w:rsidRPr="00D41BED">
        <w:rPr>
          <w:rFonts w:ascii="Calibri" w:hAnsi="Calibri" w:cs="Calibri"/>
        </w:rPr>
        <w:t xml:space="preserve"> between safeguarding the </w:t>
      </w:r>
      <w:r w:rsidRPr="00D41BED">
        <w:rPr>
          <w:rFonts w:ascii="Calibri" w:hAnsi="Calibri" w:cs="Calibri"/>
        </w:rPr>
        <w:lastRenderedPageBreak/>
        <w:t xml:space="preserve">individual and protecting confidential information. Open, honest, and transparent communication with </w:t>
      </w:r>
      <w:r>
        <w:rPr>
          <w:rFonts w:ascii="Calibri" w:hAnsi="Calibri" w:cs="Calibri"/>
        </w:rPr>
        <w:t>patients</w:t>
      </w:r>
      <w:r w:rsidRPr="00D41BED">
        <w:rPr>
          <w:rFonts w:ascii="Calibri" w:hAnsi="Calibri" w:cs="Calibri"/>
        </w:rPr>
        <w:t xml:space="preserve"> is key to adhering to both the ethical and legal obligations of the role, whilst still fostering trust and keeping the conversation </w:t>
      </w:r>
      <w:r>
        <w:rPr>
          <w:rFonts w:ascii="Calibri" w:hAnsi="Calibri" w:cs="Calibri"/>
        </w:rPr>
        <w:t>flowing</w:t>
      </w:r>
      <w:r w:rsidRPr="00D41BED">
        <w:rPr>
          <w:rFonts w:ascii="Calibri" w:hAnsi="Calibri" w:cs="Calibri"/>
        </w:rPr>
        <w:t>. This plays an important part in the role</w:t>
      </w:r>
      <w:r>
        <w:rPr>
          <w:rFonts w:ascii="Calibri" w:hAnsi="Calibri" w:cs="Calibri"/>
        </w:rPr>
        <w:t xml:space="preserve"> as</w:t>
      </w:r>
      <w:r w:rsidRPr="00D41BED">
        <w:rPr>
          <w:rFonts w:ascii="Calibri" w:hAnsi="Calibri" w:cs="Calibri"/>
        </w:rPr>
        <w:t xml:space="preserve"> the level of support required may be beyond the skills of the CMHNs </w:t>
      </w:r>
      <w:r>
        <w:rPr>
          <w:rFonts w:ascii="Calibri" w:hAnsi="Calibri" w:cs="Calibri"/>
        </w:rPr>
        <w:t>may</w:t>
      </w:r>
      <w:r w:rsidRPr="00D41BED">
        <w:rPr>
          <w:rFonts w:ascii="Calibri" w:hAnsi="Calibri" w:cs="Calibri"/>
        </w:rPr>
        <w:t xml:space="preserve"> need to be signposted to other services or specialists (General Medical Council (GMC), 2017).</w:t>
      </w:r>
    </w:p>
    <w:p w14:paraId="5188B586" w14:textId="77777777" w:rsidR="00D46B56" w:rsidRPr="00D41BED" w:rsidRDefault="00D46B56" w:rsidP="00D46B56">
      <w:pPr>
        <w:rPr>
          <w:rFonts w:ascii="Calibri" w:hAnsi="Calibri" w:cs="Calibri"/>
          <w:b/>
          <w:bCs/>
        </w:rPr>
      </w:pPr>
      <w:r w:rsidRPr="00D41BED">
        <w:rPr>
          <w:rFonts w:ascii="Calibri" w:hAnsi="Calibri" w:cs="Calibri"/>
          <w:b/>
          <w:bCs/>
        </w:rPr>
        <w:t>Empathy</w:t>
      </w:r>
    </w:p>
    <w:p w14:paraId="04A8A841" w14:textId="77777777" w:rsidR="00D46B56" w:rsidRPr="00D41BED" w:rsidRDefault="00D46B56" w:rsidP="00D46B56">
      <w:pPr>
        <w:ind w:firstLine="720"/>
        <w:rPr>
          <w:rFonts w:ascii="Calibri" w:hAnsi="Calibri" w:cs="Calibri"/>
        </w:rPr>
      </w:pPr>
      <w:r w:rsidRPr="00D41BED">
        <w:rPr>
          <w:rFonts w:ascii="Calibri" w:hAnsi="Calibri" w:cs="Calibri"/>
        </w:rPr>
        <w:t xml:space="preserve">Empathy is defined as “the action of understanding, being aware of, being sensitive to, and vicariously experiencing the feelings, thoughts, and experience of another” (Merriam Webster, 2025). So, to have empathy is not to feel sorry for someone’s situation. It is the ability to “put yourself in someone’s shoes” and understand the thoughts and process that person may be experiencing. </w:t>
      </w:r>
    </w:p>
    <w:p w14:paraId="554B7F88" w14:textId="77777777" w:rsidR="00D46B56" w:rsidRDefault="00D46B56" w:rsidP="00D46B56">
      <w:pPr>
        <w:ind w:firstLine="720"/>
        <w:rPr>
          <w:rFonts w:ascii="Calibri" w:hAnsi="Calibri" w:cs="Calibri"/>
        </w:rPr>
      </w:pPr>
      <w:r w:rsidRPr="00D41BED">
        <w:rPr>
          <w:rFonts w:ascii="Calibri" w:hAnsi="Calibri" w:cs="Calibri"/>
        </w:rPr>
        <w:t xml:space="preserve">Empathy is at the core of any healthcare role, especially those focussed on </w:t>
      </w:r>
      <w:r w:rsidRPr="00CB44C8">
        <w:rPr>
          <w:rFonts w:ascii="Calibri" w:hAnsi="Calibri" w:cs="Calibri"/>
        </w:rPr>
        <w:t xml:space="preserve">counselling and nursing. CMHNs </w:t>
      </w:r>
      <w:r w:rsidRPr="00D41BED">
        <w:rPr>
          <w:rFonts w:ascii="Calibri" w:hAnsi="Calibri" w:cs="Calibri"/>
        </w:rPr>
        <w:t xml:space="preserve">often </w:t>
      </w:r>
      <w:r w:rsidRPr="00CB44C8">
        <w:rPr>
          <w:rFonts w:ascii="Calibri" w:hAnsi="Calibri" w:cs="Calibri"/>
        </w:rPr>
        <w:t xml:space="preserve">work </w:t>
      </w:r>
      <w:r w:rsidRPr="00D41BED">
        <w:rPr>
          <w:rFonts w:ascii="Calibri" w:hAnsi="Calibri" w:cs="Calibri"/>
        </w:rPr>
        <w:t>alongside</w:t>
      </w:r>
      <w:r w:rsidRPr="00CB44C8">
        <w:rPr>
          <w:rFonts w:ascii="Calibri" w:hAnsi="Calibri" w:cs="Calibri"/>
        </w:rPr>
        <w:t xml:space="preserve"> </w:t>
      </w:r>
      <w:r w:rsidRPr="00D41BED">
        <w:rPr>
          <w:rFonts w:ascii="Calibri" w:hAnsi="Calibri" w:cs="Calibri"/>
        </w:rPr>
        <w:t xml:space="preserve">those </w:t>
      </w:r>
      <w:r w:rsidRPr="00CB44C8">
        <w:rPr>
          <w:rFonts w:ascii="Calibri" w:hAnsi="Calibri" w:cs="Calibri"/>
        </w:rPr>
        <w:t>who feel marginali</w:t>
      </w:r>
      <w:r w:rsidRPr="00D41BED">
        <w:rPr>
          <w:rFonts w:ascii="Calibri" w:hAnsi="Calibri" w:cs="Calibri"/>
        </w:rPr>
        <w:t>s</w:t>
      </w:r>
      <w:r w:rsidRPr="00CB44C8">
        <w:rPr>
          <w:rFonts w:ascii="Calibri" w:hAnsi="Calibri" w:cs="Calibri"/>
        </w:rPr>
        <w:t>ed</w:t>
      </w:r>
      <w:r w:rsidRPr="00D41BED">
        <w:rPr>
          <w:rFonts w:ascii="Calibri" w:hAnsi="Calibri" w:cs="Calibri"/>
        </w:rPr>
        <w:t>, traumatised,</w:t>
      </w:r>
      <w:r w:rsidRPr="00CB44C8">
        <w:rPr>
          <w:rFonts w:ascii="Calibri" w:hAnsi="Calibri" w:cs="Calibri"/>
        </w:rPr>
        <w:t xml:space="preserve"> or stigmati</w:t>
      </w:r>
      <w:r w:rsidRPr="00D41BED">
        <w:rPr>
          <w:rFonts w:ascii="Calibri" w:hAnsi="Calibri" w:cs="Calibri"/>
        </w:rPr>
        <w:t>s</w:t>
      </w:r>
      <w:r w:rsidRPr="00CB44C8">
        <w:rPr>
          <w:rFonts w:ascii="Calibri" w:hAnsi="Calibri" w:cs="Calibri"/>
        </w:rPr>
        <w:t>ed, making empathy a</w:t>
      </w:r>
      <w:r w:rsidRPr="00D41BED">
        <w:rPr>
          <w:rFonts w:ascii="Calibri" w:hAnsi="Calibri" w:cs="Calibri"/>
        </w:rPr>
        <w:t xml:space="preserve">n essential skill to build a connection </w:t>
      </w:r>
      <w:r>
        <w:rPr>
          <w:rFonts w:ascii="Calibri" w:hAnsi="Calibri" w:cs="Calibri"/>
        </w:rPr>
        <w:t>between</w:t>
      </w:r>
      <w:r w:rsidRPr="00D41BED">
        <w:rPr>
          <w:rFonts w:ascii="Calibri" w:hAnsi="Calibri" w:cs="Calibri"/>
        </w:rPr>
        <w:t xml:space="preserve"> the practitioner</w:t>
      </w:r>
      <w:r>
        <w:rPr>
          <w:rFonts w:ascii="Calibri" w:hAnsi="Calibri" w:cs="Calibri"/>
        </w:rPr>
        <w:t xml:space="preserve"> and patient</w:t>
      </w:r>
      <w:r w:rsidRPr="00D41BED">
        <w:rPr>
          <w:rFonts w:ascii="Calibri" w:hAnsi="Calibri" w:cs="Calibri"/>
        </w:rPr>
        <w:t xml:space="preserve">. </w:t>
      </w:r>
      <w:r w:rsidRPr="00CB44C8">
        <w:rPr>
          <w:rFonts w:ascii="Calibri" w:hAnsi="Calibri" w:cs="Calibri"/>
        </w:rPr>
        <w:t xml:space="preserve">Empathy </w:t>
      </w:r>
      <w:r w:rsidRPr="00D41BED">
        <w:rPr>
          <w:rFonts w:ascii="Calibri" w:hAnsi="Calibri" w:cs="Calibri"/>
        </w:rPr>
        <w:t>show</w:t>
      </w:r>
      <w:r>
        <w:rPr>
          <w:rFonts w:ascii="Calibri" w:hAnsi="Calibri" w:cs="Calibri"/>
        </w:rPr>
        <w:t>s</w:t>
      </w:r>
      <w:r w:rsidRPr="00D41BED">
        <w:rPr>
          <w:rFonts w:ascii="Calibri" w:hAnsi="Calibri" w:cs="Calibri"/>
        </w:rPr>
        <w:t xml:space="preserve"> that a CMHN relates to </w:t>
      </w:r>
      <w:r w:rsidRPr="00CB44C8">
        <w:rPr>
          <w:rFonts w:ascii="Calibri" w:hAnsi="Calibri" w:cs="Calibri"/>
        </w:rPr>
        <w:t>experience</w:t>
      </w:r>
      <w:r>
        <w:rPr>
          <w:rFonts w:ascii="Calibri" w:hAnsi="Calibri" w:cs="Calibri"/>
        </w:rPr>
        <w:t>s</w:t>
      </w:r>
      <w:r w:rsidRPr="00CB44C8">
        <w:rPr>
          <w:rFonts w:ascii="Calibri" w:hAnsi="Calibri" w:cs="Calibri"/>
        </w:rPr>
        <w:t>,</w:t>
      </w:r>
      <w:r w:rsidRPr="00D41BED">
        <w:rPr>
          <w:rFonts w:ascii="Calibri" w:hAnsi="Calibri" w:cs="Calibri"/>
        </w:rPr>
        <w:t xml:space="preserve"> or a feeling</w:t>
      </w:r>
      <w:r w:rsidRPr="00CB44C8">
        <w:rPr>
          <w:rFonts w:ascii="Calibri" w:hAnsi="Calibri" w:cs="Calibri"/>
        </w:rPr>
        <w:t xml:space="preserve"> </w:t>
      </w:r>
      <w:r w:rsidRPr="00D41BED">
        <w:rPr>
          <w:rFonts w:ascii="Calibri" w:hAnsi="Calibri" w:cs="Calibri"/>
        </w:rPr>
        <w:t>that a patient may be</w:t>
      </w:r>
      <w:r>
        <w:rPr>
          <w:rFonts w:ascii="Calibri" w:hAnsi="Calibri" w:cs="Calibri"/>
        </w:rPr>
        <w:t xml:space="preserve"> </w:t>
      </w:r>
      <w:r w:rsidRPr="00D41BED">
        <w:rPr>
          <w:rFonts w:ascii="Calibri" w:hAnsi="Calibri" w:cs="Calibri"/>
        </w:rPr>
        <w:t xml:space="preserve">struggling with. </w:t>
      </w:r>
      <w:r w:rsidRPr="00CB44C8">
        <w:rPr>
          <w:rFonts w:ascii="Calibri" w:hAnsi="Calibri" w:cs="Calibri"/>
        </w:rPr>
        <w:t>Building trust</w:t>
      </w:r>
      <w:r w:rsidRPr="00D41BED">
        <w:rPr>
          <w:rFonts w:ascii="Calibri" w:hAnsi="Calibri" w:cs="Calibri"/>
        </w:rPr>
        <w:t xml:space="preserve"> and rapport</w:t>
      </w:r>
      <w:r w:rsidRPr="00CB44C8">
        <w:rPr>
          <w:rFonts w:ascii="Calibri" w:hAnsi="Calibri" w:cs="Calibri"/>
        </w:rPr>
        <w:t xml:space="preserve"> is a gradual process requir</w:t>
      </w:r>
      <w:r w:rsidRPr="00D41BED">
        <w:rPr>
          <w:rFonts w:ascii="Calibri" w:hAnsi="Calibri" w:cs="Calibri"/>
        </w:rPr>
        <w:t>ing</w:t>
      </w:r>
      <w:r w:rsidRPr="00CB44C8">
        <w:rPr>
          <w:rFonts w:ascii="Calibri" w:hAnsi="Calibri" w:cs="Calibri"/>
        </w:rPr>
        <w:t xml:space="preserve"> consistency, and respect</w:t>
      </w:r>
      <w:r w:rsidRPr="00D41BED">
        <w:rPr>
          <w:rFonts w:ascii="Calibri" w:hAnsi="Calibri" w:cs="Calibri"/>
        </w:rPr>
        <w:t xml:space="preserve">, from both parties. </w:t>
      </w:r>
      <w:r>
        <w:rPr>
          <w:rFonts w:ascii="Calibri" w:hAnsi="Calibri" w:cs="Calibri"/>
        </w:rPr>
        <w:t>By a</w:t>
      </w:r>
      <w:r w:rsidRPr="00D41BED">
        <w:rPr>
          <w:rFonts w:ascii="Calibri" w:hAnsi="Calibri" w:cs="Calibri"/>
        </w:rPr>
        <w:t>dopting effective communication styles, such as active listening and responding appropriately to a patients concerns and worries, a</w:t>
      </w:r>
      <w:r w:rsidRPr="00CB44C8">
        <w:rPr>
          <w:rFonts w:ascii="Calibri" w:hAnsi="Calibri" w:cs="Calibri"/>
        </w:rPr>
        <w:t xml:space="preserve"> CMHN</w:t>
      </w:r>
      <w:r w:rsidRPr="00D41BED">
        <w:rPr>
          <w:rFonts w:ascii="Calibri" w:hAnsi="Calibri" w:cs="Calibri"/>
        </w:rPr>
        <w:t xml:space="preserve"> can encourage an open dialogue</w:t>
      </w:r>
      <w:r>
        <w:rPr>
          <w:rFonts w:ascii="Calibri" w:hAnsi="Calibri" w:cs="Calibri"/>
        </w:rPr>
        <w:t>,</w:t>
      </w:r>
      <w:r w:rsidRPr="00D41BED">
        <w:rPr>
          <w:rFonts w:ascii="Calibri" w:hAnsi="Calibri" w:cs="Calibri"/>
        </w:rPr>
        <w:t xml:space="preserve"> build</w:t>
      </w:r>
      <w:r>
        <w:rPr>
          <w:rFonts w:ascii="Calibri" w:hAnsi="Calibri" w:cs="Calibri"/>
        </w:rPr>
        <w:t>ing</w:t>
      </w:r>
      <w:r w:rsidRPr="00D41BED">
        <w:rPr>
          <w:rFonts w:ascii="Calibri" w:hAnsi="Calibri" w:cs="Calibri"/>
        </w:rPr>
        <w:t xml:space="preserve"> a stronger, more resilient </w:t>
      </w:r>
      <w:r w:rsidRPr="00CB44C8">
        <w:rPr>
          <w:rFonts w:ascii="Calibri" w:hAnsi="Calibri" w:cs="Calibri"/>
        </w:rPr>
        <w:t>therapeutic relationship.</w:t>
      </w:r>
      <w:r w:rsidRPr="00D41BED">
        <w:rPr>
          <w:rFonts w:ascii="Calibri" w:hAnsi="Calibri" w:cs="Calibri"/>
        </w:rPr>
        <w:t xml:space="preserve"> By implementing these skills, a patient is </w:t>
      </w:r>
      <w:r>
        <w:rPr>
          <w:rFonts w:ascii="Calibri" w:hAnsi="Calibri" w:cs="Calibri"/>
        </w:rPr>
        <w:t>empowered</w:t>
      </w:r>
      <w:r w:rsidRPr="00D41BED">
        <w:rPr>
          <w:rFonts w:ascii="Calibri" w:hAnsi="Calibri" w:cs="Calibri"/>
        </w:rPr>
        <w:t xml:space="preserve"> to actively participate in their recovery. Yu et al (2022) discussed the importance of empathy in a healthcare setting and established that patient satisfaction and compliance can improve, along with diagnostic accuracy when empathy is used effectively. It is also shown to lower psychological distress</w:t>
      </w:r>
      <w:r>
        <w:rPr>
          <w:rFonts w:ascii="Calibri" w:hAnsi="Calibri" w:cs="Calibri"/>
        </w:rPr>
        <w:t xml:space="preserve">, </w:t>
      </w:r>
      <w:r w:rsidRPr="00D41BED">
        <w:rPr>
          <w:rFonts w:ascii="Calibri" w:hAnsi="Calibri" w:cs="Calibri"/>
        </w:rPr>
        <w:t>underscor</w:t>
      </w:r>
      <w:r>
        <w:rPr>
          <w:rFonts w:ascii="Calibri" w:hAnsi="Calibri" w:cs="Calibri"/>
        </w:rPr>
        <w:t>ing</w:t>
      </w:r>
      <w:r w:rsidRPr="00D41BED">
        <w:rPr>
          <w:rFonts w:ascii="Calibri" w:hAnsi="Calibri" w:cs="Calibri"/>
        </w:rPr>
        <w:t xml:space="preserve"> the importance of empathy in instances where those talking are discussing painful or distressing emotions.</w:t>
      </w:r>
    </w:p>
    <w:p w14:paraId="2FDFFD23" w14:textId="77777777" w:rsidR="00D46B56" w:rsidRPr="00D41BED" w:rsidRDefault="00D46B56" w:rsidP="00D46B56">
      <w:pPr>
        <w:ind w:firstLine="720"/>
        <w:rPr>
          <w:rFonts w:ascii="Calibri" w:hAnsi="Calibri" w:cs="Calibri"/>
        </w:rPr>
      </w:pPr>
    </w:p>
    <w:p w14:paraId="4C686DE8" w14:textId="77777777" w:rsidR="00D46B56" w:rsidRPr="00D41BED" w:rsidRDefault="00D46B56" w:rsidP="00D46B56">
      <w:pPr>
        <w:rPr>
          <w:rFonts w:ascii="Calibri" w:hAnsi="Calibri" w:cs="Calibri"/>
          <w:b/>
          <w:bCs/>
        </w:rPr>
      </w:pPr>
      <w:r w:rsidRPr="00D41BED">
        <w:rPr>
          <w:rFonts w:ascii="Calibri" w:hAnsi="Calibri" w:cs="Calibri"/>
          <w:b/>
          <w:bCs/>
        </w:rPr>
        <w:t>Skills and techniques</w:t>
      </w:r>
    </w:p>
    <w:p w14:paraId="5D4D2D87" w14:textId="77777777" w:rsidR="00D46B56" w:rsidRPr="00D41BED" w:rsidRDefault="00D46B56" w:rsidP="00D46B56">
      <w:pPr>
        <w:ind w:firstLine="720"/>
        <w:rPr>
          <w:rFonts w:ascii="Calibri" w:hAnsi="Calibri" w:cs="Calibri"/>
        </w:rPr>
      </w:pPr>
      <w:r>
        <w:rPr>
          <w:rFonts w:ascii="Calibri" w:hAnsi="Calibri" w:cs="Calibri"/>
        </w:rPr>
        <w:lastRenderedPageBreak/>
        <w:t>Within the</w:t>
      </w:r>
      <w:r w:rsidRPr="00D41BED">
        <w:rPr>
          <w:rFonts w:ascii="Calibri" w:hAnsi="Calibri" w:cs="Calibri"/>
        </w:rPr>
        <w:t xml:space="preserve"> BACP framework, there is</w:t>
      </w:r>
      <w:r>
        <w:rPr>
          <w:rFonts w:ascii="Calibri" w:hAnsi="Calibri" w:cs="Calibri"/>
        </w:rPr>
        <w:t xml:space="preserve"> an</w:t>
      </w:r>
      <w:r w:rsidRPr="00D41BED">
        <w:rPr>
          <w:rFonts w:ascii="Calibri" w:hAnsi="Calibri" w:cs="Calibri"/>
        </w:rPr>
        <w:t xml:space="preserve"> emphasis on the use of counselling </w:t>
      </w:r>
      <w:r>
        <w:rPr>
          <w:rFonts w:ascii="Calibri" w:hAnsi="Calibri" w:cs="Calibri"/>
        </w:rPr>
        <w:t>techniques,</w:t>
      </w:r>
      <w:r w:rsidRPr="00D41BED">
        <w:rPr>
          <w:rFonts w:ascii="Calibri" w:hAnsi="Calibri" w:cs="Calibri"/>
        </w:rPr>
        <w:t xml:space="preserve"> such as active listening, open questions, summarising, and reflective. This can be something as simple as repeating back something that a patient has said. The key is to paraphrase and reflect on the words, rather than repeating them verbatim. These skills show a level of professionalism</w:t>
      </w:r>
      <w:r>
        <w:rPr>
          <w:rFonts w:ascii="Calibri" w:hAnsi="Calibri" w:cs="Calibri"/>
        </w:rPr>
        <w:t xml:space="preserve">, </w:t>
      </w:r>
      <w:r w:rsidRPr="00D41BED">
        <w:rPr>
          <w:rFonts w:ascii="Calibri" w:hAnsi="Calibri" w:cs="Calibri"/>
        </w:rPr>
        <w:t>d</w:t>
      </w:r>
      <w:r>
        <w:rPr>
          <w:rFonts w:ascii="Calibri" w:hAnsi="Calibri" w:cs="Calibri"/>
        </w:rPr>
        <w:t>emonstrating</w:t>
      </w:r>
      <w:r w:rsidRPr="00D41BED">
        <w:rPr>
          <w:rFonts w:ascii="Calibri" w:hAnsi="Calibri" w:cs="Calibri"/>
        </w:rPr>
        <w:t xml:space="preserve"> to the patient that you have not simply listened to them, but understood the point being made. Asking open questions allow the patient to explore and expand upon thoughts and encourages them to explore the way something “sits” with them or makes them feel. Avoiding questions that start with “why” make the space feel inclusive and non-judgemental. Using counselling skills and getting to the root of it, allows you to ask the “why” questions, without actually asking why. A question like “can you explain to me what happened in the lead up to this?” or “how were you feeling at the time?” gives insight to the patient’s state of mind and struggles, without putting the emphasis on why they did or felt something. </w:t>
      </w:r>
    </w:p>
    <w:p w14:paraId="74D8827C" w14:textId="77777777" w:rsidR="00D46B56" w:rsidRDefault="00D46B56" w:rsidP="00D46B56">
      <w:pPr>
        <w:ind w:firstLine="720"/>
        <w:rPr>
          <w:rFonts w:ascii="Calibri" w:hAnsi="Calibri" w:cs="Calibri"/>
        </w:rPr>
      </w:pPr>
      <w:r w:rsidRPr="00D41BED">
        <w:rPr>
          <w:rFonts w:ascii="Calibri" w:hAnsi="Calibri" w:cs="Calibri"/>
        </w:rPr>
        <w:t xml:space="preserve">The importance of such techniques cannot be underestimated, particularly at a time where the UK and the rest of the world are living in increasingly multicultural societies. Those of an Islamic community are encouraged to seek help for mental health challenges, however this often uses a combination of faith-based approaches, involving spiritual leaders and family members, offering a more holistic approach to therapy. Ensuring cultural sensitivity and being aware of other religions and beliefs encourages inclusivity and equal opportunities for all </w:t>
      </w:r>
      <w:r w:rsidRPr="006531FB">
        <w:rPr>
          <w:rFonts w:ascii="Calibri" w:hAnsi="Calibri" w:cs="Calibri"/>
        </w:rPr>
        <w:t>(Papadopoulos, 20</w:t>
      </w:r>
      <w:r w:rsidRPr="00D41BED">
        <w:rPr>
          <w:rFonts w:ascii="Calibri" w:hAnsi="Calibri" w:cs="Calibri"/>
        </w:rPr>
        <w:t>18</w:t>
      </w:r>
      <w:r w:rsidRPr="006531FB">
        <w:rPr>
          <w:rFonts w:ascii="Calibri" w:hAnsi="Calibri" w:cs="Calibri"/>
        </w:rPr>
        <w:t>).</w:t>
      </w:r>
    </w:p>
    <w:p w14:paraId="3112C536" w14:textId="77777777" w:rsidR="00D46B56" w:rsidRDefault="00D46B56" w:rsidP="00D46B56">
      <w:pPr>
        <w:rPr>
          <w:rFonts w:ascii="Calibri" w:hAnsi="Calibri" w:cs="Calibri"/>
          <w:b/>
          <w:bCs/>
        </w:rPr>
      </w:pPr>
      <w:r>
        <w:rPr>
          <w:rFonts w:ascii="Calibri" w:hAnsi="Calibri" w:cs="Calibri"/>
          <w:b/>
          <w:bCs/>
        </w:rPr>
        <w:t>Working alliance</w:t>
      </w:r>
    </w:p>
    <w:p w14:paraId="38246D54" w14:textId="77777777" w:rsidR="00D46B56" w:rsidRDefault="00D46B56" w:rsidP="00D46B56">
      <w:pPr>
        <w:ind w:firstLine="720"/>
        <w:rPr>
          <w:rFonts w:ascii="Calibri" w:hAnsi="Calibri" w:cs="Calibri"/>
          <w:color w:val="2C3E50"/>
          <w:shd w:val="clear" w:color="auto" w:fill="FFFFFF"/>
        </w:rPr>
      </w:pPr>
      <w:r>
        <w:rPr>
          <w:rFonts w:ascii="Calibri" w:hAnsi="Calibri" w:cs="Calibri"/>
          <w:color w:val="2C3E50"/>
          <w:shd w:val="clear" w:color="auto" w:fill="FFFFFF"/>
        </w:rPr>
        <w:t xml:space="preserve">When working with patients, a </w:t>
      </w:r>
      <w:r w:rsidRPr="007C40AE">
        <w:rPr>
          <w:rFonts w:ascii="Calibri" w:hAnsi="Calibri" w:cs="Calibri"/>
          <w:color w:val="2C3E50"/>
          <w:shd w:val="clear" w:color="auto" w:fill="FFFFFF"/>
        </w:rPr>
        <w:t xml:space="preserve">strong working alliance is </w:t>
      </w:r>
      <w:r>
        <w:rPr>
          <w:rFonts w:ascii="Calibri" w:hAnsi="Calibri" w:cs="Calibri"/>
          <w:color w:val="2C3E50"/>
          <w:shd w:val="clear" w:color="auto" w:fill="FFFFFF"/>
        </w:rPr>
        <w:t>pivotal</w:t>
      </w:r>
      <w:r w:rsidRPr="007C40AE">
        <w:rPr>
          <w:rFonts w:ascii="Calibri" w:hAnsi="Calibri" w:cs="Calibri"/>
          <w:color w:val="2C3E50"/>
          <w:shd w:val="clear" w:color="auto" w:fill="FFFFFF"/>
        </w:rPr>
        <w:t xml:space="preserve"> to the CMHN role. The BACP framework highlights the importance of collaboration and mutual respect in establishing a relationship. </w:t>
      </w:r>
      <w:r>
        <w:rPr>
          <w:rFonts w:ascii="Calibri" w:hAnsi="Calibri" w:cs="Calibri"/>
          <w:color w:val="2C3E50"/>
          <w:shd w:val="clear" w:color="auto" w:fill="FFFFFF"/>
        </w:rPr>
        <w:t>Prior to going to counselling or seeing a specialist,  the CMHN is the person that will work with the patient and put a care or action plan in place. Due to the lengthy waiting lists and increased demand for services, the CMHN may be the only support in place and m</w:t>
      </w:r>
      <w:r w:rsidRPr="007C40AE">
        <w:rPr>
          <w:rFonts w:ascii="Calibri" w:hAnsi="Calibri" w:cs="Calibri"/>
          <w:color w:val="2C3E50"/>
          <w:shd w:val="clear" w:color="auto" w:fill="FFFFFF"/>
        </w:rPr>
        <w:t xml:space="preserve">aintaining </w:t>
      </w:r>
      <w:r>
        <w:rPr>
          <w:rFonts w:ascii="Calibri" w:hAnsi="Calibri" w:cs="Calibri"/>
          <w:color w:val="2C3E50"/>
          <w:shd w:val="clear" w:color="auto" w:fill="FFFFFF"/>
        </w:rPr>
        <w:t>a strong</w:t>
      </w:r>
      <w:r w:rsidRPr="007C40AE">
        <w:rPr>
          <w:rFonts w:ascii="Calibri" w:hAnsi="Calibri" w:cs="Calibri"/>
          <w:color w:val="2C3E50"/>
          <w:shd w:val="clear" w:color="auto" w:fill="FFFFFF"/>
        </w:rPr>
        <w:t xml:space="preserve"> working alliance requires </w:t>
      </w:r>
      <w:r>
        <w:rPr>
          <w:rFonts w:ascii="Calibri" w:hAnsi="Calibri" w:cs="Calibri"/>
          <w:color w:val="2C3E50"/>
          <w:shd w:val="clear" w:color="auto" w:fill="FFFFFF"/>
        </w:rPr>
        <w:t>continuous</w:t>
      </w:r>
      <w:r w:rsidRPr="007C40AE">
        <w:rPr>
          <w:rFonts w:ascii="Calibri" w:hAnsi="Calibri" w:cs="Calibri"/>
          <w:color w:val="2C3E50"/>
          <w:shd w:val="clear" w:color="auto" w:fill="FFFFFF"/>
        </w:rPr>
        <w:t xml:space="preserve"> communication and responsiveness to the patient’s needs. </w:t>
      </w:r>
      <w:r w:rsidRPr="007C40AE">
        <w:rPr>
          <w:rFonts w:ascii="Calibri" w:hAnsi="Calibri" w:cs="Calibri"/>
          <w:color w:val="2C3E50"/>
          <w:shd w:val="clear" w:color="auto" w:fill="FFFFFF"/>
        </w:rPr>
        <w:lastRenderedPageBreak/>
        <w:t xml:space="preserve">Transparency and honesty are </w:t>
      </w:r>
      <w:r>
        <w:rPr>
          <w:rFonts w:ascii="Calibri" w:hAnsi="Calibri" w:cs="Calibri"/>
          <w:color w:val="2C3E50"/>
          <w:shd w:val="clear" w:color="auto" w:fill="FFFFFF"/>
        </w:rPr>
        <w:t>encouraged, leading to improved</w:t>
      </w:r>
      <w:r w:rsidRPr="007C40AE">
        <w:rPr>
          <w:rFonts w:ascii="Calibri" w:hAnsi="Calibri" w:cs="Calibri"/>
          <w:color w:val="2C3E50"/>
          <w:shd w:val="clear" w:color="auto" w:fill="FFFFFF"/>
        </w:rPr>
        <w:t xml:space="preserve"> trust and collaboration.</w:t>
      </w:r>
      <w:r>
        <w:rPr>
          <w:rFonts w:ascii="Calibri" w:hAnsi="Calibri" w:cs="Calibri"/>
          <w:color w:val="2C3E50"/>
          <w:shd w:val="clear" w:color="auto" w:fill="FFFFFF"/>
        </w:rPr>
        <w:t xml:space="preserve"> It is important that the patient feels in control and involved when making decisions about their care. </w:t>
      </w:r>
      <w:r w:rsidRPr="007C40AE">
        <w:rPr>
          <w:rFonts w:ascii="Calibri" w:hAnsi="Calibri" w:cs="Calibri"/>
          <w:color w:val="2C3E50"/>
          <w:shd w:val="clear" w:color="auto" w:fill="FFFFFF"/>
        </w:rPr>
        <w:t>When the relationship ends,</w:t>
      </w:r>
      <w:r>
        <w:rPr>
          <w:rFonts w:ascii="Calibri" w:hAnsi="Calibri" w:cs="Calibri"/>
          <w:color w:val="2C3E50"/>
          <w:shd w:val="clear" w:color="auto" w:fill="FFFFFF"/>
        </w:rPr>
        <w:t xml:space="preserve"> the</w:t>
      </w:r>
      <w:r w:rsidRPr="007C40AE">
        <w:rPr>
          <w:rFonts w:ascii="Calibri" w:hAnsi="Calibri" w:cs="Calibri"/>
          <w:color w:val="2C3E50"/>
          <w:shd w:val="clear" w:color="auto" w:fill="FFFFFF"/>
        </w:rPr>
        <w:t xml:space="preserve"> CMHN </w:t>
      </w:r>
      <w:r>
        <w:rPr>
          <w:rFonts w:ascii="Calibri" w:hAnsi="Calibri" w:cs="Calibri"/>
          <w:color w:val="2C3E50"/>
          <w:shd w:val="clear" w:color="auto" w:fill="FFFFFF"/>
        </w:rPr>
        <w:t xml:space="preserve">need to approach the situation </w:t>
      </w:r>
      <w:r w:rsidRPr="007C40AE">
        <w:rPr>
          <w:rFonts w:ascii="Calibri" w:hAnsi="Calibri" w:cs="Calibri"/>
          <w:color w:val="2C3E50"/>
          <w:shd w:val="clear" w:color="auto" w:fill="FFFFFF"/>
        </w:rPr>
        <w:t xml:space="preserve">sensitively, </w:t>
      </w:r>
      <w:r>
        <w:rPr>
          <w:rFonts w:ascii="Calibri" w:hAnsi="Calibri" w:cs="Calibri"/>
          <w:color w:val="2C3E50"/>
          <w:shd w:val="clear" w:color="auto" w:fill="FFFFFF"/>
        </w:rPr>
        <w:t xml:space="preserve">summarising the key points and </w:t>
      </w:r>
      <w:r w:rsidRPr="007C40AE">
        <w:rPr>
          <w:rFonts w:ascii="Calibri" w:hAnsi="Calibri" w:cs="Calibri"/>
          <w:color w:val="2C3E50"/>
          <w:shd w:val="clear" w:color="auto" w:fill="FFFFFF"/>
        </w:rPr>
        <w:t xml:space="preserve">ensuring that the patient feels supported and </w:t>
      </w:r>
      <w:r>
        <w:rPr>
          <w:rFonts w:ascii="Calibri" w:hAnsi="Calibri" w:cs="Calibri"/>
          <w:color w:val="2C3E50"/>
          <w:shd w:val="clear" w:color="auto" w:fill="FFFFFF"/>
        </w:rPr>
        <w:t xml:space="preserve">is </w:t>
      </w:r>
      <w:r w:rsidRPr="007C40AE">
        <w:rPr>
          <w:rFonts w:ascii="Calibri" w:hAnsi="Calibri" w:cs="Calibri"/>
          <w:color w:val="2C3E50"/>
          <w:shd w:val="clear" w:color="auto" w:fill="FFFFFF"/>
        </w:rPr>
        <w:t>prepared for</w:t>
      </w:r>
      <w:r>
        <w:rPr>
          <w:rFonts w:ascii="Calibri" w:hAnsi="Calibri" w:cs="Calibri"/>
          <w:color w:val="2C3E50"/>
          <w:shd w:val="clear" w:color="auto" w:fill="FFFFFF"/>
        </w:rPr>
        <w:t xml:space="preserve"> and aware of the next steps</w:t>
      </w:r>
      <w:r w:rsidRPr="007C40AE">
        <w:rPr>
          <w:rFonts w:ascii="Calibri" w:hAnsi="Calibri" w:cs="Calibri"/>
          <w:color w:val="2C3E50"/>
          <w:shd w:val="clear" w:color="auto" w:fill="FFFFFF"/>
        </w:rPr>
        <w:t xml:space="preserve"> (Norcross &amp; Wampold, 2019).</w:t>
      </w:r>
    </w:p>
    <w:p w14:paraId="6882F8A5" w14:textId="77777777" w:rsidR="00D46B56" w:rsidRDefault="00D46B56" w:rsidP="00D46B56">
      <w:pPr>
        <w:rPr>
          <w:rFonts w:ascii="Calibri" w:hAnsi="Calibri" w:cs="Calibri"/>
          <w:b/>
          <w:bCs/>
        </w:rPr>
      </w:pPr>
      <w:r>
        <w:rPr>
          <w:rFonts w:ascii="Calibri" w:hAnsi="Calibri" w:cs="Calibri"/>
          <w:b/>
          <w:bCs/>
        </w:rPr>
        <w:t>Personal qualities</w:t>
      </w:r>
    </w:p>
    <w:p w14:paraId="0389B693" w14:textId="77777777" w:rsidR="00D46B56" w:rsidRDefault="00D46B56" w:rsidP="00D46B56">
      <w:pPr>
        <w:ind w:firstLine="720"/>
        <w:rPr>
          <w:rFonts w:ascii="Calibri" w:hAnsi="Calibri" w:cs="Calibri"/>
          <w:color w:val="2C3E50"/>
          <w:shd w:val="clear" w:color="auto" w:fill="FFFFFF"/>
        </w:rPr>
      </w:pPr>
      <w:r>
        <w:rPr>
          <w:rFonts w:ascii="Calibri" w:hAnsi="Calibri" w:cs="Calibri"/>
          <w:color w:val="2C3E50"/>
          <w:shd w:val="clear" w:color="auto" w:fill="FFFFFF"/>
        </w:rPr>
        <w:t>When counselling a patient, it is particularly important that a health professional is aware of one’s actions, emotions, and decisions. A professional would need to look past one’s own judgements and personal bias in order to focus on the other person (BACP, 2020). It is important to understand and acknowledge how personal feelings could help or hinder the interaction. Reflective practice can play a vital role in this as it allows the CMHN to be more self-aware and identify areas for development or support. Nobody will know the answer to every question, so it is important that anything outside a practitioner’s remit is escalated appropriately, and the patient is signposted if it is outside the knowledge base of the CMHN. By being self-aware and recognising any limitations, it keeps the focus on the intervention being person-centred and free from outside influences. Remaining patient, resilient, and empathetic will further aid in the CMHNs ability to support their patient and offer the best, most appropriate support they can (Fook &amp; Gardner, 2007)</w:t>
      </w:r>
    </w:p>
    <w:p w14:paraId="552DD6B4" w14:textId="77777777" w:rsidR="00D46B56" w:rsidRDefault="00D46B56" w:rsidP="00D46B56">
      <w:pPr>
        <w:rPr>
          <w:rFonts w:ascii="Calibri" w:hAnsi="Calibri" w:cs="Calibri"/>
          <w:b/>
          <w:bCs/>
        </w:rPr>
      </w:pPr>
      <w:r>
        <w:rPr>
          <w:rFonts w:ascii="Calibri" w:hAnsi="Calibri" w:cs="Calibri"/>
          <w:b/>
          <w:bCs/>
        </w:rPr>
        <w:t>Conclusion</w:t>
      </w:r>
    </w:p>
    <w:p w14:paraId="5A92A529" w14:textId="77777777" w:rsidR="00D46B56" w:rsidRDefault="00D46B56" w:rsidP="00D46B56">
      <w:pPr>
        <w:ind w:firstLine="720"/>
        <w:rPr>
          <w:rFonts w:ascii="Calibri" w:hAnsi="Calibri" w:cs="Calibri"/>
          <w:color w:val="2C3E50"/>
          <w:shd w:val="clear" w:color="auto" w:fill="FFFFFF"/>
        </w:rPr>
        <w:sectPr w:rsidR="00D46B56" w:rsidSect="00D46B56">
          <w:pgSz w:w="11906" w:h="16838" w:code="9"/>
          <w:pgMar w:top="1440" w:right="1440" w:bottom="1440" w:left="1440" w:header="709" w:footer="709" w:gutter="0"/>
          <w:cols w:space="708"/>
          <w:docGrid w:linePitch="360"/>
        </w:sectPr>
      </w:pPr>
      <w:r>
        <w:rPr>
          <w:rFonts w:ascii="Calibri" w:hAnsi="Calibri" w:cs="Calibri"/>
          <w:color w:val="2C3E50"/>
          <w:shd w:val="clear" w:color="auto" w:fill="FFFFFF"/>
        </w:rPr>
        <w:t xml:space="preserve">In the UK, mental health services are under extreme pressure, and the wait to see a Psychiatrist or a counsellor on the NHS can be extensive. By employing these skills, CMHNs can improve resilience and focus on improving a person’s quality of life without having to wait. Whilst the role of counsellor is not their primary role, CMHNs can support people with interventions at a time where it may be needed the most. By having open discussions, a CMHN can positively influence the life of a person as they wait for further support, reducing stigma and providing an opportunity for signposting to additional services that may be of use. CMHNs provide an invaluable service and with </w:t>
      </w:r>
      <w:r>
        <w:rPr>
          <w:rFonts w:ascii="Calibri" w:hAnsi="Calibri" w:cs="Calibri"/>
          <w:color w:val="2C3E50"/>
          <w:shd w:val="clear" w:color="auto" w:fill="FFFFFF"/>
        </w:rPr>
        <w:lastRenderedPageBreak/>
        <w:t>the right training and knowledge, they can be the lifeline that many people need when they feel there is nowhere else to turn.</w:t>
      </w:r>
    </w:p>
    <w:p w14:paraId="260C2F79" w14:textId="77777777" w:rsidR="00D46B56" w:rsidRDefault="00D46B56" w:rsidP="00D46B56">
      <w:pPr>
        <w:spacing w:line="259" w:lineRule="auto"/>
        <w:rPr>
          <w:rFonts w:ascii="Calibri" w:hAnsi="Calibri" w:cs="Calibri"/>
          <w:b/>
          <w:bCs/>
          <w:color w:val="2C3E50"/>
          <w:shd w:val="clear" w:color="auto" w:fill="FFFFFF"/>
        </w:rPr>
      </w:pPr>
      <w:r>
        <w:rPr>
          <w:rFonts w:ascii="Calibri" w:hAnsi="Calibri" w:cs="Calibri"/>
          <w:b/>
          <w:bCs/>
          <w:color w:val="2C3E50"/>
          <w:shd w:val="clear" w:color="auto" w:fill="FFFFFF"/>
        </w:rPr>
        <w:lastRenderedPageBreak/>
        <w:t>References</w:t>
      </w:r>
    </w:p>
    <w:p w14:paraId="3C85ECB4" w14:textId="77777777" w:rsidR="00D46B56" w:rsidRDefault="00D46B56" w:rsidP="00D46B56">
      <w:pPr>
        <w:ind w:left="720" w:hanging="720"/>
        <w:rPr>
          <w:rFonts w:ascii="Calibri" w:hAnsi="Calibri" w:cs="Calibri"/>
        </w:rPr>
      </w:pPr>
      <w:r w:rsidRPr="00DD3613">
        <w:rPr>
          <w:rFonts w:ascii="Calibri" w:hAnsi="Calibri" w:cs="Calibri"/>
        </w:rPr>
        <w:t>British Association for Counselling and Psychotherapy</w:t>
      </w:r>
      <w:r>
        <w:rPr>
          <w:rFonts w:ascii="Calibri" w:hAnsi="Calibri" w:cs="Calibri"/>
        </w:rPr>
        <w:t xml:space="preserve"> (</w:t>
      </w:r>
      <w:r w:rsidRPr="006925B4">
        <w:rPr>
          <w:rFonts w:ascii="Calibri" w:hAnsi="Calibri" w:cs="Calibri"/>
        </w:rPr>
        <w:t>BACP</w:t>
      </w:r>
      <w:r>
        <w:rPr>
          <w:rFonts w:ascii="Calibri" w:hAnsi="Calibri" w:cs="Calibri"/>
        </w:rPr>
        <w:t>)</w:t>
      </w:r>
      <w:r w:rsidRPr="006925B4">
        <w:rPr>
          <w:rFonts w:ascii="Calibri" w:hAnsi="Calibri" w:cs="Calibri"/>
        </w:rPr>
        <w:t>. (2020). </w:t>
      </w:r>
      <w:r w:rsidRPr="006925B4">
        <w:rPr>
          <w:rFonts w:ascii="Calibri" w:hAnsi="Calibri" w:cs="Calibri"/>
          <w:i/>
          <w:iCs/>
        </w:rPr>
        <w:t>Counselling skills competence framework</w:t>
      </w:r>
      <w:r w:rsidRPr="006925B4">
        <w:rPr>
          <w:rFonts w:ascii="Calibri" w:hAnsi="Calibri" w:cs="Calibri"/>
        </w:rPr>
        <w:t>.</w:t>
      </w:r>
      <w:r>
        <w:rPr>
          <w:rFonts w:ascii="Calibri" w:hAnsi="Calibri" w:cs="Calibri"/>
        </w:rPr>
        <w:t xml:space="preserve"> BACP</w:t>
      </w:r>
      <w:r w:rsidRPr="006925B4">
        <w:rPr>
          <w:rFonts w:ascii="Calibri" w:hAnsi="Calibri" w:cs="Calibri"/>
        </w:rPr>
        <w:t xml:space="preserve"> </w:t>
      </w:r>
      <w:hyperlink r:id="rId8" w:history="1">
        <w:r w:rsidRPr="006925B4">
          <w:rPr>
            <w:rStyle w:val="Hyperlink"/>
            <w:rFonts w:ascii="Calibri" w:hAnsi="Calibri" w:cs="Calibri"/>
          </w:rPr>
          <w:t>https://www.bacp.co.uk/media/8890/bacp-counselling-skills-competence-framework-may20.pdf</w:t>
        </w:r>
      </w:hyperlink>
      <w:r w:rsidRPr="00B01647">
        <w:rPr>
          <w:rFonts w:ascii="Calibri" w:hAnsi="Calibri" w:cs="Calibri"/>
        </w:rPr>
        <w:t xml:space="preserve"> </w:t>
      </w:r>
    </w:p>
    <w:p w14:paraId="78D6949F" w14:textId="77777777" w:rsidR="00D46B56" w:rsidRPr="00770F23" w:rsidRDefault="00D46B56" w:rsidP="00D46B56">
      <w:pPr>
        <w:ind w:left="720" w:hanging="720"/>
        <w:rPr>
          <w:rFonts w:ascii="Calibri" w:hAnsi="Calibri" w:cs="Calibri"/>
        </w:rPr>
      </w:pPr>
      <w:r w:rsidRPr="00DD3613">
        <w:rPr>
          <w:rFonts w:ascii="Calibri" w:hAnsi="Calibri" w:cs="Calibri"/>
        </w:rPr>
        <w:t>British Association for Counselling and Psychotherapy</w:t>
      </w:r>
      <w:r>
        <w:rPr>
          <w:rFonts w:ascii="Calibri" w:hAnsi="Calibri" w:cs="Calibri"/>
        </w:rPr>
        <w:t xml:space="preserve"> (</w:t>
      </w:r>
      <w:r w:rsidRPr="006925B4">
        <w:rPr>
          <w:rFonts w:ascii="Calibri" w:hAnsi="Calibri" w:cs="Calibri"/>
        </w:rPr>
        <w:t>BACP</w:t>
      </w:r>
      <w:r>
        <w:rPr>
          <w:rFonts w:ascii="Calibri" w:hAnsi="Calibri" w:cs="Calibri"/>
        </w:rPr>
        <w:t>)</w:t>
      </w:r>
      <w:r w:rsidRPr="00770F23">
        <w:rPr>
          <w:rFonts w:ascii="Calibri" w:hAnsi="Calibri" w:cs="Calibri"/>
        </w:rPr>
        <w:t>. (202</w:t>
      </w:r>
      <w:r>
        <w:rPr>
          <w:rFonts w:ascii="Calibri" w:hAnsi="Calibri" w:cs="Calibri"/>
        </w:rPr>
        <w:t>0</w:t>
      </w:r>
      <w:r w:rsidRPr="00770F23">
        <w:rPr>
          <w:rFonts w:ascii="Calibri" w:hAnsi="Calibri" w:cs="Calibri"/>
        </w:rPr>
        <w:t>). </w:t>
      </w:r>
      <w:r w:rsidRPr="00770F23">
        <w:rPr>
          <w:rFonts w:ascii="Calibri" w:hAnsi="Calibri" w:cs="Calibri"/>
          <w:i/>
          <w:iCs/>
        </w:rPr>
        <w:t>Counselling skills: An introduction for BACP members</w:t>
      </w:r>
      <w:r w:rsidRPr="00770F23">
        <w:rPr>
          <w:rFonts w:ascii="Calibri" w:hAnsi="Calibri" w:cs="Calibri"/>
        </w:rPr>
        <w:t xml:space="preserve">. </w:t>
      </w:r>
      <w:r>
        <w:rPr>
          <w:rFonts w:ascii="Calibri" w:hAnsi="Calibri" w:cs="Calibri"/>
        </w:rPr>
        <w:t>BACP</w:t>
      </w:r>
      <w:r w:rsidRPr="00770F23">
        <w:rPr>
          <w:rFonts w:ascii="Calibri" w:hAnsi="Calibri" w:cs="Calibri"/>
        </w:rPr>
        <w:t xml:space="preserve">. </w:t>
      </w:r>
      <w:hyperlink r:id="rId9" w:history="1">
        <w:r w:rsidRPr="00770F23">
          <w:rPr>
            <w:rStyle w:val="Hyperlink"/>
            <w:rFonts w:ascii="Calibri" w:hAnsi="Calibri" w:cs="Calibri"/>
          </w:rPr>
          <w:t>https://www.bacp.co.uk/events-and-resources/ethics-and-standards/competences-and-curricula/counselling-skills/counselling-skills-members/</w:t>
        </w:r>
      </w:hyperlink>
      <w:r>
        <w:rPr>
          <w:rFonts w:ascii="Calibri" w:hAnsi="Calibri" w:cs="Calibri"/>
        </w:rPr>
        <w:t xml:space="preserve"> </w:t>
      </w:r>
    </w:p>
    <w:p w14:paraId="5B1092CB" w14:textId="77777777" w:rsidR="00D46B56" w:rsidRDefault="00D46B56" w:rsidP="00D46B56">
      <w:pPr>
        <w:ind w:left="720" w:hanging="720"/>
        <w:rPr>
          <w:rFonts w:ascii="Calibri" w:hAnsi="Calibri" w:cs="Calibri"/>
        </w:rPr>
      </w:pPr>
      <w:r w:rsidRPr="00770F23">
        <w:rPr>
          <w:rFonts w:ascii="Calibri" w:hAnsi="Calibri" w:cs="Calibri"/>
        </w:rPr>
        <w:t>‌</w:t>
      </w:r>
      <w:r w:rsidRPr="00F40A78">
        <w:rPr>
          <w:rFonts w:ascii="Calibri" w:hAnsi="Calibri" w:cs="Calibri"/>
        </w:rPr>
        <w:t>Care Quality Commission</w:t>
      </w:r>
      <w:r>
        <w:rPr>
          <w:rFonts w:ascii="Calibri" w:hAnsi="Calibri" w:cs="Calibri"/>
        </w:rPr>
        <w:t xml:space="preserve"> (CQC)</w:t>
      </w:r>
      <w:r w:rsidRPr="00F40A78">
        <w:rPr>
          <w:rFonts w:ascii="Calibri" w:hAnsi="Calibri" w:cs="Calibri"/>
        </w:rPr>
        <w:t>. (202</w:t>
      </w:r>
      <w:r>
        <w:rPr>
          <w:rFonts w:ascii="Calibri" w:hAnsi="Calibri" w:cs="Calibri"/>
        </w:rPr>
        <w:t>4</w:t>
      </w:r>
      <w:r w:rsidRPr="00F40A78">
        <w:rPr>
          <w:rFonts w:ascii="Calibri" w:hAnsi="Calibri" w:cs="Calibri"/>
        </w:rPr>
        <w:t>). </w:t>
      </w:r>
      <w:r w:rsidRPr="00F40A78">
        <w:rPr>
          <w:rFonts w:ascii="Calibri" w:hAnsi="Calibri" w:cs="Calibri"/>
          <w:i/>
          <w:iCs/>
        </w:rPr>
        <w:t>State of Care</w:t>
      </w:r>
      <w:r>
        <w:rPr>
          <w:rFonts w:ascii="Calibri" w:hAnsi="Calibri" w:cs="Calibri"/>
          <w:i/>
          <w:iCs/>
        </w:rPr>
        <w:t xml:space="preserve">. </w:t>
      </w:r>
      <w:r w:rsidRPr="00F40A78">
        <w:rPr>
          <w:rFonts w:ascii="Calibri" w:hAnsi="Calibri" w:cs="Calibri"/>
        </w:rPr>
        <w:t>CQC</w:t>
      </w:r>
      <w:r>
        <w:rPr>
          <w:rFonts w:ascii="Calibri" w:hAnsi="Calibri" w:cs="Calibri"/>
        </w:rPr>
        <w:t xml:space="preserve"> </w:t>
      </w:r>
      <w:hyperlink r:id="rId10" w:history="1">
        <w:r w:rsidRPr="00F40A78">
          <w:rPr>
            <w:rStyle w:val="Hyperlink"/>
            <w:rFonts w:ascii="Calibri" w:hAnsi="Calibri" w:cs="Calibri"/>
          </w:rPr>
          <w:t>https://www.cqc.org.uk/publications/major-report/state-care</w:t>
        </w:r>
      </w:hyperlink>
      <w:r>
        <w:rPr>
          <w:rFonts w:ascii="Calibri" w:hAnsi="Calibri" w:cs="Calibri"/>
        </w:rPr>
        <w:t xml:space="preserve"> </w:t>
      </w:r>
    </w:p>
    <w:p w14:paraId="25DC597A" w14:textId="77777777" w:rsidR="00D46B56" w:rsidRDefault="00D46B56" w:rsidP="00D46B56">
      <w:pPr>
        <w:ind w:left="720" w:hanging="720"/>
        <w:rPr>
          <w:rFonts w:ascii="Calibri" w:hAnsi="Calibri" w:cs="Calibri"/>
        </w:rPr>
      </w:pPr>
      <w:r w:rsidRPr="00E00990">
        <w:rPr>
          <w:rFonts w:ascii="Calibri" w:hAnsi="Calibri" w:cs="Calibri"/>
        </w:rPr>
        <w:t xml:space="preserve">Fook, J., &amp; Gardner, F. (2007). </w:t>
      </w:r>
      <w:r w:rsidRPr="00E00990">
        <w:rPr>
          <w:rFonts w:ascii="Calibri" w:hAnsi="Calibri" w:cs="Calibri"/>
          <w:i/>
          <w:iCs/>
        </w:rPr>
        <w:t>Practising critical reflection: A resource handbook</w:t>
      </w:r>
      <w:r w:rsidRPr="00E00990">
        <w:rPr>
          <w:rFonts w:ascii="Calibri" w:hAnsi="Calibri" w:cs="Calibri"/>
        </w:rPr>
        <w:t>. McGraw-Hill Education.</w:t>
      </w:r>
    </w:p>
    <w:p w14:paraId="11616E19" w14:textId="77777777" w:rsidR="00D46B56" w:rsidRDefault="00D46B56" w:rsidP="00D46B56">
      <w:pPr>
        <w:ind w:left="720" w:hanging="720"/>
        <w:rPr>
          <w:rFonts w:ascii="Calibri" w:hAnsi="Calibri" w:cs="Calibri"/>
        </w:rPr>
      </w:pPr>
      <w:r>
        <w:rPr>
          <w:rFonts w:ascii="Calibri" w:hAnsi="Calibri" w:cs="Calibri"/>
        </w:rPr>
        <w:t>General Medical Council (</w:t>
      </w:r>
      <w:r w:rsidRPr="009B4E6C">
        <w:rPr>
          <w:rFonts w:ascii="Calibri" w:hAnsi="Calibri" w:cs="Calibri"/>
        </w:rPr>
        <w:t>GMC</w:t>
      </w:r>
      <w:r>
        <w:rPr>
          <w:rFonts w:ascii="Calibri" w:hAnsi="Calibri" w:cs="Calibri"/>
        </w:rPr>
        <w:t>)</w:t>
      </w:r>
      <w:r w:rsidRPr="009B4E6C">
        <w:rPr>
          <w:rFonts w:ascii="Calibri" w:hAnsi="Calibri" w:cs="Calibri"/>
        </w:rPr>
        <w:t>. (20</w:t>
      </w:r>
      <w:r>
        <w:rPr>
          <w:rFonts w:ascii="Calibri" w:hAnsi="Calibri" w:cs="Calibri"/>
        </w:rPr>
        <w:t>17</w:t>
      </w:r>
      <w:r w:rsidRPr="009B4E6C">
        <w:rPr>
          <w:rFonts w:ascii="Calibri" w:hAnsi="Calibri" w:cs="Calibri"/>
        </w:rPr>
        <w:t>). </w:t>
      </w:r>
      <w:r w:rsidRPr="009B4E6C">
        <w:rPr>
          <w:rFonts w:ascii="Calibri" w:hAnsi="Calibri" w:cs="Calibri"/>
          <w:i/>
          <w:iCs/>
        </w:rPr>
        <w:t>Confidentiality: good Practice in Handling Patient Information</w:t>
      </w:r>
      <w:r w:rsidRPr="009B4E6C">
        <w:rPr>
          <w:rFonts w:ascii="Calibri" w:hAnsi="Calibri" w:cs="Calibri"/>
        </w:rPr>
        <w:t xml:space="preserve">. </w:t>
      </w:r>
      <w:r>
        <w:rPr>
          <w:rFonts w:ascii="Calibri" w:hAnsi="Calibri" w:cs="Calibri"/>
        </w:rPr>
        <w:t xml:space="preserve">GMC. </w:t>
      </w:r>
      <w:hyperlink r:id="rId11" w:history="1">
        <w:r w:rsidRPr="009B4E6C">
          <w:rPr>
            <w:rStyle w:val="Hyperlink"/>
            <w:rFonts w:ascii="Calibri" w:hAnsi="Calibri" w:cs="Calibri"/>
          </w:rPr>
          <w:t>https://www.gmc-uk.org/professional-standards/the-professional-standards/confidentiality</w:t>
        </w:r>
      </w:hyperlink>
      <w:r>
        <w:rPr>
          <w:rFonts w:ascii="Calibri" w:hAnsi="Calibri" w:cs="Calibri"/>
        </w:rPr>
        <w:t xml:space="preserve"> </w:t>
      </w:r>
    </w:p>
    <w:p w14:paraId="61C96137" w14:textId="77777777" w:rsidR="00D46B56" w:rsidRDefault="00D46B56" w:rsidP="00D46B56">
      <w:pPr>
        <w:ind w:left="720" w:hanging="720"/>
        <w:rPr>
          <w:rFonts w:ascii="Calibri" w:hAnsi="Calibri" w:cs="Calibri"/>
        </w:rPr>
      </w:pPr>
      <w:r w:rsidRPr="0079340C">
        <w:rPr>
          <w:rFonts w:ascii="Calibri" w:hAnsi="Calibri" w:cs="Calibri"/>
        </w:rPr>
        <w:t>Merriam Webster. (2025). </w:t>
      </w:r>
      <w:r w:rsidRPr="0079340C">
        <w:rPr>
          <w:rFonts w:ascii="Calibri" w:hAnsi="Calibri" w:cs="Calibri"/>
          <w:i/>
          <w:iCs/>
        </w:rPr>
        <w:t>Empathy</w:t>
      </w:r>
      <w:r w:rsidRPr="0079340C">
        <w:rPr>
          <w:rFonts w:ascii="Calibri" w:hAnsi="Calibri" w:cs="Calibri"/>
        </w:rPr>
        <w:t xml:space="preserve">. Merriam-Webster.com. </w:t>
      </w:r>
      <w:hyperlink r:id="rId12" w:history="1">
        <w:r w:rsidRPr="0079340C">
          <w:rPr>
            <w:rStyle w:val="Hyperlink"/>
            <w:rFonts w:ascii="Calibri" w:hAnsi="Calibri" w:cs="Calibri"/>
          </w:rPr>
          <w:t>https://www.merriam-webster.com/dictionary/empathy</w:t>
        </w:r>
      </w:hyperlink>
      <w:r>
        <w:rPr>
          <w:rFonts w:ascii="Calibri" w:hAnsi="Calibri" w:cs="Calibri"/>
        </w:rPr>
        <w:t xml:space="preserve"> </w:t>
      </w:r>
      <w:r w:rsidRPr="0079340C">
        <w:rPr>
          <w:rFonts w:ascii="Calibri" w:hAnsi="Calibri" w:cs="Calibri"/>
        </w:rPr>
        <w:t>‌</w:t>
      </w:r>
    </w:p>
    <w:p w14:paraId="05A3544D" w14:textId="77777777" w:rsidR="00D46B56" w:rsidRPr="00D41BED" w:rsidRDefault="00D46B56" w:rsidP="00D46B56">
      <w:pPr>
        <w:rPr>
          <w:rFonts w:ascii="Calibri" w:hAnsi="Calibri" w:cs="Calibri"/>
        </w:rPr>
      </w:pPr>
      <w:r w:rsidRPr="00E07AF8">
        <w:rPr>
          <w:rFonts w:ascii="Calibri" w:hAnsi="Calibri" w:cs="Calibri"/>
        </w:rPr>
        <w:t>Norcross, J. C., &amp; Wampold, B. E. (2019). Relationships and responsiveness in the psychological treatment of trauma: The tragedy of the APA Clinical Practice Guideline. </w:t>
      </w:r>
      <w:r w:rsidRPr="00E07AF8">
        <w:rPr>
          <w:rFonts w:ascii="Calibri" w:hAnsi="Calibri" w:cs="Calibri"/>
          <w:i/>
          <w:iCs/>
        </w:rPr>
        <w:t>Psychotherapy</w:t>
      </w:r>
      <w:r w:rsidRPr="00E07AF8">
        <w:rPr>
          <w:rFonts w:ascii="Calibri" w:hAnsi="Calibri" w:cs="Calibri"/>
        </w:rPr>
        <w:t>, </w:t>
      </w:r>
      <w:r w:rsidRPr="00E07AF8">
        <w:rPr>
          <w:rFonts w:ascii="Calibri" w:hAnsi="Calibri" w:cs="Calibri"/>
          <w:i/>
          <w:iCs/>
        </w:rPr>
        <w:t>56</w:t>
      </w:r>
      <w:r w:rsidRPr="00E07AF8">
        <w:rPr>
          <w:rFonts w:ascii="Calibri" w:hAnsi="Calibri" w:cs="Calibri"/>
        </w:rPr>
        <w:t xml:space="preserve">(3), 391–399. </w:t>
      </w:r>
      <w:hyperlink r:id="rId13" w:history="1">
        <w:r w:rsidRPr="00E07AF8">
          <w:rPr>
            <w:rStyle w:val="Hyperlink"/>
            <w:rFonts w:ascii="Calibri" w:hAnsi="Calibri" w:cs="Calibri"/>
          </w:rPr>
          <w:t>https://doi.org/10.1037/pst0000228</w:t>
        </w:r>
      </w:hyperlink>
    </w:p>
    <w:p w14:paraId="15AACA59" w14:textId="77777777" w:rsidR="003342C8" w:rsidRPr="009374FF" w:rsidRDefault="003342C8" w:rsidP="00D46B56">
      <w:pPr>
        <w:rPr>
          <w:rFonts w:ascii="Calibri" w:hAnsi="Calibri" w:cs="Calibri"/>
        </w:rPr>
      </w:pPr>
    </w:p>
    <w:sectPr w:rsidR="003342C8" w:rsidRPr="009374FF" w:rsidSect="00D46B56">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C10151" w14:textId="77777777" w:rsidR="00745140" w:rsidRDefault="00745140" w:rsidP="000716E0">
      <w:pPr>
        <w:spacing w:after="0" w:line="240" w:lineRule="auto"/>
      </w:pPr>
      <w:r>
        <w:separator/>
      </w:r>
    </w:p>
  </w:endnote>
  <w:endnote w:type="continuationSeparator" w:id="0">
    <w:p w14:paraId="3C11F8A9" w14:textId="77777777" w:rsidR="00745140" w:rsidRDefault="00745140" w:rsidP="000716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B7F840" w14:textId="1258403A" w:rsidR="000716E0" w:rsidRDefault="000716E0">
    <w:pPr>
      <w:pStyle w:val="Footer"/>
    </w:pPr>
  </w:p>
  <w:p w14:paraId="57320BEB" w14:textId="77777777" w:rsidR="000716E0" w:rsidRDefault="000716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E755A" w14:textId="77777777" w:rsidR="00745140" w:rsidRDefault="00745140" w:rsidP="000716E0">
      <w:pPr>
        <w:spacing w:after="0" w:line="240" w:lineRule="auto"/>
      </w:pPr>
      <w:r>
        <w:separator/>
      </w:r>
    </w:p>
  </w:footnote>
  <w:footnote w:type="continuationSeparator" w:id="0">
    <w:p w14:paraId="1B881823" w14:textId="77777777" w:rsidR="00745140" w:rsidRDefault="00745140" w:rsidP="000716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4084052"/>
      <w:docPartObj>
        <w:docPartGallery w:val="Page Numbers (Top of Page)"/>
        <w:docPartUnique/>
      </w:docPartObj>
    </w:sdtPr>
    <w:sdtEndPr/>
    <w:sdtContent>
      <w:p w14:paraId="6F71952D" w14:textId="628EF9FA" w:rsidR="0068523C" w:rsidRDefault="0068523C">
        <w:pPr>
          <w:pStyle w:val="Header"/>
          <w:jc w:val="right"/>
        </w:pPr>
        <w:r>
          <w:fldChar w:fldCharType="begin"/>
        </w:r>
        <w:r>
          <w:instrText>PAGE   \* MERGEFORMAT</w:instrText>
        </w:r>
        <w:r>
          <w:fldChar w:fldCharType="separate"/>
        </w:r>
        <w:r>
          <w:t>2</w:t>
        </w:r>
        <w:r>
          <w:fldChar w:fldCharType="end"/>
        </w:r>
      </w:p>
    </w:sdtContent>
  </w:sdt>
  <w:p w14:paraId="5943D948" w14:textId="77777777" w:rsidR="0068523C" w:rsidRDefault="006852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169"/>
    <w:rsid w:val="00002798"/>
    <w:rsid w:val="000204B0"/>
    <w:rsid w:val="00051C47"/>
    <w:rsid w:val="00056ABC"/>
    <w:rsid w:val="00065A97"/>
    <w:rsid w:val="000716E0"/>
    <w:rsid w:val="000944A5"/>
    <w:rsid w:val="000C490A"/>
    <w:rsid w:val="000E6C66"/>
    <w:rsid w:val="000F495A"/>
    <w:rsid w:val="00103DB1"/>
    <w:rsid w:val="001148C3"/>
    <w:rsid w:val="0012318E"/>
    <w:rsid w:val="00126B48"/>
    <w:rsid w:val="001401A1"/>
    <w:rsid w:val="00143F15"/>
    <w:rsid w:val="001647F3"/>
    <w:rsid w:val="0017224B"/>
    <w:rsid w:val="00177B89"/>
    <w:rsid w:val="001A4DC4"/>
    <w:rsid w:val="001B0B73"/>
    <w:rsid w:val="001C351E"/>
    <w:rsid w:val="001D34DB"/>
    <w:rsid w:val="001E208C"/>
    <w:rsid w:val="001F02C1"/>
    <w:rsid w:val="00210A68"/>
    <w:rsid w:val="0022585A"/>
    <w:rsid w:val="00235DA3"/>
    <w:rsid w:val="0024710E"/>
    <w:rsid w:val="002576B0"/>
    <w:rsid w:val="002722FD"/>
    <w:rsid w:val="0029671E"/>
    <w:rsid w:val="002A002C"/>
    <w:rsid w:val="002E04AE"/>
    <w:rsid w:val="002E6D99"/>
    <w:rsid w:val="002E7731"/>
    <w:rsid w:val="003050A0"/>
    <w:rsid w:val="003342C8"/>
    <w:rsid w:val="00343E14"/>
    <w:rsid w:val="00346D6D"/>
    <w:rsid w:val="00352FEA"/>
    <w:rsid w:val="00372ABD"/>
    <w:rsid w:val="003958AB"/>
    <w:rsid w:val="003A28AB"/>
    <w:rsid w:val="003A5437"/>
    <w:rsid w:val="003B49DF"/>
    <w:rsid w:val="003E2870"/>
    <w:rsid w:val="003F173D"/>
    <w:rsid w:val="00402B27"/>
    <w:rsid w:val="00422A8D"/>
    <w:rsid w:val="00462498"/>
    <w:rsid w:val="00466968"/>
    <w:rsid w:val="0047185A"/>
    <w:rsid w:val="00494F7E"/>
    <w:rsid w:val="004C1BE0"/>
    <w:rsid w:val="004C63F7"/>
    <w:rsid w:val="004F26A1"/>
    <w:rsid w:val="00520567"/>
    <w:rsid w:val="00520DFA"/>
    <w:rsid w:val="00541B36"/>
    <w:rsid w:val="005A0334"/>
    <w:rsid w:val="005B2936"/>
    <w:rsid w:val="005C7902"/>
    <w:rsid w:val="005E632D"/>
    <w:rsid w:val="00605E49"/>
    <w:rsid w:val="00621967"/>
    <w:rsid w:val="00623D11"/>
    <w:rsid w:val="006609BE"/>
    <w:rsid w:val="0066441A"/>
    <w:rsid w:val="00666481"/>
    <w:rsid w:val="0068523C"/>
    <w:rsid w:val="006B336B"/>
    <w:rsid w:val="006D49D3"/>
    <w:rsid w:val="006E40DE"/>
    <w:rsid w:val="00700AEE"/>
    <w:rsid w:val="00710CB7"/>
    <w:rsid w:val="00722138"/>
    <w:rsid w:val="0073669E"/>
    <w:rsid w:val="00745140"/>
    <w:rsid w:val="007536D1"/>
    <w:rsid w:val="007578FE"/>
    <w:rsid w:val="007661E9"/>
    <w:rsid w:val="00781781"/>
    <w:rsid w:val="007C23F2"/>
    <w:rsid w:val="007C4CFD"/>
    <w:rsid w:val="007E03D9"/>
    <w:rsid w:val="007E650F"/>
    <w:rsid w:val="008029D1"/>
    <w:rsid w:val="00802D0A"/>
    <w:rsid w:val="00810715"/>
    <w:rsid w:val="00823A4D"/>
    <w:rsid w:val="0085211B"/>
    <w:rsid w:val="0085310F"/>
    <w:rsid w:val="00866765"/>
    <w:rsid w:val="00877A77"/>
    <w:rsid w:val="00890FC0"/>
    <w:rsid w:val="008914D1"/>
    <w:rsid w:val="008A40DD"/>
    <w:rsid w:val="008B0807"/>
    <w:rsid w:val="008B73F4"/>
    <w:rsid w:val="008C77DF"/>
    <w:rsid w:val="008E4B81"/>
    <w:rsid w:val="008F1DCD"/>
    <w:rsid w:val="008F4239"/>
    <w:rsid w:val="008F752D"/>
    <w:rsid w:val="00902F65"/>
    <w:rsid w:val="009077E9"/>
    <w:rsid w:val="009234EF"/>
    <w:rsid w:val="00937053"/>
    <w:rsid w:val="009370F8"/>
    <w:rsid w:val="009374FF"/>
    <w:rsid w:val="00944904"/>
    <w:rsid w:val="00951AD0"/>
    <w:rsid w:val="0096577C"/>
    <w:rsid w:val="00973B6D"/>
    <w:rsid w:val="009A42E1"/>
    <w:rsid w:val="009B1943"/>
    <w:rsid w:val="009D04A3"/>
    <w:rsid w:val="009D72DD"/>
    <w:rsid w:val="00A10217"/>
    <w:rsid w:val="00A12198"/>
    <w:rsid w:val="00A33177"/>
    <w:rsid w:val="00A37628"/>
    <w:rsid w:val="00A47882"/>
    <w:rsid w:val="00A534D6"/>
    <w:rsid w:val="00A729A2"/>
    <w:rsid w:val="00A77218"/>
    <w:rsid w:val="00A966B9"/>
    <w:rsid w:val="00A977DA"/>
    <w:rsid w:val="00AC19DE"/>
    <w:rsid w:val="00AC79F1"/>
    <w:rsid w:val="00B25175"/>
    <w:rsid w:val="00B36C01"/>
    <w:rsid w:val="00B3767F"/>
    <w:rsid w:val="00B4555B"/>
    <w:rsid w:val="00B53F60"/>
    <w:rsid w:val="00B710CE"/>
    <w:rsid w:val="00B90014"/>
    <w:rsid w:val="00B965FB"/>
    <w:rsid w:val="00B974EB"/>
    <w:rsid w:val="00BA0213"/>
    <w:rsid w:val="00BB45E5"/>
    <w:rsid w:val="00BF3EE4"/>
    <w:rsid w:val="00C344A7"/>
    <w:rsid w:val="00C42A06"/>
    <w:rsid w:val="00C43AE3"/>
    <w:rsid w:val="00C512DF"/>
    <w:rsid w:val="00C57169"/>
    <w:rsid w:val="00C67FE6"/>
    <w:rsid w:val="00C853D0"/>
    <w:rsid w:val="00C90E30"/>
    <w:rsid w:val="00C91F05"/>
    <w:rsid w:val="00C93321"/>
    <w:rsid w:val="00CC2B1B"/>
    <w:rsid w:val="00CC5A73"/>
    <w:rsid w:val="00CD348B"/>
    <w:rsid w:val="00CF45E9"/>
    <w:rsid w:val="00D04D8D"/>
    <w:rsid w:val="00D12148"/>
    <w:rsid w:val="00D46B56"/>
    <w:rsid w:val="00D5365C"/>
    <w:rsid w:val="00D647AB"/>
    <w:rsid w:val="00D65821"/>
    <w:rsid w:val="00D705E2"/>
    <w:rsid w:val="00DC0BDA"/>
    <w:rsid w:val="00DC479C"/>
    <w:rsid w:val="00DE73B1"/>
    <w:rsid w:val="00DF59F2"/>
    <w:rsid w:val="00E0280B"/>
    <w:rsid w:val="00E10031"/>
    <w:rsid w:val="00E7289D"/>
    <w:rsid w:val="00E82759"/>
    <w:rsid w:val="00E85396"/>
    <w:rsid w:val="00EB0327"/>
    <w:rsid w:val="00ED78A3"/>
    <w:rsid w:val="00ED7F8F"/>
    <w:rsid w:val="00EE675A"/>
    <w:rsid w:val="00EF2DE6"/>
    <w:rsid w:val="00F40717"/>
    <w:rsid w:val="00F4238C"/>
    <w:rsid w:val="00F51AB5"/>
    <w:rsid w:val="00F5587F"/>
    <w:rsid w:val="00F85D0B"/>
    <w:rsid w:val="00FB4D74"/>
    <w:rsid w:val="00FB7C7D"/>
    <w:rsid w:val="00FC3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0D51B"/>
  <w15:chartTrackingRefBased/>
  <w15:docId w15:val="{B6CBFDDC-7C85-46BC-B59C-C72CC3756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1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71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71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71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71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71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71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71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71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1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71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71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71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71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71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71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71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7169"/>
    <w:rPr>
      <w:rFonts w:eastAsiaTheme="majorEastAsia" w:cstheme="majorBidi"/>
      <w:color w:val="272727" w:themeColor="text1" w:themeTint="D8"/>
    </w:rPr>
  </w:style>
  <w:style w:type="paragraph" w:styleId="Title">
    <w:name w:val="Title"/>
    <w:basedOn w:val="Normal"/>
    <w:next w:val="Normal"/>
    <w:link w:val="TitleChar"/>
    <w:uiPriority w:val="10"/>
    <w:qFormat/>
    <w:rsid w:val="00C571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71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71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71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7169"/>
    <w:pPr>
      <w:spacing w:before="160"/>
      <w:jc w:val="center"/>
    </w:pPr>
    <w:rPr>
      <w:i/>
      <w:iCs/>
      <w:color w:val="404040" w:themeColor="text1" w:themeTint="BF"/>
    </w:rPr>
  </w:style>
  <w:style w:type="character" w:customStyle="1" w:styleId="QuoteChar">
    <w:name w:val="Quote Char"/>
    <w:basedOn w:val="DefaultParagraphFont"/>
    <w:link w:val="Quote"/>
    <w:uiPriority w:val="29"/>
    <w:rsid w:val="00C57169"/>
    <w:rPr>
      <w:i/>
      <w:iCs/>
      <w:color w:val="404040" w:themeColor="text1" w:themeTint="BF"/>
    </w:rPr>
  </w:style>
  <w:style w:type="paragraph" w:styleId="ListParagraph">
    <w:name w:val="List Paragraph"/>
    <w:basedOn w:val="Normal"/>
    <w:uiPriority w:val="34"/>
    <w:qFormat/>
    <w:rsid w:val="00C57169"/>
    <w:pPr>
      <w:ind w:left="720"/>
      <w:contextualSpacing/>
    </w:pPr>
  </w:style>
  <w:style w:type="character" w:styleId="IntenseEmphasis">
    <w:name w:val="Intense Emphasis"/>
    <w:basedOn w:val="DefaultParagraphFont"/>
    <w:uiPriority w:val="21"/>
    <w:qFormat/>
    <w:rsid w:val="00C57169"/>
    <w:rPr>
      <w:i/>
      <w:iCs/>
      <w:color w:val="0F4761" w:themeColor="accent1" w:themeShade="BF"/>
    </w:rPr>
  </w:style>
  <w:style w:type="paragraph" w:styleId="IntenseQuote">
    <w:name w:val="Intense Quote"/>
    <w:basedOn w:val="Normal"/>
    <w:next w:val="Normal"/>
    <w:link w:val="IntenseQuoteChar"/>
    <w:uiPriority w:val="30"/>
    <w:qFormat/>
    <w:rsid w:val="00C571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7169"/>
    <w:rPr>
      <w:i/>
      <w:iCs/>
      <w:color w:val="0F4761" w:themeColor="accent1" w:themeShade="BF"/>
    </w:rPr>
  </w:style>
  <w:style w:type="character" w:styleId="IntenseReference">
    <w:name w:val="Intense Reference"/>
    <w:basedOn w:val="DefaultParagraphFont"/>
    <w:uiPriority w:val="32"/>
    <w:qFormat/>
    <w:rsid w:val="00C57169"/>
    <w:rPr>
      <w:b/>
      <w:bCs/>
      <w:smallCaps/>
      <w:color w:val="0F4761" w:themeColor="accent1" w:themeShade="BF"/>
      <w:spacing w:val="5"/>
    </w:rPr>
  </w:style>
  <w:style w:type="paragraph" w:styleId="NoSpacing">
    <w:name w:val="No Spacing"/>
    <w:link w:val="NoSpacingChar"/>
    <w:uiPriority w:val="1"/>
    <w:qFormat/>
    <w:rsid w:val="00C5716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57169"/>
    <w:rPr>
      <w:rFonts w:eastAsiaTheme="minorEastAsia"/>
      <w:kern w:val="0"/>
      <w:lang w:eastAsia="en-GB"/>
      <w14:ligatures w14:val="none"/>
    </w:rPr>
  </w:style>
  <w:style w:type="paragraph" w:styleId="Header">
    <w:name w:val="header"/>
    <w:basedOn w:val="Normal"/>
    <w:link w:val="HeaderChar"/>
    <w:uiPriority w:val="99"/>
    <w:unhideWhenUsed/>
    <w:rsid w:val="000716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6E0"/>
  </w:style>
  <w:style w:type="paragraph" w:styleId="Footer">
    <w:name w:val="footer"/>
    <w:basedOn w:val="Normal"/>
    <w:link w:val="FooterChar"/>
    <w:uiPriority w:val="99"/>
    <w:unhideWhenUsed/>
    <w:rsid w:val="000716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16E0"/>
  </w:style>
  <w:style w:type="character" w:styleId="Hyperlink">
    <w:name w:val="Hyperlink"/>
    <w:basedOn w:val="DefaultParagraphFont"/>
    <w:uiPriority w:val="99"/>
    <w:unhideWhenUsed/>
    <w:rsid w:val="00D04D8D"/>
    <w:rPr>
      <w:color w:val="467886" w:themeColor="hyperlink"/>
      <w:u w:val="single"/>
    </w:rPr>
  </w:style>
  <w:style w:type="character" w:styleId="UnresolvedMention">
    <w:name w:val="Unresolved Mention"/>
    <w:basedOn w:val="DefaultParagraphFont"/>
    <w:uiPriority w:val="99"/>
    <w:semiHidden/>
    <w:unhideWhenUsed/>
    <w:rsid w:val="00D04D8D"/>
    <w:rPr>
      <w:color w:val="605E5C"/>
      <w:shd w:val="clear" w:color="auto" w:fill="E1DFDD"/>
    </w:rPr>
  </w:style>
  <w:style w:type="character" w:styleId="FollowedHyperlink">
    <w:name w:val="FollowedHyperlink"/>
    <w:basedOn w:val="DefaultParagraphFont"/>
    <w:uiPriority w:val="99"/>
    <w:semiHidden/>
    <w:unhideWhenUsed/>
    <w:rsid w:val="00710CB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38620">
      <w:bodyDiv w:val="1"/>
      <w:marLeft w:val="0"/>
      <w:marRight w:val="0"/>
      <w:marTop w:val="0"/>
      <w:marBottom w:val="0"/>
      <w:divBdr>
        <w:top w:val="none" w:sz="0" w:space="0" w:color="auto"/>
        <w:left w:val="none" w:sz="0" w:space="0" w:color="auto"/>
        <w:bottom w:val="none" w:sz="0" w:space="0" w:color="auto"/>
        <w:right w:val="none" w:sz="0" w:space="0" w:color="auto"/>
      </w:divBdr>
    </w:div>
    <w:div w:id="37706350">
      <w:bodyDiv w:val="1"/>
      <w:marLeft w:val="0"/>
      <w:marRight w:val="0"/>
      <w:marTop w:val="0"/>
      <w:marBottom w:val="0"/>
      <w:divBdr>
        <w:top w:val="none" w:sz="0" w:space="0" w:color="auto"/>
        <w:left w:val="none" w:sz="0" w:space="0" w:color="auto"/>
        <w:bottom w:val="none" w:sz="0" w:space="0" w:color="auto"/>
        <w:right w:val="none" w:sz="0" w:space="0" w:color="auto"/>
      </w:divBdr>
      <w:divsChild>
        <w:div w:id="174194958">
          <w:marLeft w:val="-720"/>
          <w:marRight w:val="0"/>
          <w:marTop w:val="0"/>
          <w:marBottom w:val="0"/>
          <w:divBdr>
            <w:top w:val="none" w:sz="0" w:space="0" w:color="auto"/>
            <w:left w:val="none" w:sz="0" w:space="0" w:color="auto"/>
            <w:bottom w:val="none" w:sz="0" w:space="0" w:color="auto"/>
            <w:right w:val="none" w:sz="0" w:space="0" w:color="auto"/>
          </w:divBdr>
        </w:div>
      </w:divsChild>
    </w:div>
    <w:div w:id="100537280">
      <w:bodyDiv w:val="1"/>
      <w:marLeft w:val="0"/>
      <w:marRight w:val="0"/>
      <w:marTop w:val="0"/>
      <w:marBottom w:val="0"/>
      <w:divBdr>
        <w:top w:val="none" w:sz="0" w:space="0" w:color="auto"/>
        <w:left w:val="none" w:sz="0" w:space="0" w:color="auto"/>
        <w:bottom w:val="none" w:sz="0" w:space="0" w:color="auto"/>
        <w:right w:val="none" w:sz="0" w:space="0" w:color="auto"/>
      </w:divBdr>
    </w:div>
    <w:div w:id="106968983">
      <w:bodyDiv w:val="1"/>
      <w:marLeft w:val="0"/>
      <w:marRight w:val="0"/>
      <w:marTop w:val="0"/>
      <w:marBottom w:val="0"/>
      <w:divBdr>
        <w:top w:val="none" w:sz="0" w:space="0" w:color="auto"/>
        <w:left w:val="none" w:sz="0" w:space="0" w:color="auto"/>
        <w:bottom w:val="none" w:sz="0" w:space="0" w:color="auto"/>
        <w:right w:val="none" w:sz="0" w:space="0" w:color="auto"/>
      </w:divBdr>
      <w:divsChild>
        <w:div w:id="1361515945">
          <w:marLeft w:val="-720"/>
          <w:marRight w:val="0"/>
          <w:marTop w:val="0"/>
          <w:marBottom w:val="0"/>
          <w:divBdr>
            <w:top w:val="none" w:sz="0" w:space="0" w:color="auto"/>
            <w:left w:val="none" w:sz="0" w:space="0" w:color="auto"/>
            <w:bottom w:val="none" w:sz="0" w:space="0" w:color="auto"/>
            <w:right w:val="none" w:sz="0" w:space="0" w:color="auto"/>
          </w:divBdr>
        </w:div>
      </w:divsChild>
    </w:div>
    <w:div w:id="114643925">
      <w:bodyDiv w:val="1"/>
      <w:marLeft w:val="0"/>
      <w:marRight w:val="0"/>
      <w:marTop w:val="0"/>
      <w:marBottom w:val="0"/>
      <w:divBdr>
        <w:top w:val="none" w:sz="0" w:space="0" w:color="auto"/>
        <w:left w:val="none" w:sz="0" w:space="0" w:color="auto"/>
        <w:bottom w:val="none" w:sz="0" w:space="0" w:color="auto"/>
        <w:right w:val="none" w:sz="0" w:space="0" w:color="auto"/>
      </w:divBdr>
    </w:div>
    <w:div w:id="139925391">
      <w:bodyDiv w:val="1"/>
      <w:marLeft w:val="0"/>
      <w:marRight w:val="0"/>
      <w:marTop w:val="0"/>
      <w:marBottom w:val="0"/>
      <w:divBdr>
        <w:top w:val="none" w:sz="0" w:space="0" w:color="auto"/>
        <w:left w:val="none" w:sz="0" w:space="0" w:color="auto"/>
        <w:bottom w:val="none" w:sz="0" w:space="0" w:color="auto"/>
        <w:right w:val="none" w:sz="0" w:space="0" w:color="auto"/>
      </w:divBdr>
    </w:div>
    <w:div w:id="155541050">
      <w:bodyDiv w:val="1"/>
      <w:marLeft w:val="0"/>
      <w:marRight w:val="0"/>
      <w:marTop w:val="0"/>
      <w:marBottom w:val="0"/>
      <w:divBdr>
        <w:top w:val="none" w:sz="0" w:space="0" w:color="auto"/>
        <w:left w:val="none" w:sz="0" w:space="0" w:color="auto"/>
        <w:bottom w:val="none" w:sz="0" w:space="0" w:color="auto"/>
        <w:right w:val="none" w:sz="0" w:space="0" w:color="auto"/>
      </w:divBdr>
      <w:divsChild>
        <w:div w:id="1650934829">
          <w:marLeft w:val="-720"/>
          <w:marRight w:val="0"/>
          <w:marTop w:val="0"/>
          <w:marBottom w:val="0"/>
          <w:divBdr>
            <w:top w:val="none" w:sz="0" w:space="0" w:color="auto"/>
            <w:left w:val="none" w:sz="0" w:space="0" w:color="auto"/>
            <w:bottom w:val="none" w:sz="0" w:space="0" w:color="auto"/>
            <w:right w:val="none" w:sz="0" w:space="0" w:color="auto"/>
          </w:divBdr>
        </w:div>
      </w:divsChild>
    </w:div>
    <w:div w:id="212545236">
      <w:bodyDiv w:val="1"/>
      <w:marLeft w:val="0"/>
      <w:marRight w:val="0"/>
      <w:marTop w:val="0"/>
      <w:marBottom w:val="0"/>
      <w:divBdr>
        <w:top w:val="none" w:sz="0" w:space="0" w:color="auto"/>
        <w:left w:val="none" w:sz="0" w:space="0" w:color="auto"/>
        <w:bottom w:val="none" w:sz="0" w:space="0" w:color="auto"/>
        <w:right w:val="none" w:sz="0" w:space="0" w:color="auto"/>
      </w:divBdr>
      <w:divsChild>
        <w:div w:id="250819678">
          <w:marLeft w:val="-720"/>
          <w:marRight w:val="0"/>
          <w:marTop w:val="0"/>
          <w:marBottom w:val="0"/>
          <w:divBdr>
            <w:top w:val="none" w:sz="0" w:space="0" w:color="auto"/>
            <w:left w:val="none" w:sz="0" w:space="0" w:color="auto"/>
            <w:bottom w:val="none" w:sz="0" w:space="0" w:color="auto"/>
            <w:right w:val="none" w:sz="0" w:space="0" w:color="auto"/>
          </w:divBdr>
        </w:div>
      </w:divsChild>
    </w:div>
    <w:div w:id="235940077">
      <w:bodyDiv w:val="1"/>
      <w:marLeft w:val="0"/>
      <w:marRight w:val="0"/>
      <w:marTop w:val="0"/>
      <w:marBottom w:val="0"/>
      <w:divBdr>
        <w:top w:val="none" w:sz="0" w:space="0" w:color="auto"/>
        <w:left w:val="none" w:sz="0" w:space="0" w:color="auto"/>
        <w:bottom w:val="none" w:sz="0" w:space="0" w:color="auto"/>
        <w:right w:val="none" w:sz="0" w:space="0" w:color="auto"/>
      </w:divBdr>
      <w:divsChild>
        <w:div w:id="69545484">
          <w:marLeft w:val="-720"/>
          <w:marRight w:val="0"/>
          <w:marTop w:val="0"/>
          <w:marBottom w:val="0"/>
          <w:divBdr>
            <w:top w:val="none" w:sz="0" w:space="0" w:color="auto"/>
            <w:left w:val="none" w:sz="0" w:space="0" w:color="auto"/>
            <w:bottom w:val="none" w:sz="0" w:space="0" w:color="auto"/>
            <w:right w:val="none" w:sz="0" w:space="0" w:color="auto"/>
          </w:divBdr>
        </w:div>
      </w:divsChild>
    </w:div>
    <w:div w:id="236550990">
      <w:bodyDiv w:val="1"/>
      <w:marLeft w:val="0"/>
      <w:marRight w:val="0"/>
      <w:marTop w:val="0"/>
      <w:marBottom w:val="0"/>
      <w:divBdr>
        <w:top w:val="none" w:sz="0" w:space="0" w:color="auto"/>
        <w:left w:val="none" w:sz="0" w:space="0" w:color="auto"/>
        <w:bottom w:val="none" w:sz="0" w:space="0" w:color="auto"/>
        <w:right w:val="none" w:sz="0" w:space="0" w:color="auto"/>
      </w:divBdr>
      <w:divsChild>
        <w:div w:id="1908877862">
          <w:marLeft w:val="0"/>
          <w:marRight w:val="0"/>
          <w:marTop w:val="0"/>
          <w:marBottom w:val="0"/>
          <w:divBdr>
            <w:top w:val="none" w:sz="0" w:space="0" w:color="auto"/>
            <w:left w:val="none" w:sz="0" w:space="0" w:color="auto"/>
            <w:bottom w:val="none" w:sz="0" w:space="0" w:color="auto"/>
            <w:right w:val="none" w:sz="0" w:space="0" w:color="auto"/>
          </w:divBdr>
          <w:divsChild>
            <w:div w:id="1338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673450">
      <w:bodyDiv w:val="1"/>
      <w:marLeft w:val="0"/>
      <w:marRight w:val="0"/>
      <w:marTop w:val="0"/>
      <w:marBottom w:val="0"/>
      <w:divBdr>
        <w:top w:val="none" w:sz="0" w:space="0" w:color="auto"/>
        <w:left w:val="none" w:sz="0" w:space="0" w:color="auto"/>
        <w:bottom w:val="none" w:sz="0" w:space="0" w:color="auto"/>
        <w:right w:val="none" w:sz="0" w:space="0" w:color="auto"/>
      </w:divBdr>
      <w:divsChild>
        <w:div w:id="1166288842">
          <w:marLeft w:val="0"/>
          <w:marRight w:val="0"/>
          <w:marTop w:val="0"/>
          <w:marBottom w:val="0"/>
          <w:divBdr>
            <w:top w:val="none" w:sz="0" w:space="0" w:color="auto"/>
            <w:left w:val="none" w:sz="0" w:space="0" w:color="auto"/>
            <w:bottom w:val="none" w:sz="0" w:space="0" w:color="auto"/>
            <w:right w:val="none" w:sz="0" w:space="0" w:color="auto"/>
          </w:divBdr>
          <w:divsChild>
            <w:div w:id="8958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908878">
      <w:bodyDiv w:val="1"/>
      <w:marLeft w:val="0"/>
      <w:marRight w:val="0"/>
      <w:marTop w:val="0"/>
      <w:marBottom w:val="0"/>
      <w:divBdr>
        <w:top w:val="none" w:sz="0" w:space="0" w:color="auto"/>
        <w:left w:val="none" w:sz="0" w:space="0" w:color="auto"/>
        <w:bottom w:val="none" w:sz="0" w:space="0" w:color="auto"/>
        <w:right w:val="none" w:sz="0" w:space="0" w:color="auto"/>
      </w:divBdr>
    </w:div>
    <w:div w:id="325091317">
      <w:bodyDiv w:val="1"/>
      <w:marLeft w:val="0"/>
      <w:marRight w:val="0"/>
      <w:marTop w:val="0"/>
      <w:marBottom w:val="0"/>
      <w:divBdr>
        <w:top w:val="none" w:sz="0" w:space="0" w:color="auto"/>
        <w:left w:val="none" w:sz="0" w:space="0" w:color="auto"/>
        <w:bottom w:val="none" w:sz="0" w:space="0" w:color="auto"/>
        <w:right w:val="none" w:sz="0" w:space="0" w:color="auto"/>
      </w:divBdr>
      <w:divsChild>
        <w:div w:id="2004895239">
          <w:marLeft w:val="-720"/>
          <w:marRight w:val="0"/>
          <w:marTop w:val="0"/>
          <w:marBottom w:val="0"/>
          <w:divBdr>
            <w:top w:val="none" w:sz="0" w:space="0" w:color="auto"/>
            <w:left w:val="none" w:sz="0" w:space="0" w:color="auto"/>
            <w:bottom w:val="none" w:sz="0" w:space="0" w:color="auto"/>
            <w:right w:val="none" w:sz="0" w:space="0" w:color="auto"/>
          </w:divBdr>
        </w:div>
      </w:divsChild>
    </w:div>
    <w:div w:id="347878083">
      <w:bodyDiv w:val="1"/>
      <w:marLeft w:val="0"/>
      <w:marRight w:val="0"/>
      <w:marTop w:val="0"/>
      <w:marBottom w:val="0"/>
      <w:divBdr>
        <w:top w:val="none" w:sz="0" w:space="0" w:color="auto"/>
        <w:left w:val="none" w:sz="0" w:space="0" w:color="auto"/>
        <w:bottom w:val="none" w:sz="0" w:space="0" w:color="auto"/>
        <w:right w:val="none" w:sz="0" w:space="0" w:color="auto"/>
      </w:divBdr>
    </w:div>
    <w:div w:id="394933818">
      <w:bodyDiv w:val="1"/>
      <w:marLeft w:val="0"/>
      <w:marRight w:val="0"/>
      <w:marTop w:val="0"/>
      <w:marBottom w:val="0"/>
      <w:divBdr>
        <w:top w:val="none" w:sz="0" w:space="0" w:color="auto"/>
        <w:left w:val="none" w:sz="0" w:space="0" w:color="auto"/>
        <w:bottom w:val="none" w:sz="0" w:space="0" w:color="auto"/>
        <w:right w:val="none" w:sz="0" w:space="0" w:color="auto"/>
      </w:divBdr>
      <w:divsChild>
        <w:div w:id="523831494">
          <w:marLeft w:val="0"/>
          <w:marRight w:val="0"/>
          <w:marTop w:val="0"/>
          <w:marBottom w:val="0"/>
          <w:divBdr>
            <w:top w:val="none" w:sz="0" w:space="0" w:color="auto"/>
            <w:left w:val="none" w:sz="0" w:space="0" w:color="auto"/>
            <w:bottom w:val="none" w:sz="0" w:space="0" w:color="auto"/>
            <w:right w:val="none" w:sz="0" w:space="0" w:color="auto"/>
          </w:divBdr>
        </w:div>
      </w:divsChild>
    </w:div>
    <w:div w:id="408622400">
      <w:bodyDiv w:val="1"/>
      <w:marLeft w:val="0"/>
      <w:marRight w:val="0"/>
      <w:marTop w:val="0"/>
      <w:marBottom w:val="0"/>
      <w:divBdr>
        <w:top w:val="none" w:sz="0" w:space="0" w:color="auto"/>
        <w:left w:val="none" w:sz="0" w:space="0" w:color="auto"/>
        <w:bottom w:val="none" w:sz="0" w:space="0" w:color="auto"/>
        <w:right w:val="none" w:sz="0" w:space="0" w:color="auto"/>
      </w:divBdr>
    </w:div>
    <w:div w:id="446851373">
      <w:bodyDiv w:val="1"/>
      <w:marLeft w:val="0"/>
      <w:marRight w:val="0"/>
      <w:marTop w:val="0"/>
      <w:marBottom w:val="0"/>
      <w:divBdr>
        <w:top w:val="none" w:sz="0" w:space="0" w:color="auto"/>
        <w:left w:val="none" w:sz="0" w:space="0" w:color="auto"/>
        <w:bottom w:val="none" w:sz="0" w:space="0" w:color="auto"/>
        <w:right w:val="none" w:sz="0" w:space="0" w:color="auto"/>
      </w:divBdr>
      <w:divsChild>
        <w:div w:id="479618509">
          <w:marLeft w:val="-720"/>
          <w:marRight w:val="0"/>
          <w:marTop w:val="0"/>
          <w:marBottom w:val="0"/>
          <w:divBdr>
            <w:top w:val="none" w:sz="0" w:space="0" w:color="auto"/>
            <w:left w:val="none" w:sz="0" w:space="0" w:color="auto"/>
            <w:bottom w:val="none" w:sz="0" w:space="0" w:color="auto"/>
            <w:right w:val="none" w:sz="0" w:space="0" w:color="auto"/>
          </w:divBdr>
        </w:div>
      </w:divsChild>
    </w:div>
    <w:div w:id="521936798">
      <w:bodyDiv w:val="1"/>
      <w:marLeft w:val="0"/>
      <w:marRight w:val="0"/>
      <w:marTop w:val="0"/>
      <w:marBottom w:val="0"/>
      <w:divBdr>
        <w:top w:val="none" w:sz="0" w:space="0" w:color="auto"/>
        <w:left w:val="none" w:sz="0" w:space="0" w:color="auto"/>
        <w:bottom w:val="none" w:sz="0" w:space="0" w:color="auto"/>
        <w:right w:val="none" w:sz="0" w:space="0" w:color="auto"/>
      </w:divBdr>
    </w:div>
    <w:div w:id="675428636">
      <w:bodyDiv w:val="1"/>
      <w:marLeft w:val="0"/>
      <w:marRight w:val="0"/>
      <w:marTop w:val="0"/>
      <w:marBottom w:val="0"/>
      <w:divBdr>
        <w:top w:val="none" w:sz="0" w:space="0" w:color="auto"/>
        <w:left w:val="none" w:sz="0" w:space="0" w:color="auto"/>
        <w:bottom w:val="none" w:sz="0" w:space="0" w:color="auto"/>
        <w:right w:val="none" w:sz="0" w:space="0" w:color="auto"/>
      </w:divBdr>
    </w:div>
    <w:div w:id="766003258">
      <w:bodyDiv w:val="1"/>
      <w:marLeft w:val="0"/>
      <w:marRight w:val="0"/>
      <w:marTop w:val="0"/>
      <w:marBottom w:val="0"/>
      <w:divBdr>
        <w:top w:val="none" w:sz="0" w:space="0" w:color="auto"/>
        <w:left w:val="none" w:sz="0" w:space="0" w:color="auto"/>
        <w:bottom w:val="none" w:sz="0" w:space="0" w:color="auto"/>
        <w:right w:val="none" w:sz="0" w:space="0" w:color="auto"/>
      </w:divBdr>
    </w:div>
    <w:div w:id="813831683">
      <w:bodyDiv w:val="1"/>
      <w:marLeft w:val="0"/>
      <w:marRight w:val="0"/>
      <w:marTop w:val="0"/>
      <w:marBottom w:val="0"/>
      <w:divBdr>
        <w:top w:val="none" w:sz="0" w:space="0" w:color="auto"/>
        <w:left w:val="none" w:sz="0" w:space="0" w:color="auto"/>
        <w:bottom w:val="none" w:sz="0" w:space="0" w:color="auto"/>
        <w:right w:val="none" w:sz="0" w:space="0" w:color="auto"/>
      </w:divBdr>
      <w:divsChild>
        <w:div w:id="1208370442">
          <w:marLeft w:val="-720"/>
          <w:marRight w:val="0"/>
          <w:marTop w:val="0"/>
          <w:marBottom w:val="0"/>
          <w:divBdr>
            <w:top w:val="none" w:sz="0" w:space="0" w:color="auto"/>
            <w:left w:val="none" w:sz="0" w:space="0" w:color="auto"/>
            <w:bottom w:val="none" w:sz="0" w:space="0" w:color="auto"/>
            <w:right w:val="none" w:sz="0" w:space="0" w:color="auto"/>
          </w:divBdr>
        </w:div>
      </w:divsChild>
    </w:div>
    <w:div w:id="974263044">
      <w:bodyDiv w:val="1"/>
      <w:marLeft w:val="0"/>
      <w:marRight w:val="0"/>
      <w:marTop w:val="0"/>
      <w:marBottom w:val="0"/>
      <w:divBdr>
        <w:top w:val="none" w:sz="0" w:space="0" w:color="auto"/>
        <w:left w:val="none" w:sz="0" w:space="0" w:color="auto"/>
        <w:bottom w:val="none" w:sz="0" w:space="0" w:color="auto"/>
        <w:right w:val="none" w:sz="0" w:space="0" w:color="auto"/>
      </w:divBdr>
    </w:div>
    <w:div w:id="982932221">
      <w:bodyDiv w:val="1"/>
      <w:marLeft w:val="0"/>
      <w:marRight w:val="0"/>
      <w:marTop w:val="0"/>
      <w:marBottom w:val="0"/>
      <w:divBdr>
        <w:top w:val="none" w:sz="0" w:space="0" w:color="auto"/>
        <w:left w:val="none" w:sz="0" w:space="0" w:color="auto"/>
        <w:bottom w:val="none" w:sz="0" w:space="0" w:color="auto"/>
        <w:right w:val="none" w:sz="0" w:space="0" w:color="auto"/>
      </w:divBdr>
    </w:div>
    <w:div w:id="998456934">
      <w:bodyDiv w:val="1"/>
      <w:marLeft w:val="0"/>
      <w:marRight w:val="0"/>
      <w:marTop w:val="0"/>
      <w:marBottom w:val="0"/>
      <w:divBdr>
        <w:top w:val="none" w:sz="0" w:space="0" w:color="auto"/>
        <w:left w:val="none" w:sz="0" w:space="0" w:color="auto"/>
        <w:bottom w:val="none" w:sz="0" w:space="0" w:color="auto"/>
        <w:right w:val="none" w:sz="0" w:space="0" w:color="auto"/>
      </w:divBdr>
      <w:divsChild>
        <w:div w:id="4526183">
          <w:marLeft w:val="-720"/>
          <w:marRight w:val="0"/>
          <w:marTop w:val="0"/>
          <w:marBottom w:val="0"/>
          <w:divBdr>
            <w:top w:val="none" w:sz="0" w:space="0" w:color="auto"/>
            <w:left w:val="none" w:sz="0" w:space="0" w:color="auto"/>
            <w:bottom w:val="none" w:sz="0" w:space="0" w:color="auto"/>
            <w:right w:val="none" w:sz="0" w:space="0" w:color="auto"/>
          </w:divBdr>
        </w:div>
      </w:divsChild>
    </w:div>
    <w:div w:id="1002780078">
      <w:bodyDiv w:val="1"/>
      <w:marLeft w:val="0"/>
      <w:marRight w:val="0"/>
      <w:marTop w:val="0"/>
      <w:marBottom w:val="0"/>
      <w:divBdr>
        <w:top w:val="none" w:sz="0" w:space="0" w:color="auto"/>
        <w:left w:val="none" w:sz="0" w:space="0" w:color="auto"/>
        <w:bottom w:val="none" w:sz="0" w:space="0" w:color="auto"/>
        <w:right w:val="none" w:sz="0" w:space="0" w:color="auto"/>
      </w:divBdr>
      <w:divsChild>
        <w:div w:id="860820623">
          <w:marLeft w:val="-720"/>
          <w:marRight w:val="0"/>
          <w:marTop w:val="0"/>
          <w:marBottom w:val="0"/>
          <w:divBdr>
            <w:top w:val="none" w:sz="0" w:space="0" w:color="auto"/>
            <w:left w:val="none" w:sz="0" w:space="0" w:color="auto"/>
            <w:bottom w:val="none" w:sz="0" w:space="0" w:color="auto"/>
            <w:right w:val="none" w:sz="0" w:space="0" w:color="auto"/>
          </w:divBdr>
        </w:div>
      </w:divsChild>
    </w:div>
    <w:div w:id="1099252139">
      <w:bodyDiv w:val="1"/>
      <w:marLeft w:val="0"/>
      <w:marRight w:val="0"/>
      <w:marTop w:val="0"/>
      <w:marBottom w:val="0"/>
      <w:divBdr>
        <w:top w:val="none" w:sz="0" w:space="0" w:color="auto"/>
        <w:left w:val="none" w:sz="0" w:space="0" w:color="auto"/>
        <w:bottom w:val="none" w:sz="0" w:space="0" w:color="auto"/>
        <w:right w:val="none" w:sz="0" w:space="0" w:color="auto"/>
      </w:divBdr>
      <w:divsChild>
        <w:div w:id="1806383927">
          <w:marLeft w:val="-720"/>
          <w:marRight w:val="0"/>
          <w:marTop w:val="0"/>
          <w:marBottom w:val="0"/>
          <w:divBdr>
            <w:top w:val="none" w:sz="0" w:space="0" w:color="auto"/>
            <w:left w:val="none" w:sz="0" w:space="0" w:color="auto"/>
            <w:bottom w:val="none" w:sz="0" w:space="0" w:color="auto"/>
            <w:right w:val="none" w:sz="0" w:space="0" w:color="auto"/>
          </w:divBdr>
        </w:div>
      </w:divsChild>
    </w:div>
    <w:div w:id="1194615043">
      <w:bodyDiv w:val="1"/>
      <w:marLeft w:val="0"/>
      <w:marRight w:val="0"/>
      <w:marTop w:val="0"/>
      <w:marBottom w:val="0"/>
      <w:divBdr>
        <w:top w:val="none" w:sz="0" w:space="0" w:color="auto"/>
        <w:left w:val="none" w:sz="0" w:space="0" w:color="auto"/>
        <w:bottom w:val="none" w:sz="0" w:space="0" w:color="auto"/>
        <w:right w:val="none" w:sz="0" w:space="0" w:color="auto"/>
      </w:divBdr>
      <w:divsChild>
        <w:div w:id="891844034">
          <w:marLeft w:val="-720"/>
          <w:marRight w:val="0"/>
          <w:marTop w:val="0"/>
          <w:marBottom w:val="0"/>
          <w:divBdr>
            <w:top w:val="none" w:sz="0" w:space="0" w:color="auto"/>
            <w:left w:val="none" w:sz="0" w:space="0" w:color="auto"/>
            <w:bottom w:val="none" w:sz="0" w:space="0" w:color="auto"/>
            <w:right w:val="none" w:sz="0" w:space="0" w:color="auto"/>
          </w:divBdr>
        </w:div>
      </w:divsChild>
    </w:div>
    <w:div w:id="1207598993">
      <w:bodyDiv w:val="1"/>
      <w:marLeft w:val="0"/>
      <w:marRight w:val="0"/>
      <w:marTop w:val="0"/>
      <w:marBottom w:val="0"/>
      <w:divBdr>
        <w:top w:val="none" w:sz="0" w:space="0" w:color="auto"/>
        <w:left w:val="none" w:sz="0" w:space="0" w:color="auto"/>
        <w:bottom w:val="none" w:sz="0" w:space="0" w:color="auto"/>
        <w:right w:val="none" w:sz="0" w:space="0" w:color="auto"/>
      </w:divBdr>
    </w:div>
    <w:div w:id="1473055151">
      <w:bodyDiv w:val="1"/>
      <w:marLeft w:val="0"/>
      <w:marRight w:val="0"/>
      <w:marTop w:val="0"/>
      <w:marBottom w:val="0"/>
      <w:divBdr>
        <w:top w:val="none" w:sz="0" w:space="0" w:color="auto"/>
        <w:left w:val="none" w:sz="0" w:space="0" w:color="auto"/>
        <w:bottom w:val="none" w:sz="0" w:space="0" w:color="auto"/>
        <w:right w:val="none" w:sz="0" w:space="0" w:color="auto"/>
      </w:divBdr>
      <w:divsChild>
        <w:div w:id="1517228786">
          <w:marLeft w:val="0"/>
          <w:marRight w:val="0"/>
          <w:marTop w:val="120"/>
          <w:marBottom w:val="120"/>
          <w:divBdr>
            <w:top w:val="none" w:sz="0" w:space="0" w:color="auto"/>
            <w:left w:val="none" w:sz="0" w:space="0" w:color="auto"/>
            <w:bottom w:val="none" w:sz="0" w:space="0" w:color="auto"/>
            <w:right w:val="none" w:sz="0" w:space="0" w:color="auto"/>
          </w:divBdr>
          <w:divsChild>
            <w:div w:id="508450774">
              <w:marLeft w:val="0"/>
              <w:marRight w:val="0"/>
              <w:marTop w:val="0"/>
              <w:marBottom w:val="0"/>
              <w:divBdr>
                <w:top w:val="none" w:sz="0" w:space="0" w:color="auto"/>
                <w:left w:val="none" w:sz="0" w:space="0" w:color="auto"/>
                <w:bottom w:val="none" w:sz="0" w:space="0" w:color="auto"/>
                <w:right w:val="none" w:sz="0" w:space="0" w:color="auto"/>
              </w:divBdr>
              <w:divsChild>
                <w:div w:id="458959395">
                  <w:marLeft w:val="0"/>
                  <w:marRight w:val="0"/>
                  <w:marTop w:val="100"/>
                  <w:marBottom w:val="30"/>
                  <w:divBdr>
                    <w:top w:val="single" w:sz="6" w:space="0" w:color="CCCCCC"/>
                    <w:left w:val="single" w:sz="6" w:space="0" w:color="CCCCCC"/>
                    <w:bottom w:val="single" w:sz="6" w:space="0" w:color="CCCCCC"/>
                    <w:right w:val="single" w:sz="6" w:space="0" w:color="CCCCCC"/>
                  </w:divBdr>
                  <w:divsChild>
                    <w:div w:id="291133790">
                      <w:marLeft w:val="0"/>
                      <w:marRight w:val="0"/>
                      <w:marTop w:val="0"/>
                      <w:marBottom w:val="0"/>
                      <w:divBdr>
                        <w:top w:val="none" w:sz="0" w:space="0" w:color="auto"/>
                        <w:left w:val="none" w:sz="0" w:space="0" w:color="auto"/>
                        <w:bottom w:val="none" w:sz="0" w:space="0" w:color="auto"/>
                        <w:right w:val="none" w:sz="0" w:space="0" w:color="auto"/>
                      </w:divBdr>
                      <w:divsChild>
                        <w:div w:id="164504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1847140">
      <w:bodyDiv w:val="1"/>
      <w:marLeft w:val="0"/>
      <w:marRight w:val="0"/>
      <w:marTop w:val="0"/>
      <w:marBottom w:val="0"/>
      <w:divBdr>
        <w:top w:val="none" w:sz="0" w:space="0" w:color="auto"/>
        <w:left w:val="none" w:sz="0" w:space="0" w:color="auto"/>
        <w:bottom w:val="none" w:sz="0" w:space="0" w:color="auto"/>
        <w:right w:val="none" w:sz="0" w:space="0" w:color="auto"/>
      </w:divBdr>
      <w:divsChild>
        <w:div w:id="1863979362">
          <w:marLeft w:val="-720"/>
          <w:marRight w:val="0"/>
          <w:marTop w:val="0"/>
          <w:marBottom w:val="0"/>
          <w:divBdr>
            <w:top w:val="none" w:sz="0" w:space="0" w:color="auto"/>
            <w:left w:val="none" w:sz="0" w:space="0" w:color="auto"/>
            <w:bottom w:val="none" w:sz="0" w:space="0" w:color="auto"/>
            <w:right w:val="none" w:sz="0" w:space="0" w:color="auto"/>
          </w:divBdr>
        </w:div>
      </w:divsChild>
    </w:div>
    <w:div w:id="1499686634">
      <w:bodyDiv w:val="1"/>
      <w:marLeft w:val="0"/>
      <w:marRight w:val="0"/>
      <w:marTop w:val="0"/>
      <w:marBottom w:val="0"/>
      <w:divBdr>
        <w:top w:val="none" w:sz="0" w:space="0" w:color="auto"/>
        <w:left w:val="none" w:sz="0" w:space="0" w:color="auto"/>
        <w:bottom w:val="none" w:sz="0" w:space="0" w:color="auto"/>
        <w:right w:val="none" w:sz="0" w:space="0" w:color="auto"/>
      </w:divBdr>
      <w:divsChild>
        <w:div w:id="1274553906">
          <w:marLeft w:val="0"/>
          <w:marRight w:val="0"/>
          <w:marTop w:val="0"/>
          <w:marBottom w:val="0"/>
          <w:divBdr>
            <w:top w:val="none" w:sz="0" w:space="0" w:color="auto"/>
            <w:left w:val="none" w:sz="0" w:space="0" w:color="auto"/>
            <w:bottom w:val="none" w:sz="0" w:space="0" w:color="auto"/>
            <w:right w:val="none" w:sz="0" w:space="0" w:color="auto"/>
          </w:divBdr>
        </w:div>
      </w:divsChild>
    </w:div>
    <w:div w:id="1543596160">
      <w:bodyDiv w:val="1"/>
      <w:marLeft w:val="0"/>
      <w:marRight w:val="0"/>
      <w:marTop w:val="0"/>
      <w:marBottom w:val="0"/>
      <w:divBdr>
        <w:top w:val="none" w:sz="0" w:space="0" w:color="auto"/>
        <w:left w:val="none" w:sz="0" w:space="0" w:color="auto"/>
        <w:bottom w:val="none" w:sz="0" w:space="0" w:color="auto"/>
        <w:right w:val="none" w:sz="0" w:space="0" w:color="auto"/>
      </w:divBdr>
      <w:divsChild>
        <w:div w:id="802160659">
          <w:marLeft w:val="-720"/>
          <w:marRight w:val="0"/>
          <w:marTop w:val="0"/>
          <w:marBottom w:val="0"/>
          <w:divBdr>
            <w:top w:val="none" w:sz="0" w:space="0" w:color="auto"/>
            <w:left w:val="none" w:sz="0" w:space="0" w:color="auto"/>
            <w:bottom w:val="none" w:sz="0" w:space="0" w:color="auto"/>
            <w:right w:val="none" w:sz="0" w:space="0" w:color="auto"/>
          </w:divBdr>
        </w:div>
      </w:divsChild>
    </w:div>
    <w:div w:id="1718122648">
      <w:bodyDiv w:val="1"/>
      <w:marLeft w:val="0"/>
      <w:marRight w:val="0"/>
      <w:marTop w:val="0"/>
      <w:marBottom w:val="0"/>
      <w:divBdr>
        <w:top w:val="none" w:sz="0" w:space="0" w:color="auto"/>
        <w:left w:val="none" w:sz="0" w:space="0" w:color="auto"/>
        <w:bottom w:val="none" w:sz="0" w:space="0" w:color="auto"/>
        <w:right w:val="none" w:sz="0" w:space="0" w:color="auto"/>
      </w:divBdr>
      <w:divsChild>
        <w:div w:id="1050492098">
          <w:marLeft w:val="-720"/>
          <w:marRight w:val="0"/>
          <w:marTop w:val="0"/>
          <w:marBottom w:val="0"/>
          <w:divBdr>
            <w:top w:val="none" w:sz="0" w:space="0" w:color="auto"/>
            <w:left w:val="none" w:sz="0" w:space="0" w:color="auto"/>
            <w:bottom w:val="none" w:sz="0" w:space="0" w:color="auto"/>
            <w:right w:val="none" w:sz="0" w:space="0" w:color="auto"/>
          </w:divBdr>
        </w:div>
      </w:divsChild>
    </w:div>
    <w:div w:id="1795319897">
      <w:bodyDiv w:val="1"/>
      <w:marLeft w:val="0"/>
      <w:marRight w:val="0"/>
      <w:marTop w:val="0"/>
      <w:marBottom w:val="0"/>
      <w:divBdr>
        <w:top w:val="none" w:sz="0" w:space="0" w:color="auto"/>
        <w:left w:val="none" w:sz="0" w:space="0" w:color="auto"/>
        <w:bottom w:val="none" w:sz="0" w:space="0" w:color="auto"/>
        <w:right w:val="none" w:sz="0" w:space="0" w:color="auto"/>
      </w:divBdr>
    </w:div>
    <w:div w:id="1833519039">
      <w:bodyDiv w:val="1"/>
      <w:marLeft w:val="0"/>
      <w:marRight w:val="0"/>
      <w:marTop w:val="0"/>
      <w:marBottom w:val="0"/>
      <w:divBdr>
        <w:top w:val="none" w:sz="0" w:space="0" w:color="auto"/>
        <w:left w:val="none" w:sz="0" w:space="0" w:color="auto"/>
        <w:bottom w:val="none" w:sz="0" w:space="0" w:color="auto"/>
        <w:right w:val="none" w:sz="0" w:space="0" w:color="auto"/>
      </w:divBdr>
    </w:div>
    <w:div w:id="2058577695">
      <w:bodyDiv w:val="1"/>
      <w:marLeft w:val="0"/>
      <w:marRight w:val="0"/>
      <w:marTop w:val="0"/>
      <w:marBottom w:val="0"/>
      <w:divBdr>
        <w:top w:val="none" w:sz="0" w:space="0" w:color="auto"/>
        <w:left w:val="none" w:sz="0" w:space="0" w:color="auto"/>
        <w:bottom w:val="none" w:sz="0" w:space="0" w:color="auto"/>
        <w:right w:val="none" w:sz="0" w:space="0" w:color="auto"/>
      </w:divBdr>
      <w:divsChild>
        <w:div w:id="1789927666">
          <w:marLeft w:val="-720"/>
          <w:marRight w:val="0"/>
          <w:marTop w:val="0"/>
          <w:marBottom w:val="0"/>
          <w:divBdr>
            <w:top w:val="none" w:sz="0" w:space="0" w:color="auto"/>
            <w:left w:val="none" w:sz="0" w:space="0" w:color="auto"/>
            <w:bottom w:val="none" w:sz="0" w:space="0" w:color="auto"/>
            <w:right w:val="none" w:sz="0" w:space="0" w:color="auto"/>
          </w:divBdr>
        </w:div>
      </w:divsChild>
    </w:div>
    <w:div w:id="2059698006">
      <w:bodyDiv w:val="1"/>
      <w:marLeft w:val="0"/>
      <w:marRight w:val="0"/>
      <w:marTop w:val="0"/>
      <w:marBottom w:val="0"/>
      <w:divBdr>
        <w:top w:val="none" w:sz="0" w:space="0" w:color="auto"/>
        <w:left w:val="none" w:sz="0" w:space="0" w:color="auto"/>
        <w:bottom w:val="none" w:sz="0" w:space="0" w:color="auto"/>
        <w:right w:val="none" w:sz="0" w:space="0" w:color="auto"/>
      </w:divBdr>
    </w:div>
    <w:div w:id="2104521901">
      <w:bodyDiv w:val="1"/>
      <w:marLeft w:val="0"/>
      <w:marRight w:val="0"/>
      <w:marTop w:val="0"/>
      <w:marBottom w:val="0"/>
      <w:divBdr>
        <w:top w:val="none" w:sz="0" w:space="0" w:color="auto"/>
        <w:left w:val="none" w:sz="0" w:space="0" w:color="auto"/>
        <w:bottom w:val="none" w:sz="0" w:space="0" w:color="auto"/>
        <w:right w:val="none" w:sz="0" w:space="0" w:color="auto"/>
      </w:divBdr>
      <w:divsChild>
        <w:div w:id="793644013">
          <w:marLeft w:val="0"/>
          <w:marRight w:val="0"/>
          <w:marTop w:val="120"/>
          <w:marBottom w:val="120"/>
          <w:divBdr>
            <w:top w:val="none" w:sz="0" w:space="0" w:color="auto"/>
            <w:left w:val="none" w:sz="0" w:space="0" w:color="auto"/>
            <w:bottom w:val="none" w:sz="0" w:space="0" w:color="auto"/>
            <w:right w:val="none" w:sz="0" w:space="0" w:color="auto"/>
          </w:divBdr>
          <w:divsChild>
            <w:div w:id="970473968">
              <w:marLeft w:val="0"/>
              <w:marRight w:val="0"/>
              <w:marTop w:val="0"/>
              <w:marBottom w:val="0"/>
              <w:divBdr>
                <w:top w:val="none" w:sz="0" w:space="0" w:color="auto"/>
                <w:left w:val="none" w:sz="0" w:space="0" w:color="auto"/>
                <w:bottom w:val="none" w:sz="0" w:space="0" w:color="auto"/>
                <w:right w:val="none" w:sz="0" w:space="0" w:color="auto"/>
              </w:divBdr>
              <w:divsChild>
                <w:div w:id="1722551969">
                  <w:marLeft w:val="0"/>
                  <w:marRight w:val="0"/>
                  <w:marTop w:val="100"/>
                  <w:marBottom w:val="30"/>
                  <w:divBdr>
                    <w:top w:val="single" w:sz="6" w:space="0" w:color="CCCCCC"/>
                    <w:left w:val="single" w:sz="6" w:space="0" w:color="CCCCCC"/>
                    <w:bottom w:val="single" w:sz="6" w:space="0" w:color="CCCCCC"/>
                    <w:right w:val="single" w:sz="6" w:space="0" w:color="CCCCCC"/>
                  </w:divBdr>
                  <w:divsChild>
                    <w:div w:id="1134757661">
                      <w:marLeft w:val="0"/>
                      <w:marRight w:val="0"/>
                      <w:marTop w:val="0"/>
                      <w:marBottom w:val="0"/>
                      <w:divBdr>
                        <w:top w:val="none" w:sz="0" w:space="0" w:color="auto"/>
                        <w:left w:val="none" w:sz="0" w:space="0" w:color="auto"/>
                        <w:bottom w:val="none" w:sz="0" w:space="0" w:color="auto"/>
                        <w:right w:val="none" w:sz="0" w:space="0" w:color="auto"/>
                      </w:divBdr>
                      <w:divsChild>
                        <w:div w:id="92635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media/8890/bacp-counselling-skills-competence-framework-may20.pdf" TargetMode="External"/><Relationship Id="rId13" Type="http://schemas.openxmlformats.org/officeDocument/2006/relationships/hyperlink" Target="https://doi.org/10.1037/pst0000228" TargetMode="Externa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www.merriam-webster.com/dictionary/empath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https://www.gmc-uk.org/professional-standards/the-professional-standards/confidentiality"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cqc.org.uk/publications/major-report/state-care" TargetMode="External"/><Relationship Id="rId4" Type="http://schemas.openxmlformats.org/officeDocument/2006/relationships/footnotes" Target="footnotes.xml"/><Relationship Id="rId9" Type="http://schemas.openxmlformats.org/officeDocument/2006/relationships/hyperlink" Target="https://www.bacp.co.uk/events-and-resources/ethics-and-standards/competences-and-curricula/counselling-skills/counselling-skills-membe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1934</Words>
  <Characters>11024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Evans</dc:creator>
  <cp:keywords/>
  <dc:description/>
  <cp:lastModifiedBy>Alex Evans</cp:lastModifiedBy>
  <cp:revision>2</cp:revision>
  <dcterms:created xsi:type="dcterms:W3CDTF">2025-03-28T18:31:00Z</dcterms:created>
  <dcterms:modified xsi:type="dcterms:W3CDTF">2025-03-28T18:31:00Z</dcterms:modified>
</cp:coreProperties>
</file>