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4F3FDA7" w14:paraId="2C4BB4E6" wp14:textId="5E3DE17F">
      <w:pPr>
        <w:pStyle w:val="Heading1"/>
        <w:rPr>
          <w:rFonts w:ascii="Calibri Light" w:hAnsi="Calibri Light" w:eastAsia="" w:cs=""/>
          <w:noProof w:val="0"/>
          <w:color w:val="2F5496" w:themeColor="accent1" w:themeTint="FF" w:themeShade="BF"/>
          <w:sz w:val="32"/>
          <w:szCs w:val="32"/>
          <w:lang w:val="en-US"/>
        </w:rPr>
      </w:pPr>
      <w:r w:rsidRPr="44F3FDA7" w:rsidR="44F3FDA7">
        <w:rPr>
          <w:noProof w:val="0"/>
          <w:lang w:val="en-US"/>
        </w:rPr>
        <w:t>Student Number 2011956</w:t>
      </w:r>
      <w:r>
        <w:tab/>
      </w:r>
      <w:r w:rsidRPr="44F3FDA7" w:rsidR="44F3FDA7">
        <w:rPr>
          <w:noProof w:val="0"/>
          <w:lang w:val="en-US"/>
        </w:rPr>
        <w:t xml:space="preserve">  </w:t>
      </w:r>
      <w:r>
        <w:tab/>
      </w:r>
      <w:r>
        <w:tab/>
      </w:r>
      <w:r w:rsidRPr="44F3FDA7" w:rsidR="44F3FDA7">
        <w:rPr>
          <w:noProof w:val="0"/>
          <w:lang w:val="en-US"/>
        </w:rPr>
        <w:t>Word count 2530</w:t>
      </w:r>
    </w:p>
    <w:p xmlns:wp14="http://schemas.microsoft.com/office/word/2010/wordml" w:rsidP="44F3FDA7" w14:paraId="1FEAEA51" wp14:textId="6EEC8FCC">
      <w:pPr>
        <w:pStyle w:val="Normal"/>
        <w:rPr>
          <w:noProof w:val="0"/>
          <w:lang w:val="en-US"/>
        </w:rPr>
      </w:pPr>
    </w:p>
    <w:p xmlns:wp14="http://schemas.microsoft.com/office/word/2010/wordml" w:rsidP="44F3FDA7" w14:paraId="01E4731E" wp14:textId="202C56A3">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ECEY6008 Leadership and Management for Systems and Quality</w:t>
      </w:r>
    </w:p>
    <w:p xmlns:wp14="http://schemas.microsoft.com/office/word/2010/wordml" w14:paraId="751B56E8" wp14:textId="2DA23FCA">
      <w:r>
        <w:br/>
      </w:r>
    </w:p>
    <w:p xmlns:wp14="http://schemas.microsoft.com/office/word/2010/wordml" w:rsidP="44F3FDA7" w14:paraId="680DE012" wp14:textId="2EF55FA0">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 xml:space="preserve">Quality in an early years provision is about working in partnership with stakeholders such as inspectors, parents, carers, education and health professionals   to ensure that the children who use the setting are provided with the highest learning and developmental experiences which will have a long lasting impact on their outcomes (Reed, 2009).    </w:t>
      </w:r>
    </w:p>
    <w:p xmlns:wp14="http://schemas.microsoft.com/office/word/2010/wordml" w:rsidP="44F3FDA7" w14:paraId="2B184656" wp14:textId="11ABCBD3">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Standards of quality are often based on individual needs and a person’s definition of a good quality practice will inevitably differ from family to family, therefore it is important for practitioners to  acknowledge that there are numerous aspects of an early years setting which should be evaluated before it can be deemed good quality according to Moss (2016). However when quality is measured by professionals, Trodd &amp; Dickerson (2019) suggests that the interactive capabilities of the practitioners within the setting should provide enriching experiences in order for the setting to have an impact on the care, development and outcomes of the children who use the setting and should offer opportunities to promote  the mental, emotional, physical and social wellbeing of children, which  is also supported by Oxfordshire.Gov. (no date).  Similarly, Ang (2012) suggests that effective leadership with managers who have the ability to engage in changing the dynamics of the environment and communicate their innovations with staff members is a contributing factor to the quality of settings which are graded highly.  Tovey (no date) suggests that early years settings should be viewed and structured from a child’s perspective as well as an adult’s, creating outdoor areas which allow for physical activities to promote growth and development. Obrien (2009) suggests repetitive experiences to strengthen brain connections which should be supported with opportunities and resources for children to explore with little or no adult interaction  over a period of time to  stimulate thought process. (Duffy, 2013)</w:t>
      </w:r>
    </w:p>
    <w:p xmlns:wp14="http://schemas.microsoft.com/office/word/2010/wordml" w:rsidP="44F3FDA7" w14:paraId="702B8360" wp14:textId="5A31A758">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 xml:space="preserve">Price &amp; Tayler (2015) indicate that human development and growth is at it’s most rapid during the first eight years of life and Allen (2011) also recognises that positive experiences will help to create a bond between themselves and the main carer enabling them to feel safe and secure in their early years which will generate  a resilience to adversities and help children to cope effectively with negative experiences as they grow and develop into adulthood according to Rolfe (2020).   Lipscombe, et al. (2021) suggests that  early attachments will not only promote resilience to adversities providing a foundation for social development, but also suggests that providing babies and young children with a safe and secure bond will  strengthen brain development  which is supported by WHO (2018) and Singh (2014) who  states that when children receive strong emotional support and develop within a caring environment it will have a positive impact on adult friendships and relationships. </w:t>
      </w:r>
    </w:p>
    <w:p xmlns:wp14="http://schemas.microsoft.com/office/word/2010/wordml" w:rsidP="44F3FDA7" w14:paraId="3621048B" wp14:textId="726DCEDC">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 xml:space="preserve">The Welsh Government (2019) proposes that  some children from disadvantaged backgrounds who begin nursery education at the age of three can be as much as a year behind their peers who have attended an early years setting,  and a  high quality early childhood provision can play a vital role in narrowing the development gap. </w:t>
      </w:r>
    </w:p>
    <w:p xmlns:wp14="http://schemas.microsoft.com/office/word/2010/wordml" w:rsidP="44F3FDA7" w14:paraId="3B188446" wp14:textId="74F535DB">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A high-quality provision can have a lasting impact on the language and cognitive development of children (Campbell, et al. 2011).  During their early years children learn through play with objects and exploration, however it is their relationship with adults which reinforce what they have learned and help them to make sense of their experiences (</w:t>
      </w:r>
      <w:r w:rsidRPr="44F3FDA7" w:rsidR="44F3FDA7">
        <w:rPr>
          <w:rFonts w:ascii="Arial" w:hAnsi="Arial" w:eastAsia="Arial" w:cs="Arial"/>
          <w:b w:val="1"/>
          <w:bCs w:val="1"/>
          <w:i w:val="0"/>
          <w:iCs w:val="0"/>
          <w:strike w:val="0"/>
          <w:dstrike w:val="0"/>
          <w:noProof w:val="0"/>
          <w:color w:val="202124"/>
          <w:sz w:val="23"/>
          <w:szCs w:val="23"/>
          <w:u w:val="none"/>
          <w:lang w:val="en-US"/>
        </w:rPr>
        <w:t>Leung, Chan and Ho, 2022).</w:t>
      </w: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 xml:space="preserve"> Research shows that children benefit from engaging with responsive and passionate adults and Guha (2013) suggests  that children will be supported in becoming confident learners when they have benefited from good interactions between children, staff and parents and along with settings which  provide children with high quality resources and space promoting development and room to explore their surroundings.   Waters-Davies and MacDonald (no date)  suggest that children will flourish despite the socio-demographic background when given the opportunity to interact through playful engagements with adults who support their thinking and exploration and this is supported by Douglas (2019) who suggests that it is important for practitioners to recognize a child’s capabilities and then to offer opportunities to promote their learning and development and build on  experiences to enable them to reach their  potential.   </w:t>
      </w:r>
    </w:p>
    <w:p xmlns:wp14="http://schemas.microsoft.com/office/word/2010/wordml" w:rsidP="44F3FDA7" w14:paraId="258CD6FA" wp14:textId="0384BE6E">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 xml:space="preserve">Research shows that early childhood experiences and early education environments have an impact on the outcomes of children in later life and a study by Anders et al. (2012) found that a high level of early education can have a substantial impact on language and numeracy skills and scientific thinking in the long term development of children.   </w:t>
      </w:r>
    </w:p>
    <w:p xmlns:wp14="http://schemas.microsoft.com/office/word/2010/wordml" w14:paraId="73932615" wp14:textId="2FC5F1CD">
      <w:r>
        <w:br/>
      </w:r>
    </w:p>
    <w:p xmlns:wp14="http://schemas.microsoft.com/office/word/2010/wordml" w:rsidP="44F3FDA7" w14:paraId="7D98DF0D" wp14:textId="5476A4EC">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To support the assessment of settings, Care inspectorate Wales (2021) requires leaders to carry out a Self Assessment of Service Statement (SASS) Form.  It is a legal requirement for settings under  Wales Regulation 16 of the Child Minding and Day Care (Wales) Regulations 2010, and Section 44 of the Child and Families (Wales) Measure 2010 and the registered persons of all childminding and day care settings  must complete the form and  submit it, on time, through the setting’s online account.  The form is split into sections to help practitioners navigate it more easily and is designed not only to assist CIW with their inspection process but also provides service providers with a guide to reviewing and improving the quality of care within their setting.  (Pacey, 2021)</w:t>
      </w:r>
    </w:p>
    <w:p xmlns:wp14="http://schemas.microsoft.com/office/word/2010/wordml" w:rsidP="44F3FDA7" w14:paraId="3E811788" wp14:textId="626583B2">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CIW provides settings with a  template and  guidelines to assist practitioners when they complete their quality of care review.  The SASS form  covers evaluation of the provider’s strengths, areas for improvement, actions that are required in order to improve the setting, details regarding strategies the provider will take to monitor the improvements and how the provider will  measure the ongoing review of the quality of the service. The evaluation is broken down into four categories.  Well being, Care and Development, Environment and leadership and management (PACEY, 2019)</w:t>
      </w:r>
    </w:p>
    <w:p xmlns:wp14="http://schemas.microsoft.com/office/word/2010/wordml" w:rsidP="44F3FDA7" w14:paraId="3F24CDB3" wp14:textId="1F4ABFDA">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The guidelines are in two parts and it is suggested by CIW that practitioners use two methods to assist them with the evaluation of their settings. To establish a way to measure quality based on the opinions of the people who use the setting, it is suggested by Pacey (2019) and Early Years Careers (2016)  that practitioners develop their own questionnaires or use an online form such as  Survey Monkey (2022).  As part of the Self Assessment of Service Statement form CIW (2022) also expect practitioners to respect the views of the children on the quality of the setting  in line with  UNCRC (2019) Article 12  which states that children’s views, feelings and wishes in all matters affecting them should be respected  and  their views should be considered and taken seriously and also  Article 13 states that children  must be free to express their thoughts and opinions and to access all kinds of information within the law.</w:t>
      </w:r>
    </w:p>
    <w:p xmlns:wp14="http://schemas.microsoft.com/office/word/2010/wordml" w:rsidP="44F3FDA7" w14:paraId="38F0D663" wp14:textId="1031153B">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The input of other professionals should also be taken into account when recording this data and practitioners are invited to list all quality assurance schemes that the setting is a part of, such as Quality Start, a scheme run by Pacey (2022) which is specifically designed for lone working professionals such as childminders.  Another scheme which practitioners might use is Quality for All which  is an Early Years Wales’ (2022) childcare quality assurance scheme.  Both schemes consider more than national minimum standards, giving childcare providers the opportunity to further the development of the staff and  to gain recognition for the contribution the setting makes to the  childcare service .</w:t>
      </w:r>
    </w:p>
    <w:p xmlns:wp14="http://schemas.microsoft.com/office/word/2010/wordml" w14:paraId="639BD7CA" wp14:textId="3D952F0D">
      <w:r>
        <w:br/>
      </w:r>
    </w:p>
    <w:p xmlns:wp14="http://schemas.microsoft.com/office/word/2010/wordml" w:rsidP="44F3FDA7" w14:paraId="0518950B" wp14:textId="207A2D0F">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 xml:space="preserve">After providers have completed all of the sections they must then make a Quality of Care statement which will need to be uploaded onto the SASS.  The Quality of Care statement should include evaluations of everything that is set out in the Quality of Care review guidance and although it is not mandatory for practitioners to use the template, it is recommended by CIW and PACEY  (2019)  and also gives  service providers the opportunity evaluate the setting itself with questions relating to the environment which is advised by the Department of Education, (2017)  including food safety and hygiene, what funding the service has access to and the delivery of curriculums and approaches including whether the setting offers support for Additional Learning Needs (NI Direct, 2021).  </w:t>
      </w:r>
    </w:p>
    <w:p xmlns:wp14="http://schemas.microsoft.com/office/word/2010/wordml" w:rsidP="44F3FDA7" w14:paraId="06B692D1" wp14:textId="15687048">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As well as the SASS being a tool for professionals to  use for reflection and evaluation, CIW inspectors also use the forms during their inspection of settings  (CIW, 2018), and by completing a self assessment evaluation it will give practitioners the opportunity to contribute to the standards on which they will be inspected. Ofsted (2010) believe that  Self-evaluation enables practitioners to look at the overall development of the setting and it’s staff and instead of relying on the views and opinions of inspectors and advisers  who may not have the deep knowledge of the context of the individual settings. However, self assessments might not always reflect the true measure of quality, especially if a practitioner over estimates or exaggerates their practice according to Ross (2006)  who argues that self  assessments can  be interpreted differently by staff members, making the system open to subjective views of performance based on what the practitioner believes it to be.</w:t>
      </w:r>
    </w:p>
    <w:p xmlns:wp14="http://schemas.microsoft.com/office/word/2010/wordml" w14:paraId="4E13B175" wp14:textId="00FC97BD">
      <w:r>
        <w:br/>
      </w:r>
    </w:p>
    <w:p xmlns:wp14="http://schemas.microsoft.com/office/word/2010/wordml" w:rsidP="44F3FDA7" w14:paraId="19DC2F59" wp14:textId="4A5B1436">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 xml:space="preserve">Sustained Shared thinking is a method developed to measure quality in Early years settings and was used in research studies such as Researching Effective Pedagogy in the Early Years and the Effective Provisions of Pre School Education  (Siraj and Taggart, 2004). SST is an analysis of data gained through recorded and observed interactions where adults and children interact to solve problems, expand upon ideas and develop concepts and understanding together.  Adults who are able to engage with children in this way are considered highly skilled according to Siraj, et.al (2019) and will support learning and development through social, linguistic and cognitive development and also will ensure that children feel engaged, stimulated, comfortable and safe. </w:t>
      </w:r>
    </w:p>
    <w:p xmlns:wp14="http://schemas.microsoft.com/office/word/2010/wordml" w14:paraId="7408481F" wp14:textId="73129E76">
      <w:r>
        <w:br/>
      </w:r>
    </w:p>
    <w:p xmlns:wp14="http://schemas.microsoft.com/office/word/2010/wordml" w:rsidP="44F3FDA7" w14:paraId="636B7629" wp14:textId="791474B5">
      <w:pPr>
        <w:jc w:val="both"/>
      </w:pP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 xml:space="preserve">The SSTEW scale endeavours to identify settings which support five contents including </w:t>
      </w:r>
      <w:r w:rsidRPr="44F3FDA7" w:rsidR="44F3FDA7">
        <w:rPr>
          <w:rFonts w:ascii="Times New Roman" w:hAnsi="Times New Roman" w:eastAsia="Times New Roman" w:cs="Times New Roman"/>
          <w:b w:val="1"/>
          <w:bCs w:val="1"/>
          <w:i w:val="0"/>
          <w:iCs w:val="0"/>
          <w:strike w:val="0"/>
          <w:dstrike w:val="0"/>
          <w:noProof w:val="0"/>
          <w:color w:val="333333"/>
          <w:sz w:val="25"/>
          <w:szCs w:val="25"/>
          <w:u w:val="none"/>
          <w:lang w:val="en-US"/>
        </w:rPr>
        <w:t xml:space="preserve">Building Trust which deals with  confidence and independence relating to self regulation and social development, encouraging choices, independent play and planning for small group and individual interactions, Social and Emotional wellbeing, Supporting and extending language and communication which encourages children to communicate and listen and supports children’s use of language and responses, Supporting learning and critical thinking which involves  curiosity and problem solving, storytelling, song and rhyme, investigation and exploration and higher order thinking and Assessment of language and learning with a view to extending learning, critical thinking and language development and the scale is to be used </w:t>
      </w: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in order to best support children’s development. (Meluish et. al 2015),  (Kangas. J, Ojala. M &amp; Venninen, T, 2015).</w:t>
      </w:r>
    </w:p>
    <w:p xmlns:wp14="http://schemas.microsoft.com/office/word/2010/wordml" w14:paraId="4C4F5506" wp14:textId="65CE76C7">
      <w:r>
        <w:br/>
      </w:r>
      <w:r>
        <w:br/>
      </w:r>
    </w:p>
    <w:p xmlns:wp14="http://schemas.microsoft.com/office/word/2010/wordml" w:rsidP="44F3FDA7" w14:paraId="606C7476" wp14:textId="425F7120">
      <w:pPr>
        <w:jc w:val="both"/>
      </w:pPr>
      <w:r w:rsidRPr="44F3FDA7" w:rsidR="44F3FDA7">
        <w:rPr>
          <w:rFonts w:ascii="Times New Roman" w:hAnsi="Times New Roman" w:eastAsia="Times New Roman" w:cs="Times New Roman"/>
          <w:b w:val="1"/>
          <w:bCs w:val="1"/>
          <w:i w:val="0"/>
          <w:iCs w:val="0"/>
          <w:strike w:val="0"/>
          <w:dstrike w:val="0"/>
          <w:noProof w:val="0"/>
          <w:color w:val="000000" w:themeColor="text1" w:themeTint="FF" w:themeShade="FF"/>
          <w:sz w:val="25"/>
          <w:szCs w:val="25"/>
          <w:u w:val="none"/>
          <w:lang w:val="en-US"/>
        </w:rPr>
        <w:t>According to Siraj-Blatchford. Et. al, (2002) Sustained Shared Thinking is a significant tool which can be used to measure quality to enable managers to reassess their strengths, and improve the purposes and means by which they educate the children who use the setting,    and Meluish et. al. (2015) believes  that the method supports practitioners on the reflection of their learning and also encourages leaders to improve the quality of the environment and pedagogy which will enable staff to encourage children to want to learn and explore, encouraging effective communication to enable them to clarify their ideas (</w:t>
      </w:r>
      <w:r w:rsidRPr="44F3FDA7" w:rsidR="44F3FDA7">
        <w:rPr>
          <w:rFonts w:ascii="Times New Roman" w:hAnsi="Times New Roman" w:eastAsia="Times New Roman" w:cs="Times New Roman"/>
          <w:b w:val="1"/>
          <w:bCs w:val="1"/>
          <w:i w:val="0"/>
          <w:iCs w:val="0"/>
          <w:strike w:val="0"/>
          <w:dstrike w:val="0"/>
          <w:noProof w:val="0"/>
          <w:color w:val="3A3A3A"/>
          <w:sz w:val="25"/>
          <w:szCs w:val="25"/>
          <w:u w:val="none"/>
          <w:lang w:val="en-US"/>
        </w:rPr>
        <w:t>Jung and Reifel, 2011).</w:t>
      </w:r>
      <w:r w:rsidRPr="44F3FDA7" w:rsidR="44F3FDA7">
        <w:rPr>
          <w:rFonts w:ascii="Times New Roman" w:hAnsi="Times New Roman" w:eastAsia="Times New Roman" w:cs="Times New Roman"/>
          <w:b w:val="1"/>
          <w:bCs w:val="1"/>
          <w:i w:val="0"/>
          <w:iCs w:val="0"/>
          <w:strike w:val="0"/>
          <w:dstrike w:val="0"/>
          <w:noProof w:val="0"/>
          <w:color w:val="000000" w:themeColor="text1" w:themeTint="FF" w:themeShade="FF"/>
          <w:sz w:val="25"/>
          <w:szCs w:val="25"/>
          <w:u w:val="none"/>
          <w:lang w:val="en-US"/>
        </w:rPr>
        <w:t xml:space="preserve"> However, Allen &amp; Whalley, (2010) suggests that there is confusion about the meaning of the term and therefore questioned whether practitioners were able to put the method into practice as part of their daily routines.  However, according to </w:t>
      </w:r>
      <w:r w:rsidRPr="44F3FDA7" w:rsidR="44F3FDA7">
        <w:rPr>
          <w:rFonts w:ascii="Times New Roman" w:hAnsi="Times New Roman" w:eastAsia="Times New Roman" w:cs="Times New Roman"/>
          <w:b w:val="1"/>
          <w:bCs w:val="1"/>
          <w:i w:val="0"/>
          <w:iCs w:val="0"/>
          <w:strike w:val="0"/>
          <w:dstrike w:val="0"/>
          <w:noProof w:val="0"/>
          <w:color w:val="202124"/>
          <w:sz w:val="25"/>
          <w:szCs w:val="25"/>
          <w:u w:val="none"/>
          <w:lang w:val="en-US"/>
        </w:rPr>
        <w:t xml:space="preserve">Neale and  Pino-Pasternak (2017) </w:t>
      </w:r>
      <w:r w:rsidRPr="44F3FDA7" w:rsidR="44F3FDA7">
        <w:rPr>
          <w:rFonts w:ascii="Times New Roman" w:hAnsi="Times New Roman" w:eastAsia="Times New Roman" w:cs="Times New Roman"/>
          <w:b w:val="1"/>
          <w:bCs w:val="1"/>
          <w:i w:val="0"/>
          <w:iCs w:val="0"/>
          <w:strike w:val="0"/>
          <w:dstrike w:val="0"/>
          <w:noProof w:val="0"/>
          <w:color w:val="000000" w:themeColor="text1" w:themeTint="FF" w:themeShade="FF"/>
          <w:sz w:val="25"/>
          <w:szCs w:val="25"/>
          <w:u w:val="none"/>
          <w:lang w:val="en-US"/>
        </w:rPr>
        <w:t xml:space="preserve">not all practitioners understand the concepts of the method and how thinking skills are linked to language and development and how the adult role links to the Zone of Proximal Developments (Zaretsky, 2020)  The ZPD is a term used by  the theorist Vygotsky to describe an area between what a learner can do for themselves and what can be achieved with the help of an adult. (Shabani et al.,  2010)  </w:t>
      </w:r>
    </w:p>
    <w:p xmlns:wp14="http://schemas.microsoft.com/office/word/2010/wordml" w14:paraId="0058F3B8" wp14:textId="4AE6B7B5">
      <w:r>
        <w:br/>
      </w:r>
      <w:r>
        <w:br/>
      </w:r>
    </w:p>
    <w:p xmlns:wp14="http://schemas.microsoft.com/office/word/2010/wordml" w:rsidP="44F3FDA7" w14:paraId="0CBA3FAC" wp14:textId="7358AFF4">
      <w:pPr>
        <w:jc w:val="both"/>
      </w:pPr>
      <w:r w:rsidRPr="44F3FDA7" w:rsidR="44F3FDA7">
        <w:rPr>
          <w:rFonts w:ascii="Arial" w:hAnsi="Arial" w:eastAsia="Arial" w:cs="Arial"/>
          <w:b w:val="0"/>
          <w:bCs w:val="0"/>
          <w:noProof w:val="0"/>
          <w:sz w:val="21"/>
          <w:szCs w:val="21"/>
          <w:lang w:val="en-US"/>
        </w:rPr>
        <w:t xml:space="preserve"> </w:t>
      </w:r>
    </w:p>
    <w:p xmlns:wp14="http://schemas.microsoft.com/office/word/2010/wordml" w:rsidP="44F3FDA7" w14:paraId="074E3ABF" wp14:textId="3D4AE5CA">
      <w:pPr>
        <w:jc w:val="both"/>
      </w:pPr>
      <w:r w:rsidRPr="44F3FDA7" w:rsidR="44F3FDA7">
        <w:rPr>
          <w:rFonts w:ascii="Arial" w:hAnsi="Arial" w:eastAsia="Arial" w:cs="Arial"/>
          <w:b w:val="0"/>
          <w:bCs w:val="0"/>
          <w:noProof w:val="0"/>
          <w:sz w:val="21"/>
          <w:szCs w:val="21"/>
          <w:lang w:val="en-US"/>
        </w:rPr>
        <w:t xml:space="preserve"> </w:t>
      </w:r>
    </w:p>
    <w:p xmlns:wp14="http://schemas.microsoft.com/office/word/2010/wordml" w14:paraId="71F7321F" wp14:textId="6461D584">
      <w:r>
        <w:br/>
      </w:r>
      <w:r>
        <w:br/>
      </w:r>
      <w:r>
        <w:br/>
      </w:r>
      <w:r>
        <w:br/>
      </w:r>
      <w:r>
        <w:br/>
      </w:r>
    </w:p>
    <w:p xmlns:wp14="http://schemas.microsoft.com/office/word/2010/wordml" w:rsidP="44F3FDA7" w14:paraId="48E05107" wp14:textId="2F010550">
      <w:pPr>
        <w:jc w:val="both"/>
      </w:pPr>
      <w:r w:rsidRPr="44F3FDA7" w:rsidR="44F3FDA7">
        <w:rPr>
          <w:rFonts w:ascii="Times New Roman" w:hAnsi="Times New Roman" w:eastAsia="Times New Roman" w:cs="Times New Roman"/>
          <w:b w:val="1"/>
          <w:bCs w:val="1"/>
          <w:i w:val="0"/>
          <w:iCs w:val="0"/>
          <w:strike w:val="0"/>
          <w:dstrike w:val="0"/>
          <w:noProof w:val="0"/>
          <w:color w:val="000000" w:themeColor="text1" w:themeTint="FF" w:themeShade="FF"/>
          <w:sz w:val="25"/>
          <w:szCs w:val="25"/>
          <w:u w:val="none"/>
          <w:lang w:val="en-US"/>
        </w:rPr>
        <w:t xml:space="preserve">Reflection </w:t>
      </w:r>
    </w:p>
    <w:p xmlns:wp14="http://schemas.microsoft.com/office/word/2010/wordml" w14:paraId="0AF5ECB0" wp14:textId="0AF740B1">
      <w:r>
        <w:br/>
      </w:r>
    </w:p>
    <w:p xmlns:wp14="http://schemas.microsoft.com/office/word/2010/wordml" w:rsidP="44F3FDA7" w14:paraId="2B297FFE" wp14:textId="254E4E00">
      <w:pPr>
        <w:jc w:val="both"/>
      </w:pPr>
      <w:r w:rsidRPr="44F3FDA7" w:rsidR="44F3FDA7">
        <w:rPr>
          <w:rFonts w:ascii="Times New Roman" w:hAnsi="Times New Roman" w:eastAsia="Times New Roman" w:cs="Times New Roman"/>
          <w:b w:val="1"/>
          <w:bCs w:val="1"/>
          <w:i w:val="0"/>
          <w:iCs w:val="0"/>
          <w:strike w:val="0"/>
          <w:dstrike w:val="0"/>
          <w:noProof w:val="0"/>
          <w:color w:val="000000" w:themeColor="text1" w:themeTint="FF" w:themeShade="FF"/>
          <w:sz w:val="25"/>
          <w:szCs w:val="25"/>
          <w:u w:val="none"/>
          <w:lang w:val="en-US"/>
        </w:rPr>
        <w:t>During the module of ECEY6008 I have benefited from looking at the quality of care report and inspection frameworks more indepth and it has inspired me to reflect on my childminding practice and on myself as a practitioner ahead of the Self Assessment which I will be undertaking in August 2022.  Since enrolling in the Early Years Education and Care studies course I have found that some aspects of the administration of the practice has taken a back step.  The shortfall of paperwork is not serious and I always keep on top of the legislation and adhere to minimum standards, however I have fallen behind on my usual planning strategies and opted to plan alongside my own learning as it develops with the course such as, I chose to plan around Awe and Wonder when I was engaged with that module, and I would much prefer to use the strategies which I have previously used, favouring the planning alongside the seasons, festivals and cultural celebrations.  I will definitely revert back to my original planning strategies, but I am now able to take along to the planning a whole new concept of learning with a range of resources which the children are already enjoying.  I will engage the children and encourage them to become actively involved in their own learning.  I have purchased new outdoor equipment over the past year and I have moved a lot of the messy play materials outside where the children can paint, soak, gloop and mess to their hearts content.  Through observing the children during their outdoor play I am sure that they are at their happiest when playing in the garden and they are always content and engaged in whatever they are doing when they are outdoors.  The equipment which has been purchased enables them to enjoy outdoor activities even when it is raining and recently, only a very severe storm which brought high winds prevented us from playing outside.  We took this opportunity to learn some Welsh words relating to the weather.</w:t>
      </w:r>
    </w:p>
    <w:p xmlns:wp14="http://schemas.microsoft.com/office/word/2010/wordml" w14:paraId="0FEFB8D8" wp14:textId="20525F1F">
      <w:r>
        <w:br/>
      </w:r>
    </w:p>
    <w:p xmlns:wp14="http://schemas.microsoft.com/office/word/2010/wordml" w:rsidP="44F3FDA7" w14:paraId="51BEB7A1" wp14:textId="43B04762">
      <w:pPr>
        <w:jc w:val="both"/>
      </w:pPr>
      <w:r w:rsidRPr="44F3FDA7" w:rsidR="44F3FDA7">
        <w:rPr>
          <w:rFonts w:ascii="Times New Roman" w:hAnsi="Times New Roman" w:eastAsia="Times New Roman" w:cs="Times New Roman"/>
          <w:b w:val="1"/>
          <w:bCs w:val="1"/>
          <w:i w:val="0"/>
          <w:iCs w:val="0"/>
          <w:strike w:val="0"/>
          <w:dstrike w:val="0"/>
          <w:noProof w:val="0"/>
          <w:color w:val="000000" w:themeColor="text1" w:themeTint="FF" w:themeShade="FF"/>
          <w:sz w:val="25"/>
          <w:szCs w:val="25"/>
          <w:u w:val="none"/>
          <w:lang w:val="en-US"/>
        </w:rPr>
        <w:t>I have realised the importance of sustained shared thinking and will use my knowledge to provide children with enriching experiences to promote their scientific thinking, numeracy and language skills to support their journey onwards into education.</w:t>
      </w:r>
    </w:p>
    <w:p xmlns:wp14="http://schemas.microsoft.com/office/word/2010/wordml" w14:paraId="69B74B65" wp14:textId="135C2167">
      <w:r>
        <w:br/>
      </w:r>
    </w:p>
    <w:p xmlns:wp14="http://schemas.microsoft.com/office/word/2010/wordml" w:rsidP="44F3FDA7" w14:paraId="072AED71" wp14:textId="76C99C71">
      <w:pPr>
        <w:jc w:val="both"/>
      </w:pPr>
      <w:r w:rsidRPr="44F3FDA7" w:rsidR="44F3FDA7">
        <w:rPr>
          <w:rFonts w:ascii="Times New Roman" w:hAnsi="Times New Roman" w:eastAsia="Times New Roman" w:cs="Times New Roman"/>
          <w:b w:val="1"/>
          <w:bCs w:val="1"/>
          <w:i w:val="0"/>
          <w:iCs w:val="0"/>
          <w:strike w:val="0"/>
          <w:dstrike w:val="0"/>
          <w:noProof w:val="0"/>
          <w:color w:val="000000" w:themeColor="text1" w:themeTint="FF" w:themeShade="FF"/>
          <w:sz w:val="25"/>
          <w:szCs w:val="25"/>
          <w:u w:val="none"/>
          <w:lang w:val="en-US"/>
        </w:rPr>
        <w:t>With regards to my Welsh language, I have decided to undertake a Welsh Language course to support me further and also to help promote the use of the Welsh language within my setting.  I feel that my inability to be able to speak Welsh confidently prevents me from supporting the children with their Welsh language development.  Whilst we enjoy celebrating the cultures and traditions of all communities, I feel that more implementation of Welsh traditions will help the children to develop knowledge of their communities and values.</w:t>
      </w:r>
    </w:p>
    <w:p xmlns:wp14="http://schemas.microsoft.com/office/word/2010/wordml" w:rsidP="44F3FDA7" w14:paraId="3D1CEA04" wp14:textId="2567CB62">
      <w:pPr>
        <w:jc w:val="both"/>
      </w:pPr>
      <w:r w:rsidRPr="44F3FDA7" w:rsidR="44F3FDA7">
        <w:rPr>
          <w:rFonts w:ascii="Times New Roman" w:hAnsi="Times New Roman" w:eastAsia="Times New Roman" w:cs="Times New Roman"/>
          <w:b w:val="1"/>
          <w:bCs w:val="1"/>
          <w:i w:val="0"/>
          <w:iCs w:val="0"/>
          <w:strike w:val="0"/>
          <w:dstrike w:val="0"/>
          <w:noProof w:val="0"/>
          <w:color w:val="000000" w:themeColor="text1" w:themeTint="FF" w:themeShade="FF"/>
          <w:sz w:val="25"/>
          <w:szCs w:val="25"/>
          <w:u w:val="none"/>
          <w:lang w:val="en-US"/>
        </w:rPr>
        <w:t>I have also decided to use an online survey tool to gather parent and children’s feedback.  I intend to engage the children when I prepare the questions in the hope that I can establish more of what is important to them.  I will encourage them to challenge me and tell me what they want to see within the setting and also to take home to their families a broader view of their day beyond the journals, paintings and crafts to not only give their parents feedback but also to enable parents to offer valuable feedback to enhance the quality of the setting.</w:t>
      </w:r>
    </w:p>
    <w:p xmlns:wp14="http://schemas.microsoft.com/office/word/2010/wordml" w14:paraId="20EBA3DF" wp14:textId="107D583B">
      <w:r>
        <w:br/>
      </w:r>
      <w:r>
        <w:br/>
      </w:r>
      <w:r>
        <w:br/>
      </w:r>
      <w:r>
        <w:br/>
      </w:r>
      <w:r>
        <w:br/>
      </w:r>
      <w:r>
        <w:br/>
      </w:r>
      <w:r>
        <w:br/>
      </w:r>
      <w:r>
        <w:br/>
      </w:r>
      <w:r>
        <w:br/>
      </w:r>
      <w:r>
        <w:br/>
      </w:r>
      <w:r>
        <w:br/>
      </w:r>
      <w:r>
        <w:br/>
      </w:r>
      <w:r>
        <w:br/>
      </w:r>
      <w:r>
        <w:br/>
      </w:r>
    </w:p>
    <w:p xmlns:wp14="http://schemas.microsoft.com/office/word/2010/wordml" w:rsidP="44F3FDA7" w14:paraId="0CC2B108" wp14:textId="3A01A1AA">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Reference List</w:t>
      </w:r>
    </w:p>
    <w:p xmlns:wp14="http://schemas.microsoft.com/office/word/2010/wordml" w14:paraId="32CAA308" wp14:textId="1A2C5A68">
      <w:r>
        <w:br/>
      </w:r>
    </w:p>
    <w:p xmlns:wp14="http://schemas.microsoft.com/office/word/2010/wordml" w:rsidP="44F3FDA7" w14:paraId="5EB23DBC" wp14:textId="74787583">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ECEY6008</w:t>
      </w:r>
    </w:p>
    <w:p xmlns:wp14="http://schemas.microsoft.com/office/word/2010/wordml" w14:paraId="07158998" wp14:textId="1180D650">
      <w:r>
        <w:br/>
      </w:r>
    </w:p>
    <w:p xmlns:wp14="http://schemas.microsoft.com/office/word/2010/wordml" w:rsidP="44F3FDA7" w14:paraId="6118A292" wp14:textId="4DC66289">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Allen, G. (2011)</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 xml:space="preserve"> Early Intervention. The Next Steps. </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London: The Stationery Office.</w:t>
      </w:r>
    </w:p>
    <w:p xmlns:wp14="http://schemas.microsoft.com/office/word/2010/wordml" w14:paraId="24FCA039" wp14:textId="2A3E2B98">
      <w:r>
        <w:br/>
      </w:r>
    </w:p>
    <w:p xmlns:wp14="http://schemas.microsoft.com/office/word/2010/wordml" w:rsidP="44F3FDA7" w14:paraId="5431AC4A" wp14:textId="63ED9808">
      <w:pPr>
        <w:jc w:val="both"/>
      </w:pPr>
      <w:r w:rsidRPr="44F3FDA7" w:rsidR="44F3FDA7">
        <w:rPr>
          <w:rFonts w:ascii="Roboto" w:hAnsi="Roboto" w:eastAsia="Roboto" w:cs="Roboto"/>
          <w:b w:val="1"/>
          <w:bCs w:val="1"/>
          <w:i w:val="0"/>
          <w:iCs w:val="0"/>
          <w:strike w:val="0"/>
          <w:dstrike w:val="0"/>
          <w:noProof w:val="0"/>
          <w:color w:val="222222"/>
          <w:sz w:val="25"/>
          <w:szCs w:val="25"/>
          <w:u w:val="none"/>
          <w:lang w:val="en-US"/>
        </w:rPr>
        <w:t xml:space="preserve">Allen, S. F; Whalley, M. E. (2010) </w:t>
      </w:r>
      <w:r w:rsidRPr="44F3FDA7" w:rsidR="44F3FDA7">
        <w:rPr>
          <w:rFonts w:ascii="Roboto" w:hAnsi="Roboto" w:eastAsia="Roboto" w:cs="Roboto"/>
          <w:b w:val="1"/>
          <w:bCs w:val="1"/>
          <w:i w:val="1"/>
          <w:iCs w:val="1"/>
          <w:strike w:val="0"/>
          <w:dstrike w:val="0"/>
          <w:noProof w:val="0"/>
          <w:color w:val="111111"/>
          <w:sz w:val="25"/>
          <w:szCs w:val="25"/>
          <w:u w:val="none"/>
          <w:lang w:val="en-US"/>
        </w:rPr>
        <w:t>Supporting pedagogy and practice in early years settings</w:t>
      </w:r>
      <w:r w:rsidRPr="44F3FDA7" w:rsidR="44F3FDA7">
        <w:rPr>
          <w:rFonts w:ascii="Roboto" w:hAnsi="Roboto" w:eastAsia="Roboto" w:cs="Roboto"/>
          <w:b w:val="1"/>
          <w:bCs w:val="1"/>
          <w:i w:val="0"/>
          <w:iCs w:val="0"/>
          <w:strike w:val="0"/>
          <w:dstrike w:val="0"/>
          <w:noProof w:val="0"/>
          <w:color w:val="111111"/>
          <w:sz w:val="25"/>
          <w:szCs w:val="25"/>
          <w:u w:val="none"/>
          <w:lang w:val="en-US"/>
        </w:rPr>
        <w:t>. Exeter: Learning Matters.</w:t>
      </w:r>
    </w:p>
    <w:p xmlns:wp14="http://schemas.microsoft.com/office/word/2010/wordml" w14:paraId="3A8595A2" wp14:textId="5358EC1F">
      <w:r>
        <w:br/>
      </w:r>
    </w:p>
    <w:p xmlns:wp14="http://schemas.microsoft.com/office/word/2010/wordml" w:rsidP="44F3FDA7" w14:paraId="40520AAA" wp14:textId="1AA08AB6">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Anders, Y. et al. (2012) </w:t>
      </w:r>
      <w:r w:rsidRPr="44F3FDA7" w:rsidR="44F3FDA7">
        <w:rPr>
          <w:rFonts w:ascii="Georgia" w:hAnsi="Georgia" w:eastAsia="Georgia" w:cs="Georgia"/>
          <w:b w:val="1"/>
          <w:bCs w:val="1"/>
          <w:i w:val="0"/>
          <w:iCs w:val="0"/>
          <w:strike w:val="0"/>
          <w:dstrike w:val="0"/>
          <w:noProof w:val="0"/>
          <w:color w:val="505050"/>
          <w:sz w:val="25"/>
          <w:szCs w:val="25"/>
          <w:u w:val="none"/>
          <w:lang w:val="en-US"/>
        </w:rPr>
        <w:t xml:space="preserve">Home and preschool learning environments and their relations to the development of early numeracy skills. </w:t>
      </w:r>
      <w:hyperlink r:id="R10e818813bd84f9b">
        <w:r w:rsidRPr="44F3FDA7" w:rsidR="44F3FDA7">
          <w:rPr>
            <w:rStyle w:val="Hyperlink"/>
            <w:rFonts w:ascii="Arial" w:hAnsi="Arial" w:eastAsia="Arial" w:cs="Arial"/>
            <w:b w:val="1"/>
            <w:bCs w:val="1"/>
            <w:i w:val="1"/>
            <w:iCs w:val="1"/>
            <w:strike w:val="0"/>
            <w:dstrike w:val="0"/>
            <w:noProof w:val="0"/>
            <w:sz w:val="25"/>
            <w:szCs w:val="25"/>
            <w:lang w:val="en-US"/>
          </w:rPr>
          <w:t>Early Childhood Research Quarterly</w:t>
        </w:r>
      </w:hyperlink>
    </w:p>
    <w:p xmlns:wp14="http://schemas.microsoft.com/office/word/2010/wordml" w:rsidP="44F3FDA7" w14:paraId="4A49F14B" wp14:textId="7FFAAD88">
      <w:pPr>
        <w:jc w:val="both"/>
      </w:pPr>
      <w:hyperlink r:id="R47752c3f86944050">
        <w:r w:rsidRPr="44F3FDA7" w:rsidR="44F3FDA7">
          <w:rPr>
            <w:rStyle w:val="Hyperlink"/>
            <w:rFonts w:ascii="Arial" w:hAnsi="Arial" w:eastAsia="Arial" w:cs="Arial"/>
            <w:b w:val="1"/>
            <w:bCs w:val="1"/>
            <w:i w:val="0"/>
            <w:iCs w:val="0"/>
            <w:strike w:val="0"/>
            <w:dstrike w:val="0"/>
            <w:noProof w:val="0"/>
            <w:sz w:val="25"/>
            <w:szCs w:val="25"/>
            <w:lang w:val="en-US"/>
          </w:rPr>
          <w:t>Volume 27, Issue 2</w:t>
        </w:r>
      </w:hyperlink>
      <w:r w:rsidRPr="44F3FDA7" w:rsidR="44F3FDA7">
        <w:rPr>
          <w:rFonts w:ascii="Arial" w:hAnsi="Arial" w:eastAsia="Arial" w:cs="Arial"/>
          <w:b w:val="1"/>
          <w:bCs w:val="1"/>
          <w:i w:val="0"/>
          <w:iCs w:val="0"/>
          <w:strike w:val="0"/>
          <w:dstrike w:val="0"/>
          <w:noProof w:val="0"/>
          <w:color w:val="2E2E2E"/>
          <w:sz w:val="25"/>
          <w:szCs w:val="25"/>
          <w:u w:val="none"/>
          <w:lang w:val="en-US"/>
        </w:rPr>
        <w:t xml:space="preserve">, 2nd Quarter 2012, Pages 231-244 </w:t>
      </w:r>
      <w:hyperlink r:id="R6e577662a8c34e51">
        <w:r w:rsidRPr="44F3FDA7" w:rsidR="44F3FDA7">
          <w:rPr>
            <w:rStyle w:val="Hyperlink"/>
            <w:rFonts w:ascii="Arial" w:hAnsi="Arial" w:eastAsia="Arial" w:cs="Arial"/>
            <w:b w:val="1"/>
            <w:bCs w:val="1"/>
            <w:i w:val="0"/>
            <w:iCs w:val="0"/>
            <w:strike w:val="0"/>
            <w:dstrike w:val="0"/>
            <w:noProof w:val="0"/>
            <w:sz w:val="25"/>
            <w:szCs w:val="25"/>
            <w:lang w:val="en-US"/>
          </w:rPr>
          <w:t>https://doi.org/10.1016/j.ecresq.2011.08.003</w:t>
        </w:r>
      </w:hyperlink>
    </w:p>
    <w:p xmlns:wp14="http://schemas.microsoft.com/office/word/2010/wordml" w14:paraId="45FD967D" wp14:textId="46EBF763">
      <w:r>
        <w:br/>
      </w:r>
    </w:p>
    <w:p xmlns:wp14="http://schemas.microsoft.com/office/word/2010/wordml" w:rsidP="44F3FDA7" w14:paraId="0E7AEF3A" wp14:textId="31BEE1A3">
      <w:pPr>
        <w:jc w:val="both"/>
      </w:pPr>
      <w:r w:rsidRPr="44F3FDA7" w:rsidR="44F3FDA7">
        <w:rPr>
          <w:rFonts w:ascii="Arial" w:hAnsi="Arial" w:eastAsia="Arial" w:cs="Arial"/>
          <w:b w:val="1"/>
          <w:bCs w:val="1"/>
          <w:i w:val="0"/>
          <w:iCs w:val="0"/>
          <w:strike w:val="0"/>
          <w:dstrike w:val="0"/>
          <w:noProof w:val="0"/>
          <w:color w:val="2E2E2E"/>
          <w:sz w:val="25"/>
          <w:szCs w:val="25"/>
          <w:u w:val="none"/>
          <w:lang w:val="en-US"/>
        </w:rPr>
        <w:t xml:space="preserve">Children and Families (Wales) Regulations 2010 (nawm 1). Available at: </w:t>
      </w:r>
      <w:hyperlink r:id="R3a18c9a683744bc9">
        <w:r w:rsidRPr="44F3FDA7" w:rsidR="44F3FDA7">
          <w:rPr>
            <w:rStyle w:val="Hyperlink"/>
            <w:rFonts w:ascii="Arial" w:hAnsi="Arial" w:eastAsia="Arial" w:cs="Arial"/>
            <w:b w:val="1"/>
            <w:bCs w:val="1"/>
            <w:i w:val="0"/>
            <w:iCs w:val="0"/>
            <w:strike w:val="0"/>
            <w:dstrike w:val="0"/>
            <w:noProof w:val="0"/>
            <w:sz w:val="25"/>
            <w:szCs w:val="25"/>
            <w:lang w:val="en-US"/>
          </w:rPr>
          <w:t>https://www.legislation.gov.uk/mwa/2010/1/contents</w:t>
        </w:r>
      </w:hyperlink>
      <w:r w:rsidRPr="44F3FDA7" w:rsidR="44F3FDA7">
        <w:rPr>
          <w:rFonts w:ascii="Arial" w:hAnsi="Arial" w:eastAsia="Arial" w:cs="Arial"/>
          <w:b w:val="1"/>
          <w:bCs w:val="1"/>
          <w:i w:val="0"/>
          <w:iCs w:val="0"/>
          <w:strike w:val="0"/>
          <w:dstrike w:val="0"/>
          <w:noProof w:val="0"/>
          <w:color w:val="2E2E2E"/>
          <w:sz w:val="25"/>
          <w:szCs w:val="25"/>
          <w:u w:val="none"/>
          <w:lang w:val="en-US"/>
        </w:rPr>
        <w:t xml:space="preserve"> (Accessed: 13th March 2022)</w:t>
      </w:r>
    </w:p>
    <w:p xmlns:wp14="http://schemas.microsoft.com/office/word/2010/wordml" w14:paraId="7B12B34C" wp14:textId="5B2EFBAC">
      <w:r>
        <w:br/>
      </w:r>
    </w:p>
    <w:p xmlns:wp14="http://schemas.microsoft.com/office/word/2010/wordml" w:rsidP="44F3FDA7" w14:paraId="75DA13F7" wp14:textId="3CF976F6">
      <w:pPr>
        <w:jc w:val="both"/>
      </w:pPr>
      <w:r w:rsidRPr="44F3FDA7" w:rsidR="44F3FDA7">
        <w:rPr>
          <w:rFonts w:ascii="Arial" w:hAnsi="Arial" w:eastAsia="Arial" w:cs="Arial"/>
          <w:b w:val="1"/>
          <w:bCs w:val="1"/>
          <w:i w:val="0"/>
          <w:iCs w:val="0"/>
          <w:strike w:val="0"/>
          <w:dstrike w:val="0"/>
          <w:noProof w:val="0"/>
          <w:color w:val="2E2E2E"/>
          <w:sz w:val="25"/>
          <w:szCs w:val="25"/>
          <w:u w:val="none"/>
          <w:lang w:val="en-US"/>
        </w:rPr>
        <w:t>Department of Education (2017) Study of Early Education and Development: Good Practice in Early Education. Available at:</w:t>
      </w:r>
      <w:hyperlink r:id="Rc3d7ab2e3bc841ba">
        <w:r w:rsidRPr="44F3FDA7" w:rsidR="44F3FDA7">
          <w:rPr>
            <w:rStyle w:val="Hyperlink"/>
            <w:rFonts w:ascii="Arial" w:hAnsi="Arial" w:eastAsia="Arial" w:cs="Arial"/>
            <w:b w:val="1"/>
            <w:bCs w:val="1"/>
            <w:i w:val="0"/>
            <w:iCs w:val="0"/>
            <w:strike w:val="0"/>
            <w:dstrike w:val="0"/>
            <w:noProof w:val="0"/>
            <w:sz w:val="25"/>
            <w:szCs w:val="25"/>
            <w:lang w:val="en-US"/>
          </w:rPr>
          <w:t>https://assets.publishing.service.gov.uk/government/uploads/system/uploads/attachment_data/file/586242/SEED__Good_Practice_in_Early_Education_-_RR553.pdf</w:t>
        </w:r>
      </w:hyperlink>
      <w:r w:rsidRPr="44F3FDA7" w:rsidR="44F3FDA7">
        <w:rPr>
          <w:rFonts w:ascii="Arial" w:hAnsi="Arial" w:eastAsia="Arial" w:cs="Arial"/>
          <w:b w:val="1"/>
          <w:bCs w:val="1"/>
          <w:i w:val="0"/>
          <w:iCs w:val="0"/>
          <w:strike w:val="0"/>
          <w:dstrike w:val="0"/>
          <w:noProof w:val="0"/>
          <w:color w:val="2E2E2E"/>
          <w:sz w:val="25"/>
          <w:szCs w:val="25"/>
          <w:u w:val="none"/>
          <w:lang w:val="en-US"/>
        </w:rPr>
        <w:t xml:space="preserve"> (Accessed: 13th March 2022)</w:t>
      </w:r>
    </w:p>
    <w:p xmlns:wp14="http://schemas.microsoft.com/office/word/2010/wordml" w14:paraId="742F9F68" wp14:textId="3F0D9F94">
      <w:r>
        <w:br/>
      </w:r>
      <w:r>
        <w:br/>
      </w:r>
    </w:p>
    <w:p xmlns:wp14="http://schemas.microsoft.com/office/word/2010/wordml" w:rsidP="44F3FDA7" w14:paraId="31059944" wp14:textId="2DA97F61">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Douglass, A.L (2019) Leadership for Quality Early Childhood Education and Care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OECD Education Working Paper</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No. 211 </w:t>
      </w:r>
      <w:hyperlink r:id="Raf2c9fc24d8e449e">
        <w:r w:rsidRPr="44F3FDA7" w:rsidR="44F3FDA7">
          <w:rPr>
            <w:rStyle w:val="Hyperlink"/>
            <w:rFonts w:ascii="Arial" w:hAnsi="Arial" w:eastAsia="Arial" w:cs="Arial"/>
            <w:b w:val="1"/>
            <w:bCs w:val="1"/>
            <w:i w:val="0"/>
            <w:iCs w:val="0"/>
            <w:strike w:val="0"/>
            <w:dstrike w:val="0"/>
            <w:noProof w:val="0"/>
            <w:sz w:val="25"/>
            <w:szCs w:val="25"/>
            <w:lang w:val="en-US"/>
          </w:rPr>
          <w:t>https://www.oecd.org/officialdocuments/publicdisplaydocumentpdf/?cote=EDU/WKP%282019%2919&amp;docLanguage=En</w:t>
        </w:r>
      </w:hyperlink>
    </w:p>
    <w:p xmlns:wp14="http://schemas.microsoft.com/office/word/2010/wordml" w14:paraId="3B0420D2" wp14:textId="796AF152">
      <w:r>
        <w:br/>
      </w:r>
      <w:r>
        <w:br/>
      </w:r>
    </w:p>
    <w:p xmlns:wp14="http://schemas.microsoft.com/office/word/2010/wordml" w:rsidP="44F3FDA7" w14:paraId="0C53CADA" wp14:textId="565E282B">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Duffy, B. (2013) </w:t>
      </w:r>
      <w:r w:rsidRPr="44F3FDA7" w:rsidR="44F3FDA7">
        <w:rPr>
          <w:rFonts w:ascii="Arial" w:hAnsi="Arial" w:eastAsia="Arial" w:cs="Arial"/>
          <w:b w:val="1"/>
          <w:bCs w:val="1"/>
          <w:i w:val="1"/>
          <w:iCs w:val="1"/>
          <w:strike w:val="0"/>
          <w:dstrike w:val="0"/>
          <w:noProof w:val="0"/>
          <w:color w:val="333333"/>
          <w:sz w:val="25"/>
          <w:szCs w:val="25"/>
          <w:u w:val="none"/>
          <w:lang w:val="en-US"/>
        </w:rPr>
        <w:t>Supporting Creativity And Imagination In The Early Years</w:t>
      </w:r>
      <w:r w:rsidRPr="44F3FDA7" w:rsidR="44F3FDA7">
        <w:rPr>
          <w:rFonts w:ascii="Arial" w:hAnsi="Arial" w:eastAsia="Arial" w:cs="Arial"/>
          <w:b w:val="1"/>
          <w:bCs w:val="1"/>
          <w:i w:val="0"/>
          <w:iCs w:val="0"/>
          <w:strike w:val="0"/>
          <w:dstrike w:val="0"/>
          <w:noProof w:val="0"/>
          <w:color w:val="333333"/>
          <w:sz w:val="25"/>
          <w:szCs w:val="25"/>
          <w:u w:val="none"/>
          <w:lang w:val="en-US"/>
        </w:rPr>
        <w:t xml:space="preserve"> (2nd Edition) Berkshire, UK: Open University Press.</w:t>
      </w:r>
    </w:p>
    <w:p xmlns:wp14="http://schemas.microsoft.com/office/word/2010/wordml" w14:paraId="4A67F330" wp14:textId="08ABB0BE">
      <w:r>
        <w:br/>
      </w:r>
    </w:p>
    <w:p xmlns:wp14="http://schemas.microsoft.com/office/word/2010/wordml" w:rsidP="44F3FDA7" w14:paraId="09B9FD0F" wp14:textId="3FA445F6">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Early Years Careers, (2016)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Receiving Feedback from Parents</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Available at: </w:t>
      </w:r>
      <w:hyperlink r:id="R6dbca906ef834666">
        <w:r w:rsidRPr="44F3FDA7" w:rsidR="44F3FDA7">
          <w:rPr>
            <w:rStyle w:val="Hyperlink"/>
            <w:rFonts w:ascii="Arial" w:hAnsi="Arial" w:eastAsia="Arial" w:cs="Arial"/>
            <w:b w:val="1"/>
            <w:bCs w:val="1"/>
            <w:i w:val="0"/>
            <w:iCs w:val="0"/>
            <w:strike w:val="0"/>
            <w:dstrike w:val="0"/>
            <w:noProof w:val="0"/>
            <w:sz w:val="25"/>
            <w:szCs w:val="25"/>
            <w:lang w:val="en-US"/>
          </w:rPr>
          <w:t>https://www.earlyyearscareers.com/eyc/latest-news/receiving-feedback-parents/</w:t>
        </w:r>
      </w:hyperlink>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(Accessed: 5th February 2022)</w:t>
      </w:r>
    </w:p>
    <w:p xmlns:wp14="http://schemas.microsoft.com/office/word/2010/wordml" w14:paraId="59C16585" wp14:textId="54A79DE6">
      <w:r>
        <w:br/>
      </w:r>
    </w:p>
    <w:p xmlns:wp14="http://schemas.microsoft.com/office/word/2010/wordml" w:rsidP="44F3FDA7" w14:paraId="29964B80" wp14:textId="71DA345B">
      <w:pPr>
        <w:jc w:val="both"/>
      </w:pPr>
      <w:r w:rsidRPr="44F3FDA7" w:rsidR="44F3FDA7">
        <w:rPr>
          <w:rFonts w:ascii="Arial" w:hAnsi="Arial" w:eastAsia="Arial" w:cs="Arial"/>
          <w:b w:val="1"/>
          <w:bCs w:val="1"/>
          <w:i w:val="0"/>
          <w:iCs w:val="0"/>
          <w:strike w:val="0"/>
          <w:dstrike w:val="0"/>
          <w:noProof w:val="0"/>
          <w:color w:val="333333"/>
          <w:sz w:val="25"/>
          <w:szCs w:val="25"/>
          <w:u w:val="none"/>
          <w:lang w:val="en-US"/>
        </w:rPr>
        <w:t xml:space="preserve">Early Years Wales, (2022). </w:t>
      </w:r>
      <w:r w:rsidRPr="44F3FDA7" w:rsidR="44F3FDA7">
        <w:rPr>
          <w:rFonts w:ascii="Arial" w:hAnsi="Arial" w:eastAsia="Arial" w:cs="Arial"/>
          <w:b w:val="1"/>
          <w:bCs w:val="1"/>
          <w:i w:val="1"/>
          <w:iCs w:val="1"/>
          <w:strike w:val="0"/>
          <w:dstrike w:val="0"/>
          <w:noProof w:val="0"/>
          <w:color w:val="333333"/>
          <w:sz w:val="25"/>
          <w:szCs w:val="25"/>
          <w:u w:val="none"/>
          <w:lang w:val="en-US"/>
        </w:rPr>
        <w:t xml:space="preserve">Quality for All. </w:t>
      </w:r>
      <w:r w:rsidRPr="44F3FDA7" w:rsidR="44F3FDA7">
        <w:rPr>
          <w:rFonts w:ascii="Arial" w:hAnsi="Arial" w:eastAsia="Arial" w:cs="Arial"/>
          <w:b w:val="1"/>
          <w:bCs w:val="1"/>
          <w:i w:val="0"/>
          <w:iCs w:val="0"/>
          <w:strike w:val="0"/>
          <w:dstrike w:val="0"/>
          <w:noProof w:val="0"/>
          <w:color w:val="333333"/>
          <w:sz w:val="25"/>
          <w:szCs w:val="25"/>
          <w:u w:val="none"/>
          <w:lang w:val="en-US"/>
        </w:rPr>
        <w:t xml:space="preserve">Available at: </w:t>
      </w:r>
      <w:hyperlink w:anchor=":~:text=for%20All%20(QfA)-,Quality%20for%20All%20(QfA)%20is%20Early%20Years%20Wales'%20childcare,make%20to%20their%20childcare%20service" r:id="R11ece681b1814f70">
        <w:r w:rsidRPr="44F3FDA7" w:rsidR="44F3FDA7">
          <w:rPr>
            <w:rStyle w:val="Hyperlink"/>
            <w:rFonts w:ascii="Arial" w:hAnsi="Arial" w:eastAsia="Arial" w:cs="Arial"/>
            <w:b w:val="1"/>
            <w:bCs w:val="1"/>
            <w:i w:val="0"/>
            <w:iCs w:val="0"/>
            <w:strike w:val="0"/>
            <w:dstrike w:val="0"/>
            <w:noProof w:val="0"/>
            <w:sz w:val="25"/>
            <w:szCs w:val="25"/>
            <w:lang w:val="en-US"/>
          </w:rPr>
          <w:t>https://www.earlyyears.wales/en/quality-for-all#:~:text=for%20All%20(QfA)-,Quality%20for%20All%20(QfA)%20is%20Early%20Years%20Wales'%20childcare,make%20to%20their%20childcare%20service</w:t>
        </w:r>
      </w:hyperlink>
      <w:r w:rsidRPr="44F3FDA7" w:rsidR="44F3FDA7">
        <w:rPr>
          <w:rFonts w:ascii="Arial" w:hAnsi="Arial" w:eastAsia="Arial" w:cs="Arial"/>
          <w:b w:val="1"/>
          <w:bCs w:val="1"/>
          <w:i w:val="0"/>
          <w:iCs w:val="0"/>
          <w:strike w:val="0"/>
          <w:dstrike w:val="0"/>
          <w:noProof w:val="0"/>
          <w:color w:val="333333"/>
          <w:sz w:val="25"/>
          <w:szCs w:val="25"/>
          <w:u w:val="none"/>
          <w:lang w:val="en-US"/>
        </w:rPr>
        <w:t>. (Accessed: 13th March 2022)</w:t>
      </w:r>
    </w:p>
    <w:p xmlns:wp14="http://schemas.microsoft.com/office/word/2010/wordml" w14:paraId="7B7E1F35" wp14:textId="1DBACE6A">
      <w:r>
        <w:br/>
      </w:r>
    </w:p>
    <w:p xmlns:wp14="http://schemas.microsoft.com/office/word/2010/wordml" w:rsidP="44F3FDA7" w14:paraId="73E38E54" wp14:textId="27DA2368">
      <w:pPr>
        <w:jc w:val="both"/>
      </w:pPr>
      <w:r w:rsidRPr="44F3FDA7" w:rsidR="44F3FDA7">
        <w:rPr>
          <w:rFonts w:ascii="Arial" w:hAnsi="Arial" w:eastAsia="Arial" w:cs="Arial"/>
          <w:b w:val="1"/>
          <w:bCs w:val="1"/>
          <w:i w:val="0"/>
          <w:iCs w:val="0"/>
          <w:strike w:val="0"/>
          <w:dstrike w:val="0"/>
          <w:noProof w:val="0"/>
          <w:color w:val="3A3A3A"/>
          <w:sz w:val="25"/>
          <w:szCs w:val="25"/>
          <w:u w:val="none"/>
          <w:lang w:val="en-US"/>
        </w:rPr>
        <w:t xml:space="preserve">Jung, H.Y. and Reifel, S. (2011) ‘Promoting Children’s Communication: A Kindergarten Teacher’s Conception and Practice of Effective Mathematics Instruction’, </w:t>
      </w:r>
      <w:r w:rsidRPr="44F3FDA7" w:rsidR="44F3FDA7">
        <w:rPr>
          <w:rFonts w:ascii="Arial" w:hAnsi="Arial" w:eastAsia="Arial" w:cs="Arial"/>
          <w:b w:val="1"/>
          <w:bCs w:val="1"/>
          <w:i w:val="1"/>
          <w:iCs w:val="1"/>
          <w:strike w:val="0"/>
          <w:dstrike w:val="0"/>
          <w:noProof w:val="0"/>
          <w:color w:val="3A3A3A"/>
          <w:sz w:val="25"/>
          <w:szCs w:val="25"/>
          <w:u w:val="none"/>
          <w:lang w:val="en-US"/>
        </w:rPr>
        <w:t>Journal of research in childhood education</w:t>
      </w:r>
      <w:r w:rsidRPr="44F3FDA7" w:rsidR="44F3FDA7">
        <w:rPr>
          <w:rFonts w:ascii="Arial" w:hAnsi="Arial" w:eastAsia="Arial" w:cs="Arial"/>
          <w:b w:val="1"/>
          <w:bCs w:val="1"/>
          <w:i w:val="0"/>
          <w:iCs w:val="0"/>
          <w:strike w:val="0"/>
          <w:dstrike w:val="0"/>
          <w:noProof w:val="0"/>
          <w:color w:val="3A3A3A"/>
          <w:sz w:val="25"/>
          <w:szCs w:val="25"/>
          <w:u w:val="none"/>
          <w:lang w:val="en-US"/>
        </w:rPr>
        <w:t xml:space="preserve">, 25(2), pp. 194–210. doi:10.1080/02568543.2011.555496.‘Promoting Children’s Communication: A Kindergarten Teacher’s Conception and Practice of Effective Mathematics Instruction’, </w:t>
      </w:r>
      <w:r w:rsidRPr="44F3FDA7" w:rsidR="44F3FDA7">
        <w:rPr>
          <w:rFonts w:ascii="Arial" w:hAnsi="Arial" w:eastAsia="Arial" w:cs="Arial"/>
          <w:b w:val="1"/>
          <w:bCs w:val="1"/>
          <w:i w:val="1"/>
          <w:iCs w:val="1"/>
          <w:strike w:val="0"/>
          <w:dstrike w:val="0"/>
          <w:noProof w:val="0"/>
          <w:color w:val="3A3A3A"/>
          <w:sz w:val="25"/>
          <w:szCs w:val="25"/>
          <w:u w:val="none"/>
          <w:lang w:val="en-US"/>
        </w:rPr>
        <w:t>Journal of research in childhood education</w:t>
      </w:r>
      <w:r w:rsidRPr="44F3FDA7" w:rsidR="44F3FDA7">
        <w:rPr>
          <w:rFonts w:ascii="Arial" w:hAnsi="Arial" w:eastAsia="Arial" w:cs="Arial"/>
          <w:b w:val="1"/>
          <w:bCs w:val="1"/>
          <w:i w:val="0"/>
          <w:iCs w:val="0"/>
          <w:strike w:val="0"/>
          <w:dstrike w:val="0"/>
          <w:noProof w:val="0"/>
          <w:color w:val="3A3A3A"/>
          <w:sz w:val="25"/>
          <w:szCs w:val="25"/>
          <w:u w:val="none"/>
          <w:lang w:val="en-US"/>
        </w:rPr>
        <w:t>, 25(2), pp. 194–210. doi:10.1080/02568543.2011.555496.</w:t>
      </w:r>
    </w:p>
    <w:p xmlns:wp14="http://schemas.microsoft.com/office/word/2010/wordml" w14:paraId="14DACF70" wp14:textId="1570F64B">
      <w:r>
        <w:br/>
      </w:r>
    </w:p>
    <w:p xmlns:wp14="http://schemas.microsoft.com/office/word/2010/wordml" w:rsidP="44F3FDA7" w14:paraId="3E5528DC" wp14:textId="5109B4B5">
      <w:pPr>
        <w:jc w:val="both"/>
      </w:pPr>
      <w:r w:rsidRPr="44F3FDA7" w:rsidR="44F3FDA7">
        <w:rPr>
          <w:rFonts w:ascii="Arial" w:hAnsi="Arial" w:eastAsia="Arial" w:cs="Arial"/>
          <w:b w:val="1"/>
          <w:bCs w:val="1"/>
          <w:i w:val="0"/>
          <w:iCs w:val="0"/>
          <w:strike w:val="0"/>
          <w:dstrike w:val="0"/>
          <w:noProof w:val="0"/>
          <w:color w:val="333333"/>
          <w:sz w:val="25"/>
          <w:szCs w:val="25"/>
          <w:u w:val="none"/>
          <w:lang w:val="en-US"/>
        </w:rPr>
        <w:t xml:space="preserve">Kangas. J, Ojala. M &amp; Venninen, T, (2015) Children’s Self-Regulation in the Context of Participatory Pedagogy in Early Childhood Education. “Early education and Development”. Volume 26, Issue 5-6. </w:t>
      </w:r>
      <w:hyperlink r:id="Rf9a3fce72c0f4502">
        <w:r w:rsidRPr="44F3FDA7" w:rsidR="44F3FDA7">
          <w:rPr>
            <w:rStyle w:val="Hyperlink"/>
            <w:rFonts w:ascii="Arial" w:hAnsi="Arial" w:eastAsia="Arial" w:cs="Arial"/>
            <w:b w:val="1"/>
            <w:bCs w:val="1"/>
            <w:i w:val="0"/>
            <w:iCs w:val="0"/>
            <w:strike w:val="0"/>
            <w:dstrike w:val="0"/>
            <w:noProof w:val="0"/>
            <w:sz w:val="25"/>
            <w:szCs w:val="25"/>
            <w:lang w:val="en-US"/>
          </w:rPr>
          <w:t>https://doi.org/10.1080/10409289.2015.1039434</w:t>
        </w:r>
      </w:hyperlink>
    </w:p>
    <w:p xmlns:wp14="http://schemas.microsoft.com/office/word/2010/wordml" w14:paraId="0175EB5B" wp14:textId="28AD9F72">
      <w:r>
        <w:br/>
      </w:r>
      <w:r>
        <w:br/>
      </w:r>
    </w:p>
    <w:p xmlns:wp14="http://schemas.microsoft.com/office/word/2010/wordml" w:rsidP="44F3FDA7" w14:paraId="3C180ECA" wp14:textId="756B4E4D">
      <w:pPr>
        <w:jc w:val="both"/>
      </w:pPr>
      <w:hyperlink w:anchor="!" r:id="R9bf569c358a04a9a">
        <w:r w:rsidRPr="44F3FDA7" w:rsidR="44F3FDA7">
          <w:rPr>
            <w:rStyle w:val="Hyperlink"/>
            <w:rFonts w:ascii="Arial" w:hAnsi="Arial" w:eastAsia="Arial" w:cs="Arial"/>
            <w:b w:val="1"/>
            <w:bCs w:val="1"/>
            <w:i w:val="0"/>
            <w:iCs w:val="0"/>
            <w:strike w:val="0"/>
            <w:dstrike w:val="0"/>
            <w:noProof w:val="0"/>
            <w:sz w:val="25"/>
            <w:szCs w:val="25"/>
            <w:lang w:val="en-US"/>
          </w:rPr>
          <w:t>Lipscomb</w:t>
        </w:r>
      </w:hyperlink>
      <w:r w:rsidRPr="44F3FDA7" w:rsidR="44F3FDA7">
        <w:rPr>
          <w:rFonts w:ascii="Arial" w:hAnsi="Arial" w:eastAsia="Arial" w:cs="Arial"/>
          <w:b w:val="1"/>
          <w:bCs w:val="1"/>
          <w:i w:val="0"/>
          <w:iCs w:val="0"/>
          <w:strike w:val="0"/>
          <w:dstrike w:val="0"/>
          <w:noProof w:val="0"/>
          <w:color w:val="333333"/>
          <w:sz w:val="25"/>
          <w:szCs w:val="25"/>
          <w:u w:val="none"/>
          <w:lang w:val="en-US"/>
        </w:rPr>
        <w:t xml:space="preserve">, S. T. et.al </w:t>
      </w:r>
      <w:r w:rsidRPr="44F3FDA7" w:rsidR="44F3FDA7">
        <w:rPr>
          <w:rFonts w:ascii="Arial" w:hAnsi="Arial" w:eastAsia="Arial" w:cs="Arial"/>
          <w:b w:val="1"/>
          <w:bCs w:val="1"/>
          <w:i w:val="0"/>
          <w:iCs w:val="0"/>
          <w:strike w:val="0"/>
          <w:dstrike w:val="0"/>
          <w:noProof w:val="0"/>
          <w:color w:val="3A3A3A"/>
          <w:sz w:val="25"/>
          <w:szCs w:val="25"/>
          <w:u w:val="none"/>
          <w:lang w:val="en-US"/>
        </w:rPr>
        <w:t xml:space="preserve">(2021). Impacts of Roots of Resilience professional development for early childhood teachers on Young children’s protective factors. </w:t>
      </w:r>
      <w:r w:rsidRPr="44F3FDA7" w:rsidR="44F3FDA7">
        <w:rPr>
          <w:rFonts w:ascii="Arial" w:hAnsi="Arial" w:eastAsia="Arial" w:cs="Arial"/>
          <w:b w:val="1"/>
          <w:bCs w:val="1"/>
          <w:i w:val="1"/>
          <w:iCs w:val="1"/>
          <w:strike w:val="0"/>
          <w:dstrike w:val="0"/>
          <w:noProof w:val="0"/>
          <w:color w:val="3A3A3A"/>
          <w:sz w:val="25"/>
          <w:szCs w:val="25"/>
          <w:u w:val="none"/>
          <w:lang w:val="en-US"/>
        </w:rPr>
        <w:t>Early Childhood Research Quarterly</w:t>
      </w:r>
      <w:r w:rsidRPr="44F3FDA7" w:rsidR="44F3FDA7">
        <w:rPr>
          <w:rFonts w:ascii="Arial" w:hAnsi="Arial" w:eastAsia="Arial" w:cs="Arial"/>
          <w:b w:val="1"/>
          <w:bCs w:val="1"/>
          <w:i w:val="0"/>
          <w:iCs w:val="0"/>
          <w:strike w:val="0"/>
          <w:dstrike w:val="0"/>
          <w:noProof w:val="0"/>
          <w:color w:val="3A3A3A"/>
          <w:sz w:val="25"/>
          <w:szCs w:val="25"/>
          <w:u w:val="none"/>
          <w:lang w:val="en-US"/>
        </w:rPr>
        <w:t xml:space="preserve">, </w:t>
      </w:r>
      <w:r w:rsidRPr="44F3FDA7" w:rsidR="44F3FDA7">
        <w:rPr>
          <w:rFonts w:ascii="Arial" w:hAnsi="Arial" w:eastAsia="Arial" w:cs="Arial"/>
          <w:b w:val="1"/>
          <w:bCs w:val="1"/>
          <w:i w:val="1"/>
          <w:iCs w:val="1"/>
          <w:strike w:val="0"/>
          <w:dstrike w:val="0"/>
          <w:noProof w:val="0"/>
          <w:color w:val="3A3A3A"/>
          <w:sz w:val="25"/>
          <w:szCs w:val="25"/>
          <w:u w:val="none"/>
          <w:lang w:val="en-US"/>
        </w:rPr>
        <w:t>56</w:t>
      </w:r>
      <w:r w:rsidRPr="44F3FDA7" w:rsidR="44F3FDA7">
        <w:rPr>
          <w:rFonts w:ascii="Arial" w:hAnsi="Arial" w:eastAsia="Arial" w:cs="Arial"/>
          <w:b w:val="1"/>
          <w:bCs w:val="1"/>
          <w:i w:val="0"/>
          <w:iCs w:val="0"/>
          <w:strike w:val="0"/>
          <w:dstrike w:val="0"/>
          <w:noProof w:val="0"/>
          <w:color w:val="3A3A3A"/>
          <w:sz w:val="25"/>
          <w:szCs w:val="25"/>
          <w:u w:val="none"/>
          <w:lang w:val="en-US"/>
        </w:rPr>
        <w:t xml:space="preserve">, 1–14. </w:t>
      </w:r>
      <w:hyperlink r:id="R8d8abed2e2f14a28">
        <w:r w:rsidRPr="44F3FDA7" w:rsidR="44F3FDA7">
          <w:rPr>
            <w:rStyle w:val="Hyperlink"/>
            <w:rFonts w:ascii="Arial" w:hAnsi="Arial" w:eastAsia="Arial" w:cs="Arial"/>
            <w:b w:val="1"/>
            <w:bCs w:val="1"/>
            <w:i w:val="0"/>
            <w:iCs w:val="0"/>
            <w:strike w:val="0"/>
            <w:dstrike w:val="0"/>
            <w:noProof w:val="0"/>
            <w:sz w:val="25"/>
            <w:szCs w:val="25"/>
            <w:lang w:val="en-US"/>
          </w:rPr>
          <w:t>https://doi.org/10.1016/j.ecresq.2021.02.002</w:t>
        </w:r>
      </w:hyperlink>
      <w:r w:rsidRPr="44F3FDA7" w:rsidR="44F3FDA7">
        <w:rPr>
          <w:rFonts w:ascii="Arial" w:hAnsi="Arial" w:eastAsia="Arial" w:cs="Arial"/>
          <w:b w:val="1"/>
          <w:bCs w:val="1"/>
          <w:i w:val="0"/>
          <w:iCs w:val="0"/>
          <w:strike w:val="0"/>
          <w:dstrike w:val="0"/>
          <w:noProof w:val="0"/>
          <w:color w:val="3A3A3A"/>
          <w:sz w:val="25"/>
          <w:szCs w:val="25"/>
          <w:u w:val="none"/>
          <w:lang w:val="en-US"/>
        </w:rPr>
        <w:t xml:space="preserve"> </w:t>
      </w:r>
    </w:p>
    <w:p xmlns:wp14="http://schemas.microsoft.com/office/word/2010/wordml" w14:paraId="5D647009" wp14:textId="78CBF9A3">
      <w:r>
        <w:br/>
      </w:r>
    </w:p>
    <w:p xmlns:wp14="http://schemas.microsoft.com/office/word/2010/wordml" w:rsidP="44F3FDA7" w14:paraId="087C3924" wp14:textId="368F1549">
      <w:pPr>
        <w:jc w:val="both"/>
      </w:pPr>
      <w:r w:rsidRPr="44F3FDA7" w:rsidR="44F3FDA7">
        <w:rPr>
          <w:rFonts w:ascii="Arial" w:hAnsi="Arial" w:eastAsia="Arial" w:cs="Arial"/>
          <w:b w:val="1"/>
          <w:bCs w:val="1"/>
          <w:i w:val="0"/>
          <w:iCs w:val="0"/>
          <w:strike w:val="0"/>
          <w:dstrike w:val="0"/>
          <w:noProof w:val="0"/>
          <w:color w:val="3A3A3A"/>
          <w:sz w:val="25"/>
          <w:szCs w:val="25"/>
          <w:u w:val="none"/>
          <w:lang w:val="en-US"/>
        </w:rPr>
        <w:t xml:space="preserve">Melhuish, E C. et. al.  (2015) A review of research on the effects of Early Childhood Education and Care (ECEC) upon child development. CARE project; Curriculum Quality Analysis and Impact Review of European Early Childhood Education and Care (ECEC). Technical Report. European Commission.  Available at: </w:t>
      </w:r>
      <w:hyperlink r:id="Re50c44ecf68349d8">
        <w:r w:rsidRPr="44F3FDA7" w:rsidR="44F3FDA7">
          <w:rPr>
            <w:rStyle w:val="Hyperlink"/>
            <w:rFonts w:ascii="Arial" w:hAnsi="Arial" w:eastAsia="Arial" w:cs="Arial"/>
            <w:b w:val="1"/>
            <w:bCs w:val="1"/>
            <w:i w:val="0"/>
            <w:iCs w:val="0"/>
            <w:strike w:val="0"/>
            <w:dstrike w:val="0"/>
            <w:noProof w:val="0"/>
            <w:sz w:val="25"/>
            <w:szCs w:val="25"/>
            <w:lang w:val="en-US"/>
          </w:rPr>
          <w:t>http://ecec-care.org/resources/publications/</w:t>
        </w:r>
      </w:hyperlink>
      <w:r w:rsidRPr="44F3FDA7" w:rsidR="44F3FDA7">
        <w:rPr>
          <w:rFonts w:ascii="Arial" w:hAnsi="Arial" w:eastAsia="Arial" w:cs="Arial"/>
          <w:b w:val="1"/>
          <w:bCs w:val="1"/>
          <w:i w:val="0"/>
          <w:iCs w:val="0"/>
          <w:strike w:val="0"/>
          <w:dstrike w:val="0"/>
          <w:noProof w:val="0"/>
          <w:color w:val="3A3A3A"/>
          <w:sz w:val="25"/>
          <w:szCs w:val="25"/>
          <w:u w:val="none"/>
          <w:lang w:val="en-US"/>
        </w:rPr>
        <w:t>. (Accessed: 13th March 2022)</w:t>
      </w:r>
    </w:p>
    <w:p xmlns:wp14="http://schemas.microsoft.com/office/word/2010/wordml" w14:paraId="7B64983F" wp14:textId="6835F70B">
      <w:r>
        <w:br/>
      </w:r>
    </w:p>
    <w:p xmlns:wp14="http://schemas.microsoft.com/office/word/2010/wordml" w:rsidP="44F3FDA7" w14:paraId="14435881" wp14:textId="25EFAACB">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Moss, P (2016). Why can’t we get beyond quality?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Contemporary Issues in Early Childhood</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17</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(1). </w:t>
      </w:r>
      <w:hyperlink r:id="R48f5f72061af4dee">
        <w:r w:rsidRPr="44F3FDA7" w:rsidR="44F3FDA7">
          <w:rPr>
            <w:rStyle w:val="Hyperlink"/>
            <w:rFonts w:ascii="Arial" w:hAnsi="Arial" w:eastAsia="Arial" w:cs="Arial"/>
            <w:b w:val="1"/>
            <w:bCs w:val="1"/>
            <w:i w:val="0"/>
            <w:iCs w:val="0"/>
            <w:strike w:val="0"/>
            <w:dstrike w:val="0"/>
            <w:noProof w:val="0"/>
            <w:sz w:val="25"/>
            <w:szCs w:val="25"/>
            <w:lang w:val="en-US"/>
          </w:rPr>
          <w:t>https://doi.org/10.1177/1463949115627895</w:t>
        </w:r>
      </w:hyperlink>
    </w:p>
    <w:p xmlns:wp14="http://schemas.microsoft.com/office/word/2010/wordml" w14:paraId="167C3B4D" wp14:textId="69998D66">
      <w:r>
        <w:br/>
      </w:r>
      <w:r>
        <w:br/>
      </w:r>
    </w:p>
    <w:p xmlns:wp14="http://schemas.microsoft.com/office/word/2010/wordml" w:rsidP="44F3FDA7" w14:paraId="0D1287AD" wp14:textId="06B47117">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Oxfordshire. Gov.UK. (No Date).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My Space, Creating enabling environments for young children.</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Available at: </w:t>
      </w:r>
      <w:hyperlink r:id="Rdc50711b31814b91">
        <w:r w:rsidRPr="44F3FDA7" w:rsidR="44F3FDA7">
          <w:rPr>
            <w:rStyle w:val="Hyperlink"/>
            <w:rFonts w:ascii="Arial" w:hAnsi="Arial" w:eastAsia="Arial" w:cs="Arial"/>
            <w:b w:val="1"/>
            <w:bCs w:val="1"/>
            <w:i w:val="0"/>
            <w:iCs w:val="0"/>
            <w:strike w:val="0"/>
            <w:dstrike w:val="0"/>
            <w:noProof w:val="0"/>
            <w:sz w:val="25"/>
            <w:szCs w:val="25"/>
            <w:lang w:val="en-US"/>
          </w:rPr>
          <w:t>https://www2.oxfordshire.gov.uk/cms/sites/default/files/folders/documents/childreneducationandfamilies/informationforchildcareproviders/Toolkit/My_Space_Creating_enabling_environments_for_young_children.pdf</w:t>
        </w:r>
      </w:hyperlink>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(Accessed: 13th March 2022)</w:t>
      </w:r>
    </w:p>
    <w:p xmlns:wp14="http://schemas.microsoft.com/office/word/2010/wordml" w14:paraId="67AB4048" wp14:textId="7AB71761">
      <w:r>
        <w:br/>
      </w:r>
    </w:p>
    <w:p xmlns:wp14="http://schemas.microsoft.com/office/word/2010/wordml" w:rsidP="44F3FDA7" w14:paraId="705541B2" wp14:textId="056C1501">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Pacey, (2019) Practice, regulation and legislation. Available at: </w:t>
      </w:r>
      <w:hyperlink r:id="Ra3326f4c812a4ab5">
        <w:r w:rsidRPr="44F3FDA7" w:rsidR="44F3FDA7">
          <w:rPr>
            <w:rStyle w:val="Hyperlink"/>
            <w:rFonts w:ascii="Arial" w:hAnsi="Arial" w:eastAsia="Arial" w:cs="Arial"/>
            <w:b w:val="1"/>
            <w:bCs w:val="1"/>
            <w:i w:val="0"/>
            <w:iCs w:val="0"/>
            <w:strike w:val="0"/>
            <w:dstrike w:val="0"/>
            <w:noProof w:val="0"/>
            <w:sz w:val="25"/>
            <w:szCs w:val="25"/>
            <w:lang w:val="en-US"/>
          </w:rPr>
          <w:t>https://www.pacey.org.uk/mypacey/resources/practice/regulation-and-legislation/ofsted-and-ciw/quality-of-care-report-wales/</w:t>
        </w:r>
      </w:hyperlink>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(Accessed: 13th March 2022)</w:t>
      </w:r>
    </w:p>
    <w:p xmlns:wp14="http://schemas.microsoft.com/office/word/2010/wordml" w14:paraId="6328EB67" wp14:textId="5C2C8611">
      <w:r>
        <w:br/>
      </w:r>
    </w:p>
    <w:p xmlns:wp14="http://schemas.microsoft.com/office/word/2010/wordml" w:rsidP="44F3FDA7" w14:paraId="33B4227E" wp14:textId="562F1E22">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Pacey, (2022)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Quality Start Scheme.</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Available at: </w:t>
      </w:r>
      <w:hyperlink r:id="R6ebe3ecf362e44d5">
        <w:r w:rsidRPr="44F3FDA7" w:rsidR="44F3FDA7">
          <w:rPr>
            <w:rStyle w:val="Hyperlink"/>
            <w:rFonts w:ascii="Arial" w:hAnsi="Arial" w:eastAsia="Arial" w:cs="Arial"/>
            <w:b w:val="1"/>
            <w:bCs w:val="1"/>
            <w:i w:val="0"/>
            <w:iCs w:val="0"/>
            <w:strike w:val="0"/>
            <w:dstrike w:val="0"/>
            <w:noProof w:val="0"/>
            <w:sz w:val="25"/>
            <w:szCs w:val="25"/>
            <w:lang w:val="en-US"/>
          </w:rPr>
          <w:t>https://www.pacey.org.uk/partners/pacey-in-wales/local-authorities-in-wales/quality-start-scheme/</w:t>
        </w:r>
      </w:hyperlink>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(Accessed 11th March 2022)</w:t>
      </w:r>
    </w:p>
    <w:p xmlns:wp14="http://schemas.microsoft.com/office/word/2010/wordml" w14:paraId="2ED2634C" wp14:textId="6718A798">
      <w:r>
        <w:br/>
      </w:r>
    </w:p>
    <w:p xmlns:wp14="http://schemas.microsoft.com/office/word/2010/wordml" w:rsidP="44F3FDA7" w14:paraId="024BDA14" wp14:textId="1917F35A">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Price, D &amp; Taylor, K. (2015) </w:t>
      </w:r>
      <w:hyperlink r:id="Rd04e3b4f69ee4a60">
        <w:r w:rsidRPr="44F3FDA7" w:rsidR="44F3FDA7">
          <w:rPr>
            <w:rStyle w:val="Hyperlink"/>
            <w:rFonts w:ascii="Arial" w:hAnsi="Arial" w:eastAsia="Arial" w:cs="Arial"/>
            <w:b w:val="1"/>
            <w:bCs w:val="1"/>
            <w:i w:val="1"/>
            <w:iCs w:val="1"/>
            <w:strike w:val="0"/>
            <w:dstrike w:val="0"/>
            <w:noProof w:val="0"/>
            <w:sz w:val="25"/>
            <w:szCs w:val="25"/>
            <w:lang w:val="en-US"/>
          </w:rPr>
          <w:t>LGBT diversity and inclusion in early years education</w:t>
        </w:r>
      </w:hyperlink>
      <w:r w:rsidRPr="44F3FDA7" w:rsidR="44F3FDA7">
        <w:rPr>
          <w:rFonts w:ascii="Arial" w:hAnsi="Arial" w:eastAsia="Arial" w:cs="Arial"/>
          <w:b w:val="1"/>
          <w:bCs w:val="1"/>
          <w:i w:val="0"/>
          <w:iCs w:val="0"/>
          <w:strike w:val="0"/>
          <w:dstrike w:val="0"/>
          <w:noProof w:val="0"/>
          <w:color w:val="333333"/>
          <w:sz w:val="25"/>
          <w:szCs w:val="25"/>
          <w:u w:val="none"/>
          <w:lang w:val="en-US"/>
        </w:rPr>
        <w:t xml:space="preserve"> Oxfordshire: Routledge.</w:t>
      </w:r>
    </w:p>
    <w:p xmlns:wp14="http://schemas.microsoft.com/office/word/2010/wordml" w14:paraId="49AD8EC9" wp14:textId="3566A7A9">
      <w:r>
        <w:br/>
      </w:r>
      <w:r>
        <w:br/>
      </w:r>
    </w:p>
    <w:p xmlns:wp14="http://schemas.microsoft.com/office/word/2010/wordml" w:rsidP="44F3FDA7" w14:paraId="338E8D85" wp14:textId="1F567E8A">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Reed, M (2009).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Reflective Practice in the Early Years</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(1st Edition) CA. USA: Sage Publications Ltd.</w:t>
      </w:r>
    </w:p>
    <w:p xmlns:wp14="http://schemas.microsoft.com/office/word/2010/wordml" w14:paraId="70151168" wp14:textId="00924052">
      <w:r>
        <w:br/>
      </w:r>
    </w:p>
    <w:p xmlns:wp14="http://schemas.microsoft.com/office/word/2010/wordml" w:rsidP="44F3FDA7" w14:paraId="52EFE204" wp14:textId="5D49869C">
      <w:pPr>
        <w:jc w:val="both"/>
      </w:pPr>
      <w:r w:rsidRPr="44F3FDA7" w:rsidR="44F3FDA7">
        <w:rPr>
          <w:rFonts w:ascii="Arial" w:hAnsi="Arial" w:eastAsia="Arial" w:cs="Arial"/>
          <w:b w:val="1"/>
          <w:bCs w:val="1"/>
          <w:i w:val="0"/>
          <w:iCs w:val="0"/>
          <w:strike w:val="0"/>
          <w:dstrike w:val="0"/>
          <w:noProof w:val="0"/>
          <w:color w:val="333333"/>
          <w:sz w:val="25"/>
          <w:szCs w:val="25"/>
          <w:u w:val="none"/>
          <w:lang w:val="en-US"/>
        </w:rPr>
        <w:t xml:space="preserve">Rolfe, S.A. (2020). </w:t>
      </w:r>
      <w:r w:rsidRPr="44F3FDA7" w:rsidR="44F3FDA7">
        <w:rPr>
          <w:rFonts w:ascii="Arial" w:hAnsi="Arial" w:eastAsia="Arial" w:cs="Arial"/>
          <w:b w:val="1"/>
          <w:bCs w:val="1"/>
          <w:i w:val="1"/>
          <w:iCs w:val="1"/>
          <w:strike w:val="0"/>
          <w:dstrike w:val="0"/>
          <w:noProof w:val="0"/>
          <w:color w:val="333333"/>
          <w:sz w:val="25"/>
          <w:szCs w:val="25"/>
          <w:u w:val="none"/>
          <w:lang w:val="en-US"/>
        </w:rPr>
        <w:t>Rethinking Attachment for Early Childhood Practice: Promoting security, autonomy and resilience in young children</w:t>
      </w:r>
      <w:r w:rsidRPr="44F3FDA7" w:rsidR="44F3FDA7">
        <w:rPr>
          <w:rFonts w:ascii="Arial" w:hAnsi="Arial" w:eastAsia="Arial" w:cs="Arial"/>
          <w:b w:val="1"/>
          <w:bCs w:val="1"/>
          <w:i w:val="0"/>
          <w:iCs w:val="0"/>
          <w:strike w:val="0"/>
          <w:dstrike w:val="0"/>
          <w:noProof w:val="0"/>
          <w:color w:val="333333"/>
          <w:sz w:val="25"/>
          <w:szCs w:val="25"/>
          <w:u w:val="none"/>
          <w:lang w:val="en-US"/>
        </w:rPr>
        <w:t xml:space="preserve"> (1st ed.). London: Routledge. </w:t>
      </w:r>
      <w:hyperlink r:id="R866eaa0cb9ef40e3">
        <w:r w:rsidRPr="44F3FDA7" w:rsidR="44F3FDA7">
          <w:rPr>
            <w:rStyle w:val="Hyperlink"/>
            <w:rFonts w:ascii="Arial" w:hAnsi="Arial" w:eastAsia="Arial" w:cs="Arial"/>
            <w:b w:val="1"/>
            <w:bCs w:val="1"/>
            <w:i w:val="0"/>
            <w:iCs w:val="0"/>
            <w:strike w:val="0"/>
            <w:dstrike w:val="0"/>
            <w:noProof w:val="0"/>
            <w:sz w:val="25"/>
            <w:szCs w:val="25"/>
            <w:lang w:val="en-US"/>
          </w:rPr>
          <w:t>https://doi.org/10.4324/9781003117155</w:t>
        </w:r>
      </w:hyperlink>
    </w:p>
    <w:p xmlns:wp14="http://schemas.microsoft.com/office/word/2010/wordml" w14:paraId="1F90564F" wp14:textId="091032F5">
      <w:r>
        <w:br/>
      </w:r>
    </w:p>
    <w:p xmlns:wp14="http://schemas.microsoft.com/office/word/2010/wordml" w:rsidP="44F3FDA7" w14:paraId="6D483961" wp14:textId="6DF11F3F">
      <w:pPr>
        <w:jc w:val="both"/>
      </w:pPr>
      <w:r w:rsidRPr="44F3FDA7" w:rsidR="44F3FDA7">
        <w:rPr>
          <w:rFonts w:ascii="Arial" w:hAnsi="Arial" w:eastAsia="Arial" w:cs="Arial"/>
          <w:b w:val="1"/>
          <w:bCs w:val="1"/>
          <w:i w:val="0"/>
          <w:iCs w:val="0"/>
          <w:strike w:val="0"/>
          <w:dstrike w:val="0"/>
          <w:noProof w:val="0"/>
          <w:color w:val="333333"/>
          <w:sz w:val="25"/>
          <w:szCs w:val="25"/>
          <w:u w:val="none"/>
          <w:lang w:val="en-US"/>
        </w:rPr>
        <w:t xml:space="preserve">Ross, J A. (2006) </w:t>
      </w:r>
      <w:r w:rsidRPr="44F3FDA7" w:rsidR="44F3FDA7">
        <w:rPr>
          <w:rFonts w:ascii="Georgia" w:hAnsi="Georgia" w:eastAsia="Georgia" w:cs="Georgia"/>
          <w:b w:val="1"/>
          <w:bCs w:val="1"/>
          <w:i w:val="0"/>
          <w:iCs w:val="0"/>
          <w:strike w:val="0"/>
          <w:dstrike w:val="0"/>
          <w:noProof w:val="0"/>
          <w:color w:val="2E3743"/>
          <w:sz w:val="25"/>
          <w:szCs w:val="25"/>
          <w:u w:val="none"/>
          <w:lang w:val="en-US"/>
        </w:rPr>
        <w:t>The Reliability, Validity, and Utility of Self-Assessment.</w:t>
      </w:r>
      <w:r w:rsidRPr="44F3FDA7" w:rsidR="44F3FDA7">
        <w:rPr>
          <w:rFonts w:ascii="Roboto" w:hAnsi="Roboto" w:eastAsia="Roboto" w:cs="Roboto"/>
          <w:b w:val="1"/>
          <w:bCs w:val="1"/>
          <w:i w:val="0"/>
          <w:iCs w:val="0"/>
          <w:strike w:val="0"/>
          <w:dstrike w:val="0"/>
          <w:noProof w:val="0"/>
          <w:color w:val="536479"/>
          <w:sz w:val="25"/>
          <w:szCs w:val="25"/>
          <w:u w:val="none"/>
          <w:lang w:val="en-US"/>
        </w:rPr>
        <w:t xml:space="preserve"> ‘Practical Assessment, Research and Evaluation’. Volume 11. </w:t>
      </w:r>
      <w:hyperlink r:id="R1247a69673234033">
        <w:r w:rsidRPr="44F3FDA7" w:rsidR="44F3FDA7">
          <w:rPr>
            <w:rStyle w:val="Hyperlink"/>
            <w:rFonts w:ascii="Arial" w:hAnsi="Arial" w:eastAsia="Arial" w:cs="Arial"/>
            <w:b w:val="1"/>
            <w:bCs w:val="1"/>
            <w:i w:val="0"/>
            <w:iCs w:val="0"/>
            <w:strike w:val="0"/>
            <w:dstrike w:val="0"/>
            <w:noProof w:val="0"/>
            <w:sz w:val="25"/>
            <w:szCs w:val="25"/>
            <w:lang w:val="en-US"/>
          </w:rPr>
          <w:t>https://doi.org/10.7275/9wph-vv65</w:t>
        </w:r>
      </w:hyperlink>
    </w:p>
    <w:p xmlns:wp14="http://schemas.microsoft.com/office/word/2010/wordml" w14:paraId="52D01F39" wp14:textId="6CF2B59D">
      <w:r>
        <w:br/>
      </w:r>
    </w:p>
    <w:p xmlns:wp14="http://schemas.microsoft.com/office/word/2010/wordml" w:rsidP="44F3FDA7" w14:paraId="54D49220" wp14:textId="2AB8DC65">
      <w:pPr>
        <w:jc w:val="both"/>
      </w:pPr>
      <w:r w:rsidRPr="44F3FDA7" w:rsidR="44F3FDA7">
        <w:rPr>
          <w:rFonts w:ascii="Georgia" w:hAnsi="Georgia" w:eastAsia="Georgia" w:cs="Georgia"/>
          <w:b w:val="1"/>
          <w:bCs w:val="1"/>
          <w:i w:val="0"/>
          <w:iCs w:val="0"/>
          <w:strike w:val="0"/>
          <w:dstrike w:val="0"/>
          <w:noProof w:val="0"/>
          <w:color w:val="2E3743"/>
          <w:sz w:val="25"/>
          <w:szCs w:val="25"/>
          <w:u w:val="none"/>
          <w:lang w:val="en-US"/>
        </w:rPr>
        <w:t xml:space="preserve">Shabani, K. (2010) Vygotsky's Zone of Proximal Development: Instructional Implications and Teachers' Professional Development. “English Language Teaching” Volume 3. No. 4. </w:t>
      </w:r>
      <w:hyperlink r:id="R45a35f2553004b05">
        <w:r w:rsidRPr="44F3FDA7" w:rsidR="44F3FDA7">
          <w:rPr>
            <w:rStyle w:val="Hyperlink"/>
            <w:rFonts w:ascii="Georgia" w:hAnsi="Georgia" w:eastAsia="Georgia" w:cs="Georgia"/>
            <w:b w:val="1"/>
            <w:bCs w:val="1"/>
            <w:i w:val="0"/>
            <w:iCs w:val="0"/>
            <w:strike w:val="0"/>
            <w:dstrike w:val="0"/>
            <w:noProof w:val="0"/>
            <w:sz w:val="25"/>
            <w:szCs w:val="25"/>
            <w:lang w:val="en-US"/>
          </w:rPr>
          <w:t>https://files.eric.ed.gov/fulltext/EJ1081990.pdf</w:t>
        </w:r>
      </w:hyperlink>
    </w:p>
    <w:p xmlns:wp14="http://schemas.microsoft.com/office/word/2010/wordml" w14:paraId="2BF9EA83" wp14:textId="456F6A7D">
      <w:r>
        <w:br/>
      </w:r>
      <w:r>
        <w:br/>
      </w:r>
    </w:p>
    <w:p xmlns:wp14="http://schemas.microsoft.com/office/word/2010/wordml" w:rsidP="44F3FDA7" w14:paraId="2A1B3C4D" wp14:textId="0525174E">
      <w:pPr>
        <w:jc w:val="both"/>
      </w:pPr>
      <w:r w:rsidRPr="44F3FDA7" w:rsidR="44F3FDA7">
        <w:rPr>
          <w:rFonts w:ascii="Arial" w:hAnsi="Arial" w:eastAsia="Arial" w:cs="Arial"/>
          <w:b w:val="1"/>
          <w:bCs w:val="1"/>
          <w:i w:val="0"/>
          <w:iCs w:val="0"/>
          <w:strike w:val="0"/>
          <w:dstrike w:val="0"/>
          <w:noProof w:val="0"/>
          <w:color w:val="3A3A3A"/>
          <w:sz w:val="25"/>
          <w:szCs w:val="25"/>
          <w:u w:val="none"/>
          <w:lang w:val="en-US"/>
        </w:rPr>
        <w:t xml:space="preserve">Singh, S. (2017) ‘Parenting style in relation to children’s mental health and self-esteem: A review of literature’, </w:t>
      </w:r>
      <w:r w:rsidRPr="44F3FDA7" w:rsidR="44F3FDA7">
        <w:rPr>
          <w:rFonts w:ascii="Arial" w:hAnsi="Arial" w:eastAsia="Arial" w:cs="Arial"/>
          <w:b w:val="1"/>
          <w:bCs w:val="1"/>
          <w:i w:val="1"/>
          <w:iCs w:val="1"/>
          <w:strike w:val="0"/>
          <w:dstrike w:val="0"/>
          <w:noProof w:val="0"/>
          <w:color w:val="3A3A3A"/>
          <w:sz w:val="25"/>
          <w:szCs w:val="25"/>
          <w:u w:val="none"/>
          <w:lang w:val="en-US"/>
        </w:rPr>
        <w:t>Indian journal of health and wellbeing</w:t>
      </w:r>
      <w:r w:rsidRPr="44F3FDA7" w:rsidR="44F3FDA7">
        <w:rPr>
          <w:rFonts w:ascii="Arial" w:hAnsi="Arial" w:eastAsia="Arial" w:cs="Arial"/>
          <w:b w:val="1"/>
          <w:bCs w:val="1"/>
          <w:i w:val="0"/>
          <w:iCs w:val="0"/>
          <w:strike w:val="0"/>
          <w:dstrike w:val="0"/>
          <w:noProof w:val="0"/>
          <w:color w:val="3A3A3A"/>
          <w:sz w:val="25"/>
          <w:szCs w:val="25"/>
          <w:u w:val="none"/>
          <w:lang w:val="en-US"/>
        </w:rPr>
        <w:t>, 8(12), pp. 1522–1527.</w:t>
      </w:r>
    </w:p>
    <w:p xmlns:wp14="http://schemas.microsoft.com/office/word/2010/wordml" w:rsidP="44F3FDA7" w14:paraId="5038B520" wp14:textId="351282DB">
      <w:pPr>
        <w:jc w:val="both"/>
      </w:pPr>
      <w:r w:rsidRPr="44F3FDA7" w:rsidR="44F3FDA7">
        <w:rPr>
          <w:rFonts w:ascii="Arial" w:hAnsi="Arial" w:eastAsia="Arial" w:cs="Arial"/>
          <w:b w:val="1"/>
          <w:bCs w:val="1"/>
          <w:i w:val="0"/>
          <w:iCs w:val="0"/>
          <w:strike w:val="0"/>
          <w:dstrike w:val="0"/>
          <w:noProof w:val="0"/>
          <w:color w:val="3A3A3A"/>
          <w:sz w:val="25"/>
          <w:szCs w:val="25"/>
          <w:u w:val="none"/>
          <w:lang w:val="en-US"/>
        </w:rPr>
        <w:t xml:space="preserve">Siraj, I. </w:t>
      </w:r>
      <w:r w:rsidRPr="44F3FDA7" w:rsidR="44F3FDA7">
        <w:rPr>
          <w:rFonts w:ascii="Arial" w:hAnsi="Arial" w:eastAsia="Arial" w:cs="Arial"/>
          <w:b w:val="1"/>
          <w:bCs w:val="1"/>
          <w:i w:val="1"/>
          <w:iCs w:val="1"/>
          <w:strike w:val="0"/>
          <w:dstrike w:val="0"/>
          <w:noProof w:val="0"/>
          <w:color w:val="3A3A3A"/>
          <w:sz w:val="25"/>
          <w:szCs w:val="25"/>
          <w:u w:val="none"/>
          <w:lang w:val="en-US"/>
        </w:rPr>
        <w:t>et al.</w:t>
      </w:r>
      <w:r w:rsidRPr="44F3FDA7" w:rsidR="44F3FDA7">
        <w:rPr>
          <w:rFonts w:ascii="Arial" w:hAnsi="Arial" w:eastAsia="Arial" w:cs="Arial"/>
          <w:b w:val="1"/>
          <w:bCs w:val="1"/>
          <w:i w:val="0"/>
          <w:iCs w:val="0"/>
          <w:strike w:val="0"/>
          <w:dstrike w:val="0"/>
          <w:noProof w:val="0"/>
          <w:color w:val="3A3A3A"/>
          <w:sz w:val="25"/>
          <w:szCs w:val="25"/>
          <w:u w:val="none"/>
          <w:lang w:val="en-US"/>
        </w:rPr>
        <w:t xml:space="preserve"> (2019) ‘Comparing regulatory and non-regulatory indices of early childhood education and care (ECEC) quality in the Australian early childhood sector’, </w:t>
      </w:r>
      <w:r w:rsidRPr="44F3FDA7" w:rsidR="44F3FDA7">
        <w:rPr>
          <w:rFonts w:ascii="Arial" w:hAnsi="Arial" w:eastAsia="Arial" w:cs="Arial"/>
          <w:b w:val="1"/>
          <w:bCs w:val="1"/>
          <w:i w:val="1"/>
          <w:iCs w:val="1"/>
          <w:strike w:val="0"/>
          <w:dstrike w:val="0"/>
          <w:noProof w:val="0"/>
          <w:color w:val="3A3A3A"/>
          <w:sz w:val="25"/>
          <w:szCs w:val="25"/>
          <w:u w:val="none"/>
          <w:lang w:val="en-US"/>
        </w:rPr>
        <w:t>Australian educational researcher</w:t>
      </w:r>
      <w:r w:rsidRPr="44F3FDA7" w:rsidR="44F3FDA7">
        <w:rPr>
          <w:rFonts w:ascii="Arial" w:hAnsi="Arial" w:eastAsia="Arial" w:cs="Arial"/>
          <w:b w:val="1"/>
          <w:bCs w:val="1"/>
          <w:i w:val="0"/>
          <w:iCs w:val="0"/>
          <w:strike w:val="0"/>
          <w:dstrike w:val="0"/>
          <w:noProof w:val="0"/>
          <w:color w:val="3A3A3A"/>
          <w:sz w:val="25"/>
          <w:szCs w:val="25"/>
          <w:u w:val="none"/>
          <w:lang w:val="en-US"/>
        </w:rPr>
        <w:t>, 46(3), pp. 365–383. doi:10.1007/s13384-019-00325-3.</w:t>
      </w:r>
    </w:p>
    <w:p xmlns:wp14="http://schemas.microsoft.com/office/word/2010/wordml" w:rsidP="44F3FDA7" w14:paraId="0EA1C5AB" wp14:textId="50EE4DBA">
      <w:pPr>
        <w:jc w:val="both"/>
      </w:pPr>
      <w:r w:rsidRPr="44F3FDA7" w:rsidR="44F3FDA7">
        <w:rPr>
          <w:rFonts w:ascii="Arial" w:hAnsi="Arial" w:eastAsia="Arial" w:cs="Arial"/>
          <w:b w:val="1"/>
          <w:bCs w:val="1"/>
          <w:i w:val="0"/>
          <w:iCs w:val="0"/>
          <w:strike w:val="0"/>
          <w:dstrike w:val="0"/>
          <w:noProof w:val="0"/>
          <w:color w:val="303030"/>
          <w:sz w:val="25"/>
          <w:szCs w:val="25"/>
          <w:u w:val="none"/>
          <w:lang w:val="en-US"/>
        </w:rPr>
        <w:t xml:space="preserve">Siraj-Blatchford, I et al. “Research Effective Pedagogy in the Early Years” </w:t>
      </w:r>
      <w:r w:rsidRPr="44F3FDA7" w:rsidR="44F3FDA7">
        <w:rPr>
          <w:rFonts w:ascii="Arial" w:hAnsi="Arial" w:eastAsia="Arial" w:cs="Arial"/>
          <w:b w:val="1"/>
          <w:bCs w:val="1"/>
          <w:i w:val="1"/>
          <w:iCs w:val="1"/>
          <w:strike w:val="0"/>
          <w:dstrike w:val="0"/>
          <w:noProof w:val="0"/>
          <w:color w:val="303030"/>
          <w:sz w:val="25"/>
          <w:szCs w:val="25"/>
          <w:u w:val="none"/>
          <w:lang w:val="en-US"/>
        </w:rPr>
        <w:t>Institute of Education, University of London</w:t>
      </w:r>
      <w:r w:rsidRPr="44F3FDA7" w:rsidR="44F3FDA7">
        <w:rPr>
          <w:rFonts w:ascii="Arial" w:hAnsi="Arial" w:eastAsia="Arial" w:cs="Arial"/>
          <w:b w:val="1"/>
          <w:bCs w:val="1"/>
          <w:i w:val="0"/>
          <w:iCs w:val="0"/>
          <w:strike w:val="0"/>
          <w:dstrike w:val="0"/>
          <w:noProof w:val="0"/>
          <w:color w:val="303030"/>
          <w:sz w:val="25"/>
          <w:szCs w:val="25"/>
          <w:u w:val="none"/>
          <w:lang w:val="en-US"/>
        </w:rPr>
        <w:t xml:space="preserve">. No: 356 (2002) </w:t>
      </w:r>
      <w:hyperlink r:id="R87da314b778e4aa3">
        <w:r w:rsidRPr="44F3FDA7" w:rsidR="44F3FDA7">
          <w:rPr>
            <w:rStyle w:val="Hyperlink"/>
            <w:rFonts w:ascii="Arial" w:hAnsi="Arial" w:eastAsia="Arial" w:cs="Arial"/>
            <w:b w:val="1"/>
            <w:bCs w:val="1"/>
            <w:i w:val="0"/>
            <w:iCs w:val="0"/>
            <w:strike w:val="0"/>
            <w:dstrike w:val="0"/>
            <w:noProof w:val="0"/>
            <w:sz w:val="25"/>
            <w:szCs w:val="25"/>
            <w:lang w:val="en-US"/>
          </w:rPr>
          <w:t>https://dera.ioe.ac.uk/4650/1/RR356.pdf</w:t>
        </w:r>
      </w:hyperlink>
      <w:r w:rsidRPr="44F3FDA7" w:rsidR="44F3FDA7">
        <w:rPr>
          <w:rFonts w:ascii="Arial" w:hAnsi="Arial" w:eastAsia="Arial" w:cs="Arial"/>
          <w:b w:val="1"/>
          <w:bCs w:val="1"/>
          <w:i w:val="0"/>
          <w:iCs w:val="0"/>
          <w:strike w:val="0"/>
          <w:dstrike w:val="0"/>
          <w:noProof w:val="0"/>
          <w:color w:val="303030"/>
          <w:sz w:val="25"/>
          <w:szCs w:val="25"/>
          <w:u w:val="none"/>
          <w:lang w:val="en-US"/>
        </w:rPr>
        <w:t xml:space="preserve">. </w:t>
      </w:r>
    </w:p>
    <w:p xmlns:wp14="http://schemas.microsoft.com/office/word/2010/wordml" w14:paraId="673AFDAE" wp14:textId="0B2E3CC4">
      <w:r>
        <w:br/>
      </w:r>
    </w:p>
    <w:p xmlns:wp14="http://schemas.microsoft.com/office/word/2010/wordml" w:rsidP="44F3FDA7" w14:paraId="1E4E6A57" wp14:textId="79CE1DB2">
      <w:pPr>
        <w:jc w:val="both"/>
      </w:pPr>
      <w:r w:rsidRPr="44F3FDA7" w:rsidR="44F3FDA7">
        <w:rPr>
          <w:rFonts w:ascii="Arial" w:hAnsi="Arial" w:eastAsia="Arial" w:cs="Arial"/>
          <w:b w:val="1"/>
          <w:bCs w:val="1"/>
          <w:i w:val="0"/>
          <w:iCs w:val="0"/>
          <w:strike w:val="0"/>
          <w:dstrike w:val="0"/>
          <w:noProof w:val="0"/>
          <w:color w:val="303030"/>
          <w:sz w:val="25"/>
          <w:szCs w:val="25"/>
          <w:u w:val="none"/>
          <w:lang w:val="en-US"/>
        </w:rPr>
        <w:t xml:space="preserve">The Child Minding and Day Care (Wales) Regulations 2010 (WSI2010/2574 (W.214)). Available at: </w:t>
      </w:r>
      <w:hyperlink r:id="R5cd0ce1e5f184877">
        <w:r w:rsidRPr="44F3FDA7" w:rsidR="44F3FDA7">
          <w:rPr>
            <w:rStyle w:val="Hyperlink"/>
            <w:rFonts w:ascii="Arial" w:hAnsi="Arial" w:eastAsia="Arial" w:cs="Arial"/>
            <w:b w:val="1"/>
            <w:bCs w:val="1"/>
            <w:i w:val="0"/>
            <w:iCs w:val="0"/>
            <w:strike w:val="0"/>
            <w:dstrike w:val="0"/>
            <w:noProof w:val="0"/>
            <w:sz w:val="25"/>
            <w:szCs w:val="25"/>
            <w:lang w:val="en-US"/>
          </w:rPr>
          <w:t>https://www.legislation.gov.uk/wsi/2010/2574/contents/made</w:t>
        </w:r>
      </w:hyperlink>
      <w:r w:rsidRPr="44F3FDA7" w:rsidR="44F3FDA7">
        <w:rPr>
          <w:rFonts w:ascii="Arial" w:hAnsi="Arial" w:eastAsia="Arial" w:cs="Arial"/>
          <w:b w:val="1"/>
          <w:bCs w:val="1"/>
          <w:i w:val="0"/>
          <w:iCs w:val="0"/>
          <w:strike w:val="0"/>
          <w:dstrike w:val="0"/>
          <w:noProof w:val="0"/>
          <w:color w:val="303030"/>
          <w:sz w:val="25"/>
          <w:szCs w:val="25"/>
          <w:u w:val="none"/>
          <w:lang w:val="en-US"/>
        </w:rPr>
        <w:t xml:space="preserve"> Accessed: 13th March 2022)</w:t>
      </w:r>
    </w:p>
    <w:p xmlns:wp14="http://schemas.microsoft.com/office/word/2010/wordml" w14:paraId="098310B3" wp14:textId="14D13EB4">
      <w:r>
        <w:br/>
      </w:r>
      <w:r>
        <w:br/>
      </w:r>
    </w:p>
    <w:p xmlns:wp14="http://schemas.microsoft.com/office/word/2010/wordml" w:rsidP="44F3FDA7" w14:paraId="7F20EE1C" wp14:textId="03F80826">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Tovey, H (no date)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 xml:space="preserve">A Froebelian Approach. Outdoor Play and Exploration. </w:t>
      </w:r>
    </w:p>
    <w:p xmlns:wp14="http://schemas.microsoft.com/office/word/2010/wordml" w:rsidP="44F3FDA7" w14:paraId="765E21FA" wp14:textId="0F8D2BF0">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Available at: </w:t>
      </w:r>
      <w:hyperlink r:id="R8195023161f646e7">
        <w:r w:rsidRPr="44F3FDA7" w:rsidR="44F3FDA7">
          <w:rPr>
            <w:rStyle w:val="Hyperlink"/>
            <w:rFonts w:ascii="Arial" w:hAnsi="Arial" w:eastAsia="Arial" w:cs="Arial"/>
            <w:b w:val="1"/>
            <w:bCs w:val="1"/>
            <w:i w:val="0"/>
            <w:iCs w:val="0"/>
            <w:strike w:val="0"/>
            <w:dstrike w:val="0"/>
            <w:noProof w:val="0"/>
            <w:sz w:val="25"/>
            <w:szCs w:val="25"/>
            <w:lang w:val="en-US"/>
          </w:rPr>
          <w:t>https://www.froebel.org.uk/uploads/documents/FT-Outdoor-Play-Pamphlet.pdf</w:t>
        </w:r>
      </w:hyperlink>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(Accessed: 21st March 2022)</w:t>
      </w:r>
    </w:p>
    <w:p xmlns:wp14="http://schemas.microsoft.com/office/word/2010/wordml" w14:paraId="22205E0A" wp14:textId="2738AC53">
      <w:r>
        <w:br/>
      </w:r>
    </w:p>
    <w:p xmlns:wp14="http://schemas.microsoft.com/office/word/2010/wordml" w:rsidP="44F3FDA7" w14:paraId="42A98D5A" wp14:textId="1B67257A">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Trodd, L &amp; Dickerson, C (2019). ‘I enjoy learning’: developing early years practitioners’ identities as professionals and as professional learners.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Professional Development in Education</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45</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(3), 356-371. </w:t>
      </w:r>
      <w:hyperlink r:id="R8b93169a5b784dd0">
        <w:r w:rsidRPr="44F3FDA7" w:rsidR="44F3FDA7">
          <w:rPr>
            <w:rStyle w:val="Hyperlink"/>
            <w:rFonts w:ascii="Arial" w:hAnsi="Arial" w:eastAsia="Arial" w:cs="Arial"/>
            <w:b w:val="1"/>
            <w:bCs w:val="1"/>
            <w:i w:val="0"/>
            <w:iCs w:val="0"/>
            <w:strike w:val="0"/>
            <w:dstrike w:val="0"/>
            <w:noProof w:val="0"/>
            <w:sz w:val="25"/>
            <w:szCs w:val="25"/>
            <w:lang w:val="en-US"/>
          </w:rPr>
          <w:t>https://doi.org/10.1080/19415257.2018.1459788</w:t>
        </w:r>
      </w:hyperlink>
    </w:p>
    <w:p xmlns:wp14="http://schemas.microsoft.com/office/word/2010/wordml" w14:paraId="03B204F7" wp14:textId="79EEEC32">
      <w:r>
        <w:br/>
      </w:r>
    </w:p>
    <w:p xmlns:wp14="http://schemas.microsoft.com/office/word/2010/wordml" w:rsidP="44F3FDA7" w14:paraId="73A54437" wp14:textId="037FEC17">
      <w:pPr>
        <w:jc w:val="both"/>
      </w:pP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UNICEF, (2019) </w:t>
      </w:r>
      <w:r w:rsidRPr="44F3FDA7" w:rsidR="44F3FDA7">
        <w:rPr>
          <w:rFonts w:ascii="Arial" w:hAnsi="Arial" w:eastAsia="Arial" w:cs="Arial"/>
          <w:b w:val="1"/>
          <w:bCs w:val="1"/>
          <w:i w:val="1"/>
          <w:iCs w:val="1"/>
          <w:strike w:val="0"/>
          <w:dstrike w:val="0"/>
          <w:noProof w:val="0"/>
          <w:color w:val="000000" w:themeColor="text1" w:themeTint="FF" w:themeShade="FF"/>
          <w:sz w:val="25"/>
          <w:szCs w:val="25"/>
          <w:u w:val="none"/>
          <w:lang w:val="en-US"/>
        </w:rPr>
        <w:t>A summary on the UN Convention on the rights of the child.</w:t>
      </w:r>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Available at: </w:t>
      </w:r>
      <w:hyperlink r:id="R3de43744ee1345ea">
        <w:r w:rsidRPr="44F3FDA7" w:rsidR="44F3FDA7">
          <w:rPr>
            <w:rStyle w:val="Hyperlink"/>
            <w:rFonts w:ascii="Arial" w:hAnsi="Arial" w:eastAsia="Arial" w:cs="Arial"/>
            <w:b w:val="1"/>
            <w:bCs w:val="1"/>
            <w:i w:val="0"/>
            <w:iCs w:val="0"/>
            <w:strike w:val="0"/>
            <w:dstrike w:val="0"/>
            <w:noProof w:val="0"/>
            <w:sz w:val="25"/>
            <w:szCs w:val="25"/>
            <w:lang w:val="en-US"/>
          </w:rPr>
          <w:t>https://downloads.unicef.org.uk/wp-content/uploads/2019/10/UNCRC_summary-1_1.pdf?_adal_sd=www.unicef.org.uk.1644044640627&amp;_adal_ca=so%3DGoogle%26me%3Dorganic%26ca%3D(not%2520set)%26co%3D(not%2520set)%26ke%3D(not%2520set).1644044640627&amp;_adal_cw=1644044611886.1644044640627&amp;_adal_id=45c1f4c7-107c-4b7e-a3d1-d085a8c79303.1642348203.3.1644044612.1642348839.e186e816-0748-4f24-980c-5840e49cded0.1644044640627&amp;_ga=2.4074864.1538280026.1644044611-5369730.1642348201</w:t>
        </w:r>
      </w:hyperlink>
      <w:r w:rsidRPr="44F3FDA7" w:rsidR="44F3FDA7">
        <w:rPr>
          <w:rFonts w:ascii="Arial" w:hAnsi="Arial" w:eastAsia="Arial" w:cs="Arial"/>
          <w:b w:val="1"/>
          <w:bCs w:val="1"/>
          <w:i w:val="0"/>
          <w:iCs w:val="0"/>
          <w:strike w:val="0"/>
          <w:dstrike w:val="0"/>
          <w:noProof w:val="0"/>
          <w:color w:val="000000" w:themeColor="text1" w:themeTint="FF" w:themeShade="FF"/>
          <w:sz w:val="25"/>
          <w:szCs w:val="25"/>
          <w:u w:val="none"/>
          <w:lang w:val="en-US"/>
        </w:rPr>
        <w:t xml:space="preserve"> (Accessed: 5th February 2022)</w:t>
      </w:r>
    </w:p>
    <w:p xmlns:wp14="http://schemas.microsoft.com/office/word/2010/wordml" w14:paraId="2E74B1CF" wp14:textId="12893473">
      <w:r>
        <w:br/>
      </w:r>
    </w:p>
    <w:p xmlns:wp14="http://schemas.microsoft.com/office/word/2010/wordml" w:rsidP="44F3FDA7" w14:paraId="6BC12945" wp14:textId="3891AEC8">
      <w:pPr>
        <w:jc w:val="both"/>
      </w:pPr>
      <w:r w:rsidRPr="44F3FDA7" w:rsidR="44F3FDA7">
        <w:rPr>
          <w:rFonts w:ascii="Arial" w:hAnsi="Arial" w:eastAsia="Arial" w:cs="Arial"/>
          <w:b w:val="1"/>
          <w:bCs w:val="1"/>
          <w:i w:val="0"/>
          <w:iCs w:val="0"/>
          <w:strike w:val="0"/>
          <w:dstrike w:val="0"/>
          <w:noProof w:val="0"/>
          <w:color w:val="3A3A3A"/>
          <w:sz w:val="25"/>
          <w:szCs w:val="25"/>
          <w:u w:val="none"/>
          <w:lang w:val="en-US"/>
        </w:rPr>
        <w:t xml:space="preserve">Waters-Davies, J. and MacDonald, N. (no date) </w:t>
      </w:r>
      <w:r w:rsidRPr="44F3FDA7" w:rsidR="44F3FDA7">
        <w:rPr>
          <w:rFonts w:ascii="Arial" w:hAnsi="Arial" w:eastAsia="Arial" w:cs="Arial"/>
          <w:b w:val="1"/>
          <w:bCs w:val="1"/>
          <w:i w:val="1"/>
          <w:iCs w:val="1"/>
          <w:strike w:val="0"/>
          <w:dstrike w:val="0"/>
          <w:noProof w:val="0"/>
          <w:color w:val="3A3A3A"/>
          <w:sz w:val="25"/>
          <w:szCs w:val="25"/>
          <w:u w:val="none"/>
          <w:lang w:val="en-US"/>
        </w:rPr>
        <w:t>The capable child as a threshold concept for inclusive early childhood education and care</w:t>
      </w:r>
      <w:r w:rsidRPr="44F3FDA7" w:rsidR="44F3FDA7">
        <w:rPr>
          <w:rFonts w:ascii="Arial" w:hAnsi="Arial" w:eastAsia="Arial" w:cs="Arial"/>
          <w:b w:val="1"/>
          <w:bCs w:val="1"/>
          <w:i w:val="0"/>
          <w:iCs w:val="0"/>
          <w:strike w:val="0"/>
          <w:dstrike w:val="0"/>
          <w:noProof w:val="0"/>
          <w:color w:val="3A3A3A"/>
          <w:sz w:val="25"/>
          <w:szCs w:val="25"/>
          <w:u w:val="none"/>
          <w:lang w:val="en-US"/>
        </w:rPr>
        <w:t>. Taylor &amp; Francis.</w:t>
      </w:r>
      <w:r w:rsidRPr="44F3FDA7" w:rsidR="44F3FDA7">
        <w:rPr>
          <w:rFonts w:ascii="Arial" w:hAnsi="Arial" w:eastAsia="Arial" w:cs="Arial"/>
          <w:b w:val="1"/>
          <w:bCs w:val="1"/>
          <w:i w:val="0"/>
          <w:iCs w:val="0"/>
          <w:strike w:val="0"/>
          <w:dstrike w:val="0"/>
          <w:noProof w:val="0"/>
          <w:color w:val="333333"/>
          <w:sz w:val="25"/>
          <w:szCs w:val="25"/>
          <w:u w:val="none"/>
          <w:lang w:val="en-US"/>
        </w:rPr>
        <w:t xml:space="preserve"> </w:t>
      </w:r>
      <w:hyperlink r:id="R30727cabbd064c58">
        <w:r w:rsidRPr="44F3FDA7" w:rsidR="44F3FDA7">
          <w:rPr>
            <w:rStyle w:val="Hyperlink"/>
            <w:rFonts w:ascii="Arial" w:hAnsi="Arial" w:eastAsia="Arial" w:cs="Arial"/>
            <w:b w:val="1"/>
            <w:bCs w:val="1"/>
            <w:i w:val="0"/>
            <w:iCs w:val="0"/>
            <w:strike w:val="0"/>
            <w:dstrike w:val="0"/>
            <w:noProof w:val="0"/>
            <w:sz w:val="25"/>
            <w:szCs w:val="25"/>
            <w:lang w:val="en-US"/>
          </w:rPr>
          <w:t>https://repository.uwtsd.ac.uk/id/eprint/1828</w:t>
        </w:r>
      </w:hyperlink>
    </w:p>
    <w:p xmlns:wp14="http://schemas.microsoft.com/office/word/2010/wordml" w14:paraId="6C884954" wp14:textId="4201CCEB">
      <w:r>
        <w:br/>
      </w:r>
    </w:p>
    <w:p xmlns:wp14="http://schemas.microsoft.com/office/word/2010/wordml" w:rsidP="44F3FDA7" w14:paraId="69C8EBA1" wp14:textId="5982CAAD">
      <w:pPr>
        <w:jc w:val="both"/>
      </w:pPr>
      <w:r w:rsidRPr="44F3FDA7" w:rsidR="44F3FDA7">
        <w:rPr>
          <w:rFonts w:ascii="Arial" w:hAnsi="Arial" w:eastAsia="Arial" w:cs="Arial"/>
          <w:b w:val="0"/>
          <w:bCs w:val="0"/>
          <w:noProof w:val="0"/>
          <w:sz w:val="21"/>
          <w:szCs w:val="21"/>
          <w:lang w:val="en-US"/>
        </w:rPr>
        <w:t xml:space="preserve"> </w:t>
      </w:r>
    </w:p>
    <w:p xmlns:wp14="http://schemas.microsoft.com/office/word/2010/wordml" w:rsidP="44F3FDA7" w14:paraId="50DBA55A" wp14:textId="38C0519A">
      <w:pPr>
        <w:jc w:val="both"/>
      </w:pPr>
      <w:r w:rsidRPr="44F3FDA7" w:rsidR="44F3FDA7">
        <w:rPr>
          <w:rFonts w:ascii="Arial" w:hAnsi="Arial" w:eastAsia="Arial" w:cs="Arial"/>
          <w:b w:val="0"/>
          <w:bCs w:val="0"/>
          <w:noProof w:val="0"/>
          <w:sz w:val="21"/>
          <w:szCs w:val="21"/>
          <w:lang w:val="en-US"/>
        </w:rPr>
        <w:t xml:space="preserve"> </w:t>
      </w:r>
    </w:p>
    <w:p xmlns:wp14="http://schemas.microsoft.com/office/word/2010/wordml" w:rsidP="44F3FDA7" w14:paraId="53423C01" wp14:textId="77A97CBD">
      <w:pPr>
        <w:jc w:val="both"/>
      </w:pPr>
      <w:r w:rsidRPr="44F3FDA7" w:rsidR="44F3FDA7">
        <w:rPr>
          <w:rFonts w:ascii="Arial" w:hAnsi="Arial" w:eastAsia="Arial" w:cs="Arial"/>
          <w:b w:val="0"/>
          <w:bCs w:val="0"/>
          <w:noProof w:val="0"/>
          <w:sz w:val="21"/>
          <w:szCs w:val="21"/>
          <w:lang w:val="en-US"/>
        </w:rPr>
        <w:t xml:space="preserve"> </w:t>
      </w:r>
    </w:p>
    <w:p xmlns:wp14="http://schemas.microsoft.com/office/word/2010/wordml" w:rsidP="44F3FDA7" w14:paraId="73768DC6" wp14:textId="7994A064">
      <w:pPr>
        <w:jc w:val="both"/>
      </w:pPr>
      <w:r w:rsidRPr="44F3FDA7" w:rsidR="44F3FDA7">
        <w:rPr>
          <w:rFonts w:ascii="Arial" w:hAnsi="Arial" w:eastAsia="Arial" w:cs="Arial"/>
          <w:b w:val="0"/>
          <w:bCs w:val="0"/>
          <w:noProof w:val="0"/>
          <w:sz w:val="21"/>
          <w:szCs w:val="21"/>
          <w:lang w:val="en-US"/>
        </w:rPr>
        <w:t xml:space="preserve"> </w:t>
      </w:r>
    </w:p>
    <w:p xmlns:wp14="http://schemas.microsoft.com/office/word/2010/wordml" w:rsidP="44F3FDA7" w14:paraId="39138BE4" wp14:textId="2855C2D1">
      <w:pPr>
        <w:jc w:val="both"/>
      </w:pPr>
      <w:r w:rsidRPr="44F3FDA7" w:rsidR="44F3FDA7">
        <w:rPr>
          <w:rFonts w:ascii="Arial" w:hAnsi="Arial" w:eastAsia="Arial" w:cs="Arial"/>
          <w:b w:val="1"/>
          <w:bCs w:val="1"/>
          <w:i w:val="0"/>
          <w:iCs w:val="0"/>
          <w:strike w:val="0"/>
          <w:dstrike w:val="0"/>
          <w:noProof w:val="0"/>
          <w:color w:val="222222"/>
          <w:sz w:val="25"/>
          <w:szCs w:val="25"/>
          <w:u w:val="none"/>
          <w:lang w:val="en-US"/>
        </w:rPr>
        <w:t xml:space="preserve">World Health Organization, 2018. </w:t>
      </w:r>
      <w:r w:rsidRPr="44F3FDA7" w:rsidR="44F3FDA7">
        <w:rPr>
          <w:rFonts w:ascii="Arial" w:hAnsi="Arial" w:eastAsia="Arial" w:cs="Arial"/>
          <w:b w:val="1"/>
          <w:bCs w:val="1"/>
          <w:i w:val="1"/>
          <w:iCs w:val="1"/>
          <w:strike w:val="0"/>
          <w:dstrike w:val="0"/>
          <w:noProof w:val="0"/>
          <w:color w:val="222222"/>
          <w:sz w:val="25"/>
          <w:szCs w:val="25"/>
          <w:u w:val="none"/>
          <w:lang w:val="en-US"/>
        </w:rPr>
        <w:t xml:space="preserve">Nurturing care for early childhood development: a framework for helping children survive and thrive to transform health and human potential. </w:t>
      </w:r>
      <w:r w:rsidRPr="44F3FDA7" w:rsidR="44F3FDA7">
        <w:rPr>
          <w:rFonts w:ascii="Arial" w:hAnsi="Arial" w:eastAsia="Arial" w:cs="Arial"/>
          <w:b w:val="1"/>
          <w:bCs w:val="1"/>
          <w:i w:val="0"/>
          <w:iCs w:val="0"/>
          <w:strike w:val="0"/>
          <w:dstrike w:val="0"/>
          <w:noProof w:val="0"/>
          <w:color w:val="222222"/>
          <w:sz w:val="25"/>
          <w:szCs w:val="25"/>
          <w:u w:val="none"/>
          <w:lang w:val="en-US"/>
        </w:rPr>
        <w:t xml:space="preserve">Available at: </w:t>
      </w:r>
      <w:hyperlink r:id="Rd352a03088ff438b">
        <w:r w:rsidRPr="44F3FDA7" w:rsidR="44F3FDA7">
          <w:rPr>
            <w:rStyle w:val="Hyperlink"/>
            <w:rFonts w:ascii="Arial" w:hAnsi="Arial" w:eastAsia="Arial" w:cs="Arial"/>
            <w:b w:val="1"/>
            <w:bCs w:val="1"/>
            <w:i w:val="0"/>
            <w:iCs w:val="0"/>
            <w:strike w:val="0"/>
            <w:dstrike w:val="0"/>
            <w:noProof w:val="0"/>
            <w:sz w:val="25"/>
            <w:szCs w:val="25"/>
            <w:lang w:val="en-US"/>
          </w:rPr>
          <w:t>https://www.cabdirect.org/cabdirect/abstract/20183328345</w:t>
        </w:r>
      </w:hyperlink>
      <w:r w:rsidRPr="44F3FDA7" w:rsidR="44F3FDA7">
        <w:rPr>
          <w:rFonts w:ascii="Arial" w:hAnsi="Arial" w:eastAsia="Arial" w:cs="Arial"/>
          <w:b w:val="1"/>
          <w:bCs w:val="1"/>
          <w:i w:val="0"/>
          <w:iCs w:val="0"/>
          <w:strike w:val="0"/>
          <w:dstrike w:val="0"/>
          <w:noProof w:val="0"/>
          <w:color w:val="222222"/>
          <w:sz w:val="25"/>
          <w:szCs w:val="25"/>
          <w:u w:val="none"/>
          <w:lang w:val="en-US"/>
        </w:rPr>
        <w:t xml:space="preserve"> (‘accessed: 13th March 2022)</w:t>
      </w:r>
    </w:p>
    <w:p xmlns:wp14="http://schemas.microsoft.com/office/word/2010/wordml" w:rsidP="44F3FDA7" w14:paraId="01C98689" wp14:textId="5CE938DB">
      <w:pPr>
        <w:jc w:val="both"/>
      </w:pPr>
      <w:r w:rsidRPr="44F3FDA7" w:rsidR="44F3FDA7">
        <w:rPr>
          <w:rFonts w:ascii="Arial" w:hAnsi="Arial" w:eastAsia="Arial" w:cs="Arial"/>
          <w:b w:val="0"/>
          <w:bCs w:val="0"/>
          <w:noProof w:val="0"/>
          <w:sz w:val="21"/>
          <w:szCs w:val="21"/>
          <w:lang w:val="en-US"/>
        </w:rPr>
        <w:t xml:space="preserve"> </w:t>
      </w:r>
    </w:p>
    <w:p xmlns:wp14="http://schemas.microsoft.com/office/word/2010/wordml" w:rsidP="44F3FDA7" w14:paraId="6AD1EF97" wp14:textId="403FEA47">
      <w:pPr>
        <w:jc w:val="both"/>
      </w:pPr>
      <w:hyperlink r:id="R6fc79554a5c74c9a">
        <w:r w:rsidRPr="44F3FDA7" w:rsidR="44F3FDA7">
          <w:rPr>
            <w:rStyle w:val="Hyperlink"/>
            <w:rFonts w:ascii="Arial" w:hAnsi="Arial" w:eastAsia="Arial" w:cs="Arial"/>
            <w:b w:val="1"/>
            <w:bCs w:val="1"/>
            <w:i w:val="0"/>
            <w:iCs w:val="0"/>
            <w:strike w:val="0"/>
            <w:dstrike w:val="0"/>
            <w:noProof w:val="0"/>
            <w:sz w:val="25"/>
            <w:szCs w:val="25"/>
            <w:lang w:val="en-US"/>
          </w:rPr>
          <w:t>Zaretsky V.K.</w:t>
        </w:r>
      </w:hyperlink>
      <w:r w:rsidRPr="44F3FDA7" w:rsidR="44F3FDA7">
        <w:rPr>
          <w:rFonts w:ascii="Arial" w:hAnsi="Arial" w:eastAsia="Arial" w:cs="Arial"/>
          <w:b w:val="1"/>
          <w:bCs w:val="1"/>
          <w:i w:val="0"/>
          <w:iCs w:val="0"/>
          <w:strike w:val="0"/>
          <w:dstrike w:val="0"/>
          <w:noProof w:val="0"/>
          <w:color w:val="505050"/>
          <w:sz w:val="25"/>
          <w:szCs w:val="25"/>
          <w:u w:val="none"/>
          <w:lang w:val="en-US"/>
        </w:rPr>
        <w:t xml:space="preserve"> (2020) Relationship between Education, Development &amp; Health from Cultural-Historical Perspective. “Cultural-Historical Psychology” </w:t>
      </w:r>
      <w:hyperlink r:id="R2c70c38dd4cb4007">
        <w:r w:rsidRPr="44F3FDA7" w:rsidR="44F3FDA7">
          <w:rPr>
            <w:rStyle w:val="Hyperlink"/>
            <w:rFonts w:ascii="Arial" w:hAnsi="Arial" w:eastAsia="Arial" w:cs="Arial"/>
            <w:b w:val="1"/>
            <w:bCs w:val="1"/>
            <w:i w:val="0"/>
            <w:iCs w:val="0"/>
            <w:strike w:val="0"/>
            <w:dstrike w:val="0"/>
            <w:noProof w:val="0"/>
            <w:sz w:val="25"/>
            <w:szCs w:val="25"/>
            <w:lang w:val="en-US"/>
          </w:rPr>
          <w:t>Vol. 16, no. 2,</w:t>
        </w:r>
      </w:hyperlink>
      <w:r w:rsidRPr="44F3FDA7" w:rsidR="44F3FDA7">
        <w:rPr>
          <w:rFonts w:ascii="Arial" w:hAnsi="Arial" w:eastAsia="Arial" w:cs="Arial"/>
          <w:b w:val="1"/>
          <w:bCs w:val="1"/>
          <w:i w:val="0"/>
          <w:iCs w:val="0"/>
          <w:strike w:val="0"/>
          <w:dstrike w:val="0"/>
          <w:noProof w:val="0"/>
          <w:color w:val="505050"/>
          <w:sz w:val="25"/>
          <w:szCs w:val="25"/>
          <w:u w:val="none"/>
          <w:lang w:val="en-US"/>
        </w:rPr>
        <w:t xml:space="preserve"> 89–106</w:t>
      </w:r>
      <w:r w:rsidRPr="44F3FDA7" w:rsidR="44F3FDA7">
        <w:rPr>
          <w:rFonts w:ascii="Arial" w:hAnsi="Arial" w:eastAsia="Arial" w:cs="Arial"/>
          <w:b w:val="1"/>
          <w:bCs w:val="1"/>
          <w:i w:val="0"/>
          <w:iCs w:val="0"/>
          <w:strike w:val="0"/>
          <w:dstrike w:val="0"/>
          <w:noProof w:val="0"/>
          <w:color w:val="808080" w:themeColor="background1" w:themeTint="FF" w:themeShade="80"/>
          <w:sz w:val="25"/>
          <w:szCs w:val="25"/>
          <w:u w:val="none"/>
          <w:lang w:val="en-US"/>
        </w:rPr>
        <w:t xml:space="preserve"> </w:t>
      </w:r>
      <w:hyperlink r:id="R0098ef7985524fd1">
        <w:r w:rsidRPr="44F3FDA7" w:rsidR="44F3FDA7">
          <w:rPr>
            <w:rStyle w:val="Hyperlink"/>
            <w:rFonts w:ascii="Arial" w:hAnsi="Arial" w:eastAsia="Arial" w:cs="Arial"/>
            <w:b w:val="1"/>
            <w:bCs w:val="1"/>
            <w:i w:val="0"/>
            <w:iCs w:val="0"/>
            <w:strike w:val="0"/>
            <w:dstrike w:val="0"/>
            <w:noProof w:val="0"/>
            <w:sz w:val="25"/>
            <w:szCs w:val="25"/>
            <w:lang w:val="en-US"/>
          </w:rPr>
          <w:t>doi:10.17759/chp.2020160211</w:t>
        </w:r>
      </w:hyperlink>
    </w:p>
    <w:p xmlns:wp14="http://schemas.microsoft.com/office/word/2010/wordml" w:rsidP="44F3FDA7" w14:paraId="6601F2BD" wp14:textId="5BD59F2C">
      <w:pPr>
        <w:jc w:val="both"/>
      </w:pPr>
      <w:r w:rsidRPr="44F3FDA7" w:rsidR="44F3FDA7">
        <w:rPr>
          <w:rFonts w:ascii="Arial" w:hAnsi="Arial" w:eastAsia="Arial" w:cs="Arial"/>
          <w:b w:val="0"/>
          <w:bCs w:val="0"/>
          <w:noProof w:val="0"/>
          <w:sz w:val="21"/>
          <w:szCs w:val="21"/>
          <w:lang w:val="en-US"/>
        </w:rPr>
        <w:t xml:space="preserve"> </w:t>
      </w:r>
    </w:p>
    <w:p xmlns:wp14="http://schemas.microsoft.com/office/word/2010/wordml" w:rsidP="44F3FDA7" w14:paraId="2C078E63" wp14:textId="0CB95F32">
      <w:pPr>
        <w:pStyle w:val="Normal"/>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47153A"/>
    <w:rsid w:val="3EBB3AC2"/>
    <w:rsid w:val="44F3FDA7"/>
    <w:rsid w:val="5F47153A"/>
    <w:rsid w:val="69146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467F3"/>
  <w15:chartTrackingRefBased/>
  <w15:docId w15:val="{589CC999-0664-477A-99E0-5A7061D300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ciencedirect.com/journal/early-childhood-research-quarterly" TargetMode="External" Id="R10e818813bd84f9b" /><Relationship Type="http://schemas.openxmlformats.org/officeDocument/2006/relationships/hyperlink" Target="https://www.sciencedirect.com/journal/early-childhood-research-quarterly/vol/27/issue/2" TargetMode="External" Id="R47752c3f86944050" /><Relationship Type="http://schemas.openxmlformats.org/officeDocument/2006/relationships/hyperlink" Target="https://doi.org/10.1016/j.ecresq.2011.08.003" TargetMode="External" Id="R6e577662a8c34e51" /><Relationship Type="http://schemas.openxmlformats.org/officeDocument/2006/relationships/hyperlink" Target="https://www.legislation.gov.uk/mwa/2010/1/contents" TargetMode="External" Id="R3a18c9a683744bc9" /><Relationship Type="http://schemas.openxmlformats.org/officeDocument/2006/relationships/hyperlink" Target="https://assets.publishing.service.gov.uk/government/uploads/system/uploads/attachment_data/file/586242/SEED__Good_Practice_in_Early_Education_-_RR553.pdf" TargetMode="External" Id="Rc3d7ab2e3bc841ba" /><Relationship Type="http://schemas.openxmlformats.org/officeDocument/2006/relationships/hyperlink" Target="https://www.oecd.org/officialdocuments/publicdisplaydocumentpdf/?cote=EDU/WKP%282019%2919&amp;docLanguage=En" TargetMode="External" Id="Raf2c9fc24d8e449e" /><Relationship Type="http://schemas.openxmlformats.org/officeDocument/2006/relationships/hyperlink" Target="https://www.earlyyearscareers.com/eyc/latest-news/receiving-feedback-parents/" TargetMode="External" Id="R6dbca906ef834666" /><Relationship Type="http://schemas.openxmlformats.org/officeDocument/2006/relationships/hyperlink" Target="https://www.earlyyears.wales/en/quality-for-all" TargetMode="External" Id="R11ece681b1814f70" /><Relationship Type="http://schemas.openxmlformats.org/officeDocument/2006/relationships/hyperlink" Target="https://doi.org/10.1080/10409289.2015.1039434" TargetMode="External" Id="Rf9a3fce72c0f4502" /><Relationship Type="http://schemas.openxmlformats.org/officeDocument/2006/relationships/hyperlink" Target="https://www.sciencedirect.com/science/article/abs/pii/S0885200621000090" TargetMode="External" Id="R9bf569c358a04a9a" /><Relationship Type="http://schemas.openxmlformats.org/officeDocument/2006/relationships/hyperlink" Target="https://doi.org/10.1016/j.ecresq.2021.02.002" TargetMode="External" Id="R8d8abed2e2f14a28" /><Relationship Type="http://schemas.openxmlformats.org/officeDocument/2006/relationships/hyperlink" Target="http://ecec-care.org/resources/publications/" TargetMode="External" Id="Re50c44ecf68349d8" /><Relationship Type="http://schemas.openxmlformats.org/officeDocument/2006/relationships/hyperlink" Target="https://doi.org/10.1177/1463949115627895" TargetMode="External" Id="R48f5f72061af4dee" /><Relationship Type="http://schemas.openxmlformats.org/officeDocument/2006/relationships/hyperlink" Target="https://www2.oxfordshire.gov.uk/cms/sites/default/files/folders/documents/childreneducationandfamilies/informationforchildcareproviders/Toolkit/My_Space_Creating_enabling_environments_for_young_children.pdf" TargetMode="External" Id="Rdc50711b31814b91" /><Relationship Type="http://schemas.openxmlformats.org/officeDocument/2006/relationships/hyperlink" Target="https://www.pacey.org.uk/mypacey/resources/practice/regulation-and-legislation/ofsted-and-ciw/quality-of-care-report-wales/" TargetMode="External" Id="Ra3326f4c812a4ab5" /><Relationship Type="http://schemas.openxmlformats.org/officeDocument/2006/relationships/hyperlink" Target="https://www.pacey.org.uk/partners/pacey-in-wales/local-authorities-in-wales/quality-start-scheme/" TargetMode="External" Id="R6ebe3ecf362e44d5" /><Relationship Type="http://schemas.openxmlformats.org/officeDocument/2006/relationships/hyperlink" Target="https://www.taylorfrancis.com/books/mono/10.4324/9781315747736/lgbt-diversity-inclusion-early-years-education-deborah-price-kath-tayler" TargetMode="External" Id="Rd04e3b4f69ee4a60" /><Relationship Type="http://schemas.openxmlformats.org/officeDocument/2006/relationships/hyperlink" Target="https://doi.org/10.4324/9781003117155" TargetMode="External" Id="R866eaa0cb9ef40e3" /><Relationship Type="http://schemas.openxmlformats.org/officeDocument/2006/relationships/hyperlink" Target="https://doi.org/10.7275/9wph-vv65" TargetMode="External" Id="R1247a69673234033" /><Relationship Type="http://schemas.openxmlformats.org/officeDocument/2006/relationships/hyperlink" Target="https://files.eric.ed.gov/fulltext/EJ1081990.pdf" TargetMode="External" Id="R45a35f2553004b05" /><Relationship Type="http://schemas.openxmlformats.org/officeDocument/2006/relationships/hyperlink" Target="https://dera.ioe.ac.uk/4650/1/RR356.pdf" TargetMode="External" Id="R87da314b778e4aa3" /><Relationship Type="http://schemas.openxmlformats.org/officeDocument/2006/relationships/hyperlink" Target="https://www.legislation.gov.uk/wsi/2010/2574/contents/made" TargetMode="External" Id="R5cd0ce1e5f184877" /><Relationship Type="http://schemas.openxmlformats.org/officeDocument/2006/relationships/hyperlink" Target="https://www.froebel.org.uk/uploads/documents/FT-Outdoor-Play-Pamphlet.pdf" TargetMode="External" Id="R8195023161f646e7" /><Relationship Type="http://schemas.openxmlformats.org/officeDocument/2006/relationships/hyperlink" Target="https://doi.org/10.1080/19415257.2018.1459788" TargetMode="External" Id="R8b93169a5b784dd0" /><Relationship Type="http://schemas.openxmlformats.org/officeDocument/2006/relationships/hyperlink" Target="https://downloads.unicef.org.uk/wp-content/uploads/2019/10/UNCRC_summary-1_1.pdf?_adal_sd=www.unicef.org.uk.1644044640627&amp;_adal_ca=so%3DGoogle%26me%3Dorganic%26ca%3D(not%2520set)%26co%3D(not%2520set)%26ke%3D(not%2520set).1644044640627&amp;_adal_cw=1644044611886.1644044640627&amp;_adal_id=45c1f4c7-107c-4b7e-a3d1-d085a8c79303.1642348203.3.1644044612.1642348839.e186e816-0748-4f24-980c-5840e49cded0.1644044640627&amp;_ga=2.4074864.1538280026.1644044611-5369730.1642348201" TargetMode="External" Id="R3de43744ee1345ea" /><Relationship Type="http://schemas.openxmlformats.org/officeDocument/2006/relationships/hyperlink" Target="https://repository.uwtsd.ac.uk/id/eprint/1828" TargetMode="External" Id="R30727cabbd064c58" /><Relationship Type="http://schemas.openxmlformats.org/officeDocument/2006/relationships/hyperlink" Target="https://www.cabdirect.org/cabdirect/abstract/20183328345" TargetMode="External" Id="Rd352a03088ff438b" /><Relationship Type="http://schemas.openxmlformats.org/officeDocument/2006/relationships/hyperlink" Target="https://psyjournals.ru/en/authors/a14841.shtml" TargetMode="External" Id="R6fc79554a5c74c9a" /><Relationship Type="http://schemas.openxmlformats.org/officeDocument/2006/relationships/hyperlink" Target="https://psyjournals.ru/en/kip/2020/n2/index.shtml" TargetMode="External" Id="R2c70c38dd4cb4007" /><Relationship Type="http://schemas.openxmlformats.org/officeDocument/2006/relationships/hyperlink" Target="https://doi.org/10.17759/chp.2020160211" TargetMode="External" Id="R0098ef7985524f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2022-03-31T12:35:09.2010739Z</dcterms:created>
  <dcterms:modified xsi:type="dcterms:W3CDTF">2022-03-31T12:41:34.1246108Z</dcterms:modified>
  <dc:creator>Mari Lee (2011956)</dc:creator>
  <lastModifiedBy>Mari Lee (2011956)</lastModifiedBy>
</coreProperties>
</file>