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27DC48D" w14:textId="77777777" w:rsidR="00394071" w:rsidRDefault="00394071">
      <w:pPr>
        <w:rPr>
          <w:szCs w:val="24"/>
        </w:rPr>
      </w:pPr>
    </w:p>
    <w:p w14:paraId="2DE8EBA3" w14:textId="435A6EBD" w:rsidR="00DC121B" w:rsidRPr="00BC6D30" w:rsidRDefault="00DC121B" w:rsidP="00DC121B">
      <w:pPr>
        <w:jc w:val="center"/>
        <w:rPr>
          <w:b/>
          <w:bCs/>
          <w:sz w:val="32"/>
          <w:szCs w:val="28"/>
        </w:rPr>
      </w:pPr>
      <w:r>
        <w:rPr>
          <w:b/>
          <w:bCs/>
          <w:sz w:val="32"/>
          <w:szCs w:val="28"/>
        </w:rPr>
        <w:t>Sustainable Hospitality &amp; Tourism Management</w:t>
      </w:r>
    </w:p>
    <w:p w14:paraId="5BA4A30E" w14:textId="4FD777B0" w:rsidR="00DC121B" w:rsidRPr="00BC6D30" w:rsidRDefault="00DC121B" w:rsidP="00DC121B">
      <w:pPr>
        <w:jc w:val="center"/>
        <w:rPr>
          <w:b/>
          <w:bCs/>
          <w:sz w:val="32"/>
          <w:szCs w:val="28"/>
        </w:rPr>
      </w:pPr>
      <w:r w:rsidRPr="00BC6D30">
        <w:rPr>
          <w:b/>
          <w:bCs/>
          <w:sz w:val="32"/>
          <w:szCs w:val="28"/>
        </w:rPr>
        <w:t>BMIH</w:t>
      </w:r>
      <w:r>
        <w:rPr>
          <w:b/>
          <w:bCs/>
          <w:sz w:val="32"/>
          <w:szCs w:val="28"/>
        </w:rPr>
        <w:t>5006</w:t>
      </w:r>
    </w:p>
    <w:p w14:paraId="56103DEE" w14:textId="05CF246D" w:rsidR="00DC121B" w:rsidRDefault="00DC121B" w:rsidP="00DC121B">
      <w:pPr>
        <w:jc w:val="center"/>
        <w:rPr>
          <w:b/>
          <w:bCs/>
          <w:sz w:val="32"/>
          <w:szCs w:val="28"/>
        </w:rPr>
      </w:pPr>
      <w:r>
        <w:rPr>
          <w:b/>
          <w:bCs/>
          <w:sz w:val="32"/>
          <w:szCs w:val="28"/>
        </w:rPr>
        <w:t>Assignment 1</w:t>
      </w:r>
    </w:p>
    <w:p w14:paraId="4824B83D" w14:textId="77777777" w:rsidR="00DC121B" w:rsidRDefault="00DC121B" w:rsidP="00DC121B">
      <w:pPr>
        <w:jc w:val="center"/>
        <w:rPr>
          <w:b/>
          <w:bCs/>
          <w:sz w:val="32"/>
          <w:szCs w:val="28"/>
        </w:rPr>
      </w:pPr>
      <w:r>
        <w:rPr>
          <w:b/>
          <w:bCs/>
          <w:sz w:val="32"/>
          <w:szCs w:val="28"/>
        </w:rPr>
        <w:t>Tutor</w:t>
      </w:r>
    </w:p>
    <w:p w14:paraId="402DDB5E" w14:textId="4C4E8327" w:rsidR="00DC121B" w:rsidRDefault="00DC121B" w:rsidP="00DC121B">
      <w:pPr>
        <w:jc w:val="center"/>
      </w:pPr>
      <w:r>
        <w:rPr>
          <w:b/>
          <w:bCs/>
          <w:sz w:val="32"/>
          <w:szCs w:val="28"/>
        </w:rPr>
        <w:t>Ruth Taylor</w:t>
      </w:r>
    </w:p>
    <w:p w14:paraId="3A4583B5" w14:textId="77777777" w:rsidR="00DC121B" w:rsidRDefault="00DC121B" w:rsidP="00DC121B"/>
    <w:p w14:paraId="17DA9970" w14:textId="77777777" w:rsidR="00DC121B" w:rsidRDefault="00DC121B" w:rsidP="00DC121B"/>
    <w:p w14:paraId="383D19A2" w14:textId="77777777" w:rsidR="00DC121B" w:rsidRDefault="00DC121B" w:rsidP="00DC121B"/>
    <w:p w14:paraId="744144BA" w14:textId="77777777" w:rsidR="00DC121B" w:rsidRDefault="00DC121B" w:rsidP="00DC121B"/>
    <w:p w14:paraId="3A2020D1" w14:textId="77777777" w:rsidR="00DC121B" w:rsidRDefault="00DC121B" w:rsidP="00DC121B"/>
    <w:p w14:paraId="417FA640" w14:textId="77777777" w:rsidR="00DC121B" w:rsidRDefault="00DC121B" w:rsidP="00DC121B"/>
    <w:p w14:paraId="1B0D1B52" w14:textId="77777777" w:rsidR="00DC121B" w:rsidRDefault="00DC121B" w:rsidP="00DC121B"/>
    <w:p w14:paraId="60DDC67E" w14:textId="77777777" w:rsidR="00DC121B" w:rsidRDefault="00DC121B" w:rsidP="00DC121B"/>
    <w:p w14:paraId="3714C855" w14:textId="77777777" w:rsidR="00DC121B" w:rsidRDefault="00DC121B" w:rsidP="00DC121B"/>
    <w:p w14:paraId="335648AF" w14:textId="77777777" w:rsidR="00DC121B" w:rsidRDefault="00DC121B" w:rsidP="00DC121B">
      <w:r>
        <w:t>Student Name: Elena Roxana Chelaru</w:t>
      </w:r>
    </w:p>
    <w:p w14:paraId="102F3952" w14:textId="77777777" w:rsidR="00DC121B" w:rsidRDefault="00DC121B" w:rsidP="00DC121B">
      <w:r>
        <w:t>Student Id: 2118844</w:t>
      </w:r>
    </w:p>
    <w:p w14:paraId="7EB6A6CC" w14:textId="77777777" w:rsidR="00DC121B" w:rsidRDefault="00DC121B" w:rsidP="00DC121B"/>
    <w:p w14:paraId="4029E02A" w14:textId="77777777" w:rsidR="00DC121B" w:rsidRDefault="00DC121B" w:rsidP="00DC121B"/>
    <w:p w14:paraId="4A9414A5" w14:textId="77777777" w:rsidR="00DC121B" w:rsidRDefault="00DC121B">
      <w:pPr>
        <w:jc w:val="center"/>
        <w:rPr>
          <w:b/>
          <w:sz w:val="28"/>
          <w:szCs w:val="28"/>
        </w:rPr>
      </w:pPr>
    </w:p>
    <w:p w14:paraId="1A61641E" w14:textId="78D896F0" w:rsidR="00394071" w:rsidRDefault="00394071">
      <w:pPr>
        <w:rPr>
          <w:szCs w:val="24"/>
        </w:rPr>
      </w:pPr>
    </w:p>
    <w:p w14:paraId="254A89AC" w14:textId="77777777" w:rsidR="00394071" w:rsidRDefault="00F77F75">
      <w:pPr>
        <w:rPr>
          <w:szCs w:val="24"/>
        </w:rPr>
      </w:pPr>
      <w:r>
        <w:br w:type="page"/>
      </w:r>
    </w:p>
    <w:p w14:paraId="37905CDB" w14:textId="77777777" w:rsidR="00394071" w:rsidRDefault="00F77F75">
      <w:pPr>
        <w:jc w:val="center"/>
        <w:rPr>
          <w:b/>
          <w:sz w:val="30"/>
          <w:szCs w:val="30"/>
        </w:rPr>
      </w:pPr>
      <w:r>
        <w:rPr>
          <w:b/>
          <w:sz w:val="30"/>
          <w:szCs w:val="30"/>
        </w:rPr>
        <w:lastRenderedPageBreak/>
        <w:t>Hilton’s Sustainable Hospitality and Tourism Management</w:t>
      </w:r>
    </w:p>
    <w:p w14:paraId="38472170" w14:textId="77777777" w:rsidR="00394071" w:rsidRDefault="00F77F75">
      <w:pPr>
        <w:rPr>
          <w:szCs w:val="24"/>
        </w:rPr>
      </w:pPr>
      <w:r>
        <w:rPr>
          <w:szCs w:val="24"/>
        </w:rPr>
        <w:t>Environmental consciousness significantly influences consumer preferences, elevating Corporate Social Responsibility as a pivotal factor in shaping a corporation's reputation, competitive standing, and ethical considerations. This is especially pronounced in the hospitality sector, known for its high consumption of resources, highlighting the critical necessity for sustainable approaches in business operations (Wickham, Donnelly, and French, 2021). This analytical essay delves into Hilton's CSR strategies, exploring various elements that compel the hotel industry giant towards a sustainable path. These elements include mounting governmental regulatory pressures, intensified competition within the market, and innovative economic sustainability models, such as the circular economy concept. The discussion critically appraises how Hilton integrates sustainability into its daily operations, strategic planning, and corporate culture through the framework of the Triple Bottom Line and the foundational pillars of sustainability (Management Association, 2018). By adopting this approach, the essay seeks to dissect the company's public commitment to environmental conservation, responsible social practices, and the challenges and triumphs encountered in the intertwining journey of maintaining profitability while adhering to ethical and sustainable business practices. The exploration serves not just as a review of Hilton's current sustainability endeavours but also as a reflection on the transformative influence of environmental awareness in modern corporate strategy.</w:t>
      </w:r>
    </w:p>
    <w:p w14:paraId="1BDAA466" w14:textId="77777777" w:rsidR="00394071" w:rsidRDefault="00394071">
      <w:pPr>
        <w:rPr>
          <w:szCs w:val="24"/>
        </w:rPr>
      </w:pPr>
    </w:p>
    <w:p w14:paraId="2DE1A74F" w14:textId="77777777" w:rsidR="00394071" w:rsidRDefault="00F77F75">
      <w:pPr>
        <w:rPr>
          <w:szCs w:val="24"/>
        </w:rPr>
      </w:pPr>
      <w:r>
        <w:rPr>
          <w:szCs w:val="24"/>
        </w:rPr>
        <w:t>Hilton Worldwide, recognised as a premier global hospitality company, has aggressively embarked on a journey to transform its Corporate Social Responsibility (CSR) stance, a move highlighted by the launch of its "Travel with Purpose" initiative. This campaign is Hilton's response to the urgent and increasing global concerns regarding environmental degradation, a problem significantly contributed to by resource-intensive industries like hospitality. "Travel with Purpose" goes beyond a mere green agenda, encapsulating a broader commitment that extends to socio-cultural responsibilities.</w:t>
      </w:r>
    </w:p>
    <w:p w14:paraId="44DC5BC3" w14:textId="77777777" w:rsidR="00394071" w:rsidRDefault="00F77F75">
      <w:pPr>
        <w:rPr>
          <w:szCs w:val="24"/>
        </w:rPr>
      </w:pPr>
      <w:r>
        <w:rPr>
          <w:szCs w:val="24"/>
        </w:rPr>
        <w:t xml:space="preserve">The program sets ambitious and measurable targets reflecting Hilton's dedication to leading the industry in sustainable practices (IGI Global, 2019). These goals are not </w:t>
      </w:r>
      <w:r>
        <w:rPr>
          <w:szCs w:val="24"/>
        </w:rPr>
        <w:lastRenderedPageBreak/>
        <w:t>limited to minimizing the environmental impact through carbon emission reductions, effective waste management, and water conservation strategies. They also include a strong emphasis on enriching the communities they operate in by harnessing local collaborations, enhancing cultural understanding, and supporting community projects, thereby adhering to a holistic view of the global sustainable development goals. By realigning its business model to these principles, Hilton is not just advocating for responsible travel. It is redefining the experience it offers, ensuring guests are participants in a journey that respects, and even benefits, the planet and broader society.</w:t>
      </w:r>
    </w:p>
    <w:p w14:paraId="54B92E6A" w14:textId="77777777" w:rsidR="00394071" w:rsidRDefault="00F77F75">
      <w:pPr>
        <w:rPr>
          <w:szCs w:val="24"/>
        </w:rPr>
      </w:pPr>
      <w:r>
        <w:rPr>
          <w:szCs w:val="24"/>
        </w:rPr>
        <w:t>In the dynamic landscape of the hospitality industry, change is often driven by forces that demand immediate attention and adaptation. For Hilton, these forces have emerged as external pressures, primarily from increasing government interventions and evolving competitor strategies, both of which have significantly impacted traditional operational practices.</w:t>
      </w:r>
    </w:p>
    <w:p w14:paraId="5F368BE5" w14:textId="77777777" w:rsidR="00394071" w:rsidRDefault="00F77F75">
      <w:pPr>
        <w:rPr>
          <w:szCs w:val="24"/>
        </w:rPr>
      </w:pPr>
      <w:r>
        <w:rPr>
          <w:szCs w:val="24"/>
        </w:rPr>
        <w:t xml:space="preserve">Governments worldwide, acknowledging the urgency of environmental threats, have introduced stringent regulations to mitigate these challenges. These legal frameworks range from imposing carbon taxes that reflect the environmental cost of emissions to enacting rigorous waste management protocols to reduce pollution and encourage recycling. For multinational enterprises like Hilton, these regulations have necessitated an overhaul of operational standards to ensure compliance. Adhering to these policies is not just about avoiding legal repercussions and potential financial liabilities; it is about embodying a brand that reflects the values and ethics that today's global citizens cherish (Jauhari, 2021). This strategic alignment enhances Hilton's market position, presenting it as a conscientious choice for a new breed of consumers who align their spending choices with their environmental and social convictions.  Hilton should consider several strategic enhancements. Firstly, investing in emerging green technologies and renewable energy sources across all properties could drastically reduce the company's carbon footprint, showcasing a commitment to innovative environmental stewardship (IGI Global, 2022). Collaborating with environmental scientists and experts will ensure that Hilton’s strategies are aligned with the latest research and global standards. Strengthening partnerships with local suppliers and businesses can further reduce the company's supply chain emissions </w:t>
      </w:r>
      <w:r>
        <w:rPr>
          <w:szCs w:val="24"/>
        </w:rPr>
        <w:lastRenderedPageBreak/>
        <w:t>and contribute to local economies, enhancing the social sustainability aspect of its operations. It is also imperative to amplify employee training programs focused on sustainability, ensuring that all staff members, regardless of role, understand and contribute to Hilton's environmental objectives. Furthermore, Hilton should consider expanding its guest engagement programs by incorporating educational components about sustainability efforts and offering guests participatory opportunities in green initiatives, thereby spreading awareness and multiplying its impact. Finally, setting more aggressive internal targets for sustainability, coupled with transparent, third-party auditing and public reporting, would not only hold Hilton accountable but also inspire other industry players to follow suit, reinforcing Hilton’s reputation as a pioneer in driving systemic change within the hospitality sector.</w:t>
      </w:r>
    </w:p>
    <w:p w14:paraId="4AA1C5E7" w14:textId="77777777" w:rsidR="00394071" w:rsidRDefault="00F77F75">
      <w:pPr>
        <w:rPr>
          <w:szCs w:val="24"/>
        </w:rPr>
      </w:pPr>
      <w:r>
        <w:rPr>
          <w:szCs w:val="24"/>
        </w:rPr>
        <w:t>The influence of competitors cannot be understated in this transformative journey. The rise of eco-friendly boutique hotels and sustainability-centric practices among peers has created a market subset defined by its commitment to the planet. Traditional luxury and comfort are no longer the sole benchmarks of hospitality excellence. The modern traveller demands responsible practices that ensure their patronage doesn't come at the planet's expense (Sloan, Legrand, and Chen, 2017). This shift has seen Hilton's competitors invest heavily in sustainable infrastructure, green certifications, and community-based projects, redefining industry standards.</w:t>
      </w:r>
    </w:p>
    <w:p w14:paraId="3B321678" w14:textId="77777777" w:rsidR="00394071" w:rsidRDefault="00F77F75">
      <w:pPr>
        <w:rPr>
          <w:szCs w:val="24"/>
        </w:rPr>
      </w:pPr>
      <w:r>
        <w:rPr>
          <w:szCs w:val="24"/>
        </w:rPr>
        <w:t xml:space="preserve">Embracing the principles of a circular economy, Hilton's Corporate Social Responsibility initiatives mark a significant departure from the conventional linear economic model, characterised by its 'take-make-waste' approach, to a more sustainable, systemic strategy that prioritises the longevity of resources and the health of the ecosystem. This transformative shift in Hilton's operational strategy involves meticulous resource management and waste reduction protocols. One of the most notable implementations of this approach is the drastic reduction of food waste, achieved through a more streamlined supply chain management system that ensures resource optimisation. Additionally, the company innovatively repurposes and recycles during hotel refurbishments, extending the life of furniture and equipment that would otherwise contribute to environmental degradation (Costa and Costa, 2022). These strategic shifts focused on sustainability demonstrate a commitment to ecological regeneration and emphasise the cyclical use of materials. This not only significantly </w:t>
      </w:r>
      <w:r>
        <w:rPr>
          <w:szCs w:val="24"/>
        </w:rPr>
        <w:lastRenderedPageBreak/>
        <w:t>diminishes Hilton's environmental impact, creating a synergy between business operations and environmental conservation, but also unveils substantial economic returns. The efficient use of resources results in considerable cost reductions shields the company from the unpredictability of commodity markets by decreasing resource dependency and encourages innovative operational practices. Consequently, Hilton's endorsement of the circular economy model doesn't just enhance its environmental stewardship but also fortifies its market position, offering a competitive edge that differentiates the brand in an increasingly eco-conscious global marketplace.</w:t>
      </w:r>
    </w:p>
    <w:p w14:paraId="0B94D47C" w14:textId="77777777" w:rsidR="00394071" w:rsidRDefault="00F77F75">
      <w:pPr>
        <w:rPr>
          <w:szCs w:val="24"/>
        </w:rPr>
      </w:pPr>
      <w:r>
        <w:rPr>
          <w:szCs w:val="24"/>
        </w:rPr>
        <w:t>The Triple Bottom Line concept, introduced by John Elkington, revolutionises corporate responsibility by integrating three dimensions of performance: social, environmental, and financial (Batabyal, 2018). This comprehensive framework demands Hilton's commitment across these dimensions, fundamentally transforming the company's approach to societal and environmental contributions while maintaining economic viability (Edgell, 2020). Environmentally, Hilton ambitiously aims to cut its global environmental footprint in half by 2030, an objective manifesting through various strategies ranging from soap recycling and reliance on renewable energy sources to advocating for sustainable seafood practices, each initiative crafted to drastically reduce the negative impacts of its sprawling operations. Socially, the company's responsibility transcends ecological action, delving into societal betterment through the cultivation of an organisational culture rooted in inclusivity, equality, and proactive support for the broader community. This ethos is expressed in its awareness campaigns against human trafficking, internal diversity and inclusion initiatives, and responsive disaster relief contributions. Economically, Hilton's TBL approach acknowledges the symbiotic relationship between sustainable operations and economic health. The company recognises that internally, the adoption of sustainable practices catalyses operational efficiency and cost-effectiveness, which are indispensable for long-term profitability. Externally, Hilton significantly impacts local economies by advocating for local procurement strategies and creating substantial employment opportunities. However, the holistic implementation of the TBL necessitates a delicate equilibrium among these pillars, acknowledging their interconnectedness and often conflicting demands (Haski-Leventhal, 2018). This balance is not static; it requires Hilton's unwavering dedication to continuously re-</w:t>
      </w:r>
      <w:r>
        <w:rPr>
          <w:szCs w:val="24"/>
        </w:rPr>
        <w:lastRenderedPageBreak/>
        <w:t>evaluating and refining its CSR initiatives, ensuring adaptability and resilience in its enduring commitment to global betterment.</w:t>
      </w:r>
    </w:p>
    <w:p w14:paraId="67A8592F" w14:textId="77777777" w:rsidR="00394071" w:rsidRDefault="00F77F75">
      <w:pPr>
        <w:rPr>
          <w:szCs w:val="24"/>
        </w:rPr>
      </w:pPr>
      <w:r>
        <w:rPr>
          <w:szCs w:val="24"/>
        </w:rPr>
        <w:t>Hilton’s commitment to sustainability, a central tenet of its Corporate Social Responsibility policies, is a complex, multi-faceted strategic focus that acknowledges the deep interconnection between responsible business operations and broader societal and environmental welfare. This commitment, however, navigates a terrain fraught with challenges, reflecting the often intricate tension that exists between various stakeholder expectations and the realities of practical implementation within the hospitality industry. A critical evaluation of Hilton's sustainability journey reveals a landscape where each step towards responsible practice typically involves substantial initial financial outlays, a reality that underscores the depth of Hilton’s commitment but also highlights the economic pressures involved.</w:t>
      </w:r>
    </w:p>
    <w:p w14:paraId="40724C7F" w14:textId="77777777" w:rsidR="00394071" w:rsidRDefault="00F77F75">
      <w:pPr>
        <w:rPr>
          <w:szCs w:val="24"/>
        </w:rPr>
      </w:pPr>
      <w:r>
        <w:rPr>
          <w:szCs w:val="24"/>
        </w:rPr>
        <w:t>Investments in sustainability range from infrastructural enhancements for energy efficiency to the comprehensive training of staff for behavioral change toward environmental conservation, each requiring not only financial resources but also a shift in traditional operational paradigms. Furthermore, these transformative steps come with their own set of complex change management protocols, necessary to ensure that each initiative is seamlessly integrated into existing operations, thereby minimising disruption and securing employee buy-in, which is critical for the success of any organisational change.</w:t>
      </w:r>
    </w:p>
    <w:p w14:paraId="7BED779A" w14:textId="77777777" w:rsidR="00394071" w:rsidRDefault="00F77F75">
      <w:pPr>
        <w:rPr>
          <w:szCs w:val="24"/>
        </w:rPr>
      </w:pPr>
      <w:r>
        <w:rPr>
          <w:szCs w:val="24"/>
        </w:rPr>
        <w:t>Despite these challenges, Hilton’s 'Travel with Purpose' campaign stands as a robust declaration of the company’s overarching sustainability strategy (Cooper, 2021). The campaign transcends the superficiality of compliance or the one-dimensional aim of bolstering the company’s public image (Inkson and Minnaert, 2018). Instead, it represents a fundamental reimagining of Hilton’s corporate ethos, weaving social and environmental responsibility into the very fabric of its identity. This strategic realignment, while ambitious, recognises the necessity of continuous evolution, given the dynamic and ever-changing challenges posed by environmental crises and the non-static nature of stakeholder expectations, which can vary across the diverse geographical regions in which Hilton operates.</w:t>
      </w:r>
    </w:p>
    <w:p w14:paraId="60125C7C" w14:textId="77777777" w:rsidR="00394071" w:rsidRDefault="00F77F75">
      <w:pPr>
        <w:rPr>
          <w:szCs w:val="24"/>
        </w:rPr>
      </w:pPr>
      <w:r>
        <w:rPr>
          <w:szCs w:val="24"/>
        </w:rPr>
        <w:t xml:space="preserve">The initiative recognises that sustainability is not a final state but rather a process of continuous change and development. Hilton, for one, needs to be adaptable and ready </w:t>
      </w:r>
      <w:r>
        <w:rPr>
          <w:szCs w:val="24"/>
        </w:rPr>
        <w:lastRenderedPageBreak/>
        <w:t>to incorporate new insights and tools into its sustainability arsenal as scientific understanding of environmental issues deepens, and technological advancements present new opportunities. It could do things like work with local communities and international environmental organisations to expand the reach and impact of its initiatives or use cutting-edge technology to cut down on energy use and waste.</w:t>
      </w:r>
    </w:p>
    <w:p w14:paraId="3B72DF88" w14:textId="77777777" w:rsidR="00394071" w:rsidRDefault="00F77F75">
      <w:pPr>
        <w:rPr>
          <w:szCs w:val="24"/>
        </w:rPr>
      </w:pPr>
      <w:r>
        <w:rPr>
          <w:szCs w:val="24"/>
        </w:rPr>
        <w:t>Furthermore, Hilton's CSR approach underscores a commitment to transparency, regularly releasing sustainability reports that detail the company’s progress against its stated goals, setbacks faced, and the road ahead. This level of disclosure is indicative of a company willing to hold itself accountable to its stakeholders, inviting both praise and critique in equal measure, a brave stance that not only builds trust but also encourages a collaborative approach to problem-solving, inviting insights from outside entities, whether they be non-governmental organisations, industry watchdogs, or individual community leaders.</w:t>
      </w:r>
    </w:p>
    <w:p w14:paraId="40F6401E" w14:textId="77777777" w:rsidR="00394071" w:rsidRDefault="00F77F75">
      <w:pPr>
        <w:rPr>
          <w:szCs w:val="24"/>
        </w:rPr>
      </w:pPr>
      <w:r>
        <w:rPr>
          <w:szCs w:val="24"/>
        </w:rPr>
        <w:t>However, this extensive approach to sustainability is not without its critics, who might argue that some of these measures are more about corporate image-building than effecting real change. They contend that true sustainability requires more radical shifts in how hospitality businesses, Hilton included, operate—potentially upending current economic models (Korstanje and Nedelea, 2020). Yet, even within this critique lies an acknowledgement of the monumental task that Hilton has undertaken, trying to redefine success in the hospitality industry beyond profitability to include the well-being of the planet and its inhabitants.</w:t>
      </w:r>
    </w:p>
    <w:p w14:paraId="4206A553" w14:textId="77777777" w:rsidR="00394071" w:rsidRDefault="00394071">
      <w:pPr>
        <w:rPr>
          <w:szCs w:val="24"/>
        </w:rPr>
      </w:pPr>
    </w:p>
    <w:p w14:paraId="1401469C" w14:textId="77777777" w:rsidR="00394071" w:rsidRDefault="00F77F75">
      <w:pPr>
        <w:rPr>
          <w:szCs w:val="24"/>
        </w:rPr>
      </w:pPr>
      <w:r>
        <w:rPr>
          <w:szCs w:val="24"/>
        </w:rPr>
        <w:t xml:space="preserve">Hilton’s embrace of sustainability, shaped by external pressures, competitive forces, and a genuine commitment to environmental stewardship, sets a precedent in the hospitality industry. The analysis reveals that the adoption of a robust CSR policy, influenced by concepts like the circular economy and frameworks such as the Triple Bottom Line, is not just an ethical imperative but a strategic one, contributing to operational efficiency, market competitiveness, and brand loyalty. The journey towards full sustainability is complex and multifaceted. Still, Hilton’s proactive approach underscores the tangible benefits and transformative potential of sustainable practices within the hospitality landscape. By recognising the intricate interplay between environmental, social, and economic factors, Hilton not only </w:t>
      </w:r>
      <w:r>
        <w:rPr>
          <w:szCs w:val="24"/>
        </w:rPr>
        <w:lastRenderedPageBreak/>
        <w:t>contributes to global sustainability efforts but also fortifies its position in a market that increasingly values not just quality of service but quality of care for the planet and its people.</w:t>
      </w:r>
    </w:p>
    <w:p w14:paraId="77141B45" w14:textId="77777777" w:rsidR="007D0014" w:rsidRDefault="007D0014">
      <w:pPr>
        <w:spacing w:after="0" w:line="276" w:lineRule="auto"/>
        <w:jc w:val="left"/>
        <w:rPr>
          <w:b/>
          <w:sz w:val="28"/>
          <w:szCs w:val="28"/>
        </w:rPr>
      </w:pPr>
      <w:bookmarkStart w:id="0" w:name="_flqqqw2nfol4" w:colFirst="0" w:colLast="0"/>
      <w:bookmarkEnd w:id="0"/>
      <w:r>
        <w:rPr>
          <w:b/>
          <w:sz w:val="28"/>
          <w:szCs w:val="28"/>
        </w:rPr>
        <w:br w:type="page"/>
      </w:r>
    </w:p>
    <w:p w14:paraId="0FFE7FE7" w14:textId="24D0BDF5" w:rsidR="00394071" w:rsidRDefault="00F77F75">
      <w:pPr>
        <w:pStyle w:val="Heading1"/>
        <w:rPr>
          <w:b/>
          <w:sz w:val="28"/>
          <w:szCs w:val="28"/>
        </w:rPr>
      </w:pPr>
      <w:r>
        <w:rPr>
          <w:b/>
          <w:sz w:val="28"/>
          <w:szCs w:val="28"/>
        </w:rPr>
        <w:lastRenderedPageBreak/>
        <w:t>References</w:t>
      </w:r>
    </w:p>
    <w:p w14:paraId="317D815C" w14:textId="77777777" w:rsidR="00394071" w:rsidRDefault="00F77F75">
      <w:pPr>
        <w:rPr>
          <w:szCs w:val="24"/>
        </w:rPr>
      </w:pPr>
      <w:r>
        <w:rPr>
          <w:szCs w:val="24"/>
        </w:rPr>
        <w:t>Inkson, C., and Minnaert, L. (2018). Tourism Management: An Introduction (2nd ed.). London: SAGE.</w:t>
      </w:r>
    </w:p>
    <w:p w14:paraId="36D861FE" w14:textId="77777777" w:rsidR="00394071" w:rsidRDefault="00F77F75">
      <w:pPr>
        <w:rPr>
          <w:szCs w:val="24"/>
        </w:rPr>
      </w:pPr>
      <w:r>
        <w:rPr>
          <w:szCs w:val="24"/>
        </w:rPr>
        <w:t>Cooper, C. (2021). Essentials of Tourism (Third edition). London: SAGE.</w:t>
      </w:r>
    </w:p>
    <w:p w14:paraId="26341043" w14:textId="77777777" w:rsidR="00394071" w:rsidRDefault="00F77F75">
      <w:pPr>
        <w:rPr>
          <w:szCs w:val="24"/>
        </w:rPr>
      </w:pPr>
      <w:r>
        <w:rPr>
          <w:szCs w:val="24"/>
        </w:rPr>
        <w:t>Haski-Leventhal, D. (2018). Strategic Corporate Social Responsibility: Tools and Theories for Responsible Management. London: SAGE.</w:t>
      </w:r>
    </w:p>
    <w:p w14:paraId="36609CA7" w14:textId="77777777" w:rsidR="00394071" w:rsidRDefault="00F77F75">
      <w:pPr>
        <w:rPr>
          <w:szCs w:val="24"/>
        </w:rPr>
      </w:pPr>
      <w:r>
        <w:rPr>
          <w:szCs w:val="24"/>
        </w:rPr>
        <w:t>Sloan, P., Legrand, W., and Chen, J.S. (2017). Sustainability in the Hospitality Industry: Principles of Sustainable Operations (3rd ed.). London: Butterworth-Heinemann.</w:t>
      </w:r>
    </w:p>
    <w:p w14:paraId="336682FE" w14:textId="77777777" w:rsidR="00394071" w:rsidRDefault="00F77F75">
      <w:pPr>
        <w:rPr>
          <w:szCs w:val="24"/>
        </w:rPr>
      </w:pPr>
      <w:r>
        <w:rPr>
          <w:szCs w:val="24"/>
        </w:rPr>
        <w:t>Management Association. (2018). Sustainable Tourism. IGI Global.</w:t>
      </w:r>
    </w:p>
    <w:p w14:paraId="7EBC1952" w14:textId="77777777" w:rsidR="00394071" w:rsidRDefault="00F77F75">
      <w:pPr>
        <w:rPr>
          <w:szCs w:val="24"/>
        </w:rPr>
      </w:pPr>
      <w:r>
        <w:rPr>
          <w:szCs w:val="24"/>
        </w:rPr>
        <w:t>Wickham, Donnelly, T., and French, L. (2021). "Strategic Sustainability Management in the Event Sector." Event Management, 25(3), 279–296.</w:t>
      </w:r>
    </w:p>
    <w:p w14:paraId="112450D5" w14:textId="77777777" w:rsidR="00394071" w:rsidRDefault="00F77F75">
      <w:pPr>
        <w:rPr>
          <w:szCs w:val="24"/>
        </w:rPr>
      </w:pPr>
      <w:r>
        <w:rPr>
          <w:szCs w:val="24"/>
        </w:rPr>
        <w:t>Jauhari, V. (2021). Managing Sustainability in the Hospitality and Tourism Industry: Paradigms and Directions for the Future (9th edn.). Oakville: Apple Academic Press. Inc.</w:t>
      </w:r>
    </w:p>
    <w:p w14:paraId="393DC08A" w14:textId="77777777" w:rsidR="00394071" w:rsidRDefault="00F77F75">
      <w:pPr>
        <w:rPr>
          <w:szCs w:val="24"/>
        </w:rPr>
      </w:pPr>
      <w:r>
        <w:rPr>
          <w:szCs w:val="24"/>
        </w:rPr>
        <w:t>Costa, C., and Costa, C. (Eds.). (2022). Sustainability and Competitiveness in the Hospitality Industry. Business Science Reference.</w:t>
      </w:r>
    </w:p>
    <w:p w14:paraId="11103AB6" w14:textId="77777777" w:rsidR="00394071" w:rsidRDefault="00F77F75">
      <w:pPr>
        <w:rPr>
          <w:szCs w:val="24"/>
        </w:rPr>
      </w:pPr>
      <w:r>
        <w:rPr>
          <w:szCs w:val="24"/>
        </w:rPr>
        <w:t>Korstanje, George B., and Nedelea, A. (2020). Strategies for Promoting Sustainable Hospitality and Tourism Services. IGI Global.</w:t>
      </w:r>
    </w:p>
    <w:p w14:paraId="36A92405" w14:textId="77777777" w:rsidR="00394071" w:rsidRDefault="00F77F75">
      <w:pPr>
        <w:rPr>
          <w:szCs w:val="24"/>
        </w:rPr>
      </w:pPr>
      <w:r>
        <w:rPr>
          <w:szCs w:val="24"/>
        </w:rPr>
        <w:t>Edgell. (2020). Managing Sustainable Tourism: A Legacy for the Future (Third edition). Routledge.</w:t>
      </w:r>
    </w:p>
    <w:p w14:paraId="11D7ADBC" w14:textId="77777777" w:rsidR="00394071" w:rsidRDefault="00F77F75">
      <w:pPr>
        <w:rPr>
          <w:szCs w:val="24"/>
        </w:rPr>
      </w:pPr>
      <w:r>
        <w:rPr>
          <w:szCs w:val="24"/>
        </w:rPr>
        <w:t>Sustainable Tourism: Breakthroughs in Research and Practice. (2019). IGI Global.</w:t>
      </w:r>
    </w:p>
    <w:p w14:paraId="1A30B794" w14:textId="77777777" w:rsidR="00394071" w:rsidRDefault="00F77F75">
      <w:pPr>
        <w:rPr>
          <w:szCs w:val="24"/>
        </w:rPr>
      </w:pPr>
      <w:r>
        <w:rPr>
          <w:szCs w:val="24"/>
        </w:rPr>
        <w:t>Batabyal. (2018). Managing Sustainable Tourism Resources. IGI Global.</w:t>
      </w:r>
    </w:p>
    <w:p w14:paraId="59FF57AB" w14:textId="77777777" w:rsidR="00394071" w:rsidRDefault="00F77F75">
      <w:pPr>
        <w:rPr>
          <w:szCs w:val="24"/>
        </w:rPr>
      </w:pPr>
      <w:r>
        <w:rPr>
          <w:szCs w:val="24"/>
        </w:rPr>
        <w:t>New Governance and Management in Touristic Destinations. (2022). IGI Global.</w:t>
      </w:r>
    </w:p>
    <w:p w14:paraId="33D33016" w14:textId="77777777" w:rsidR="00394071" w:rsidRDefault="00394071">
      <w:pPr>
        <w:rPr>
          <w:szCs w:val="24"/>
        </w:rPr>
      </w:pPr>
    </w:p>
    <w:p w14:paraId="47E88439" w14:textId="77777777" w:rsidR="00394071" w:rsidRDefault="00394071">
      <w:pPr>
        <w:rPr>
          <w:szCs w:val="24"/>
        </w:rPr>
      </w:pPr>
    </w:p>
    <w:p w14:paraId="3E255C71" w14:textId="77777777" w:rsidR="00394071" w:rsidRDefault="00394071">
      <w:pPr>
        <w:rPr>
          <w:szCs w:val="24"/>
        </w:rPr>
      </w:pPr>
    </w:p>
    <w:p w14:paraId="3A583DCF" w14:textId="77777777" w:rsidR="00394071" w:rsidRDefault="00394071">
      <w:pPr>
        <w:rPr>
          <w:szCs w:val="24"/>
        </w:rPr>
      </w:pPr>
    </w:p>
    <w:p w14:paraId="6647F11C" w14:textId="122B1CF4" w:rsidR="00394071" w:rsidRDefault="00F77F75">
      <w:pPr>
        <w:pStyle w:val="Heading1"/>
        <w:rPr>
          <w:b/>
          <w:sz w:val="28"/>
          <w:szCs w:val="28"/>
        </w:rPr>
      </w:pPr>
      <w:bookmarkStart w:id="1" w:name="_cwy3bpuujkbc" w:colFirst="0" w:colLast="0"/>
      <w:bookmarkEnd w:id="1"/>
      <w:r>
        <w:rPr>
          <w:b/>
          <w:sz w:val="28"/>
          <w:szCs w:val="28"/>
        </w:rPr>
        <w:t>Appendix</w:t>
      </w:r>
    </w:p>
    <w:p w14:paraId="1B0267A7" w14:textId="59343CD6" w:rsidR="005537EE" w:rsidRPr="005537EE" w:rsidRDefault="005537EE" w:rsidP="005537EE">
      <w:r>
        <w:t>Mindmap</w:t>
      </w:r>
    </w:p>
    <w:p w14:paraId="70F9A0E0" w14:textId="77777777" w:rsidR="00394071" w:rsidRDefault="00F77F75">
      <w:r>
        <w:rPr>
          <w:noProof/>
        </w:rPr>
        <w:drawing>
          <wp:inline distT="114300" distB="114300" distL="114300" distR="114300" wp14:anchorId="42E355D3" wp14:editId="266055D2">
            <wp:extent cx="6153793" cy="34653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6153793" cy="3465342"/>
                    </a:xfrm>
                    <a:prstGeom prst="rect">
                      <a:avLst/>
                    </a:prstGeom>
                    <a:ln/>
                  </pic:spPr>
                </pic:pic>
              </a:graphicData>
            </a:graphic>
          </wp:inline>
        </w:drawing>
      </w:r>
    </w:p>
    <w:p w14:paraId="339DAC2F" w14:textId="77777777" w:rsidR="00394071" w:rsidRDefault="00394071">
      <w:pPr>
        <w:rPr>
          <w:szCs w:val="24"/>
        </w:rPr>
      </w:pPr>
    </w:p>
    <w:sectPr w:rsidR="00394071" w:rsidSect="007D001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24D76" w14:textId="77777777" w:rsidR="007436F2" w:rsidRDefault="007436F2" w:rsidP="007D0014">
      <w:pPr>
        <w:spacing w:after="0" w:line="240" w:lineRule="auto"/>
      </w:pPr>
      <w:r>
        <w:separator/>
      </w:r>
    </w:p>
  </w:endnote>
  <w:endnote w:type="continuationSeparator" w:id="0">
    <w:p w14:paraId="4347341A" w14:textId="77777777" w:rsidR="007436F2" w:rsidRDefault="007436F2" w:rsidP="007D0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7669D" w14:textId="77777777" w:rsidR="000007AA" w:rsidRDefault="000007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060572"/>
      <w:docPartObj>
        <w:docPartGallery w:val="Page Numbers (Bottom of Page)"/>
        <w:docPartUnique/>
      </w:docPartObj>
    </w:sdtPr>
    <w:sdtEndPr>
      <w:rPr>
        <w:noProof/>
      </w:rPr>
    </w:sdtEndPr>
    <w:sdtContent>
      <w:p w14:paraId="1E637FB5" w14:textId="75FD0D5E" w:rsidR="007D0014" w:rsidRDefault="007D00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D980CE" w14:textId="77777777" w:rsidR="007D0014" w:rsidRDefault="007D00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8055134"/>
      <w:docPartObj>
        <w:docPartGallery w:val="Page Numbers (Bottom of Page)"/>
        <w:docPartUnique/>
      </w:docPartObj>
    </w:sdtPr>
    <w:sdtEndPr>
      <w:rPr>
        <w:noProof/>
      </w:rPr>
    </w:sdtEndPr>
    <w:sdtContent>
      <w:p w14:paraId="544025CC" w14:textId="0947BF4A" w:rsidR="000007AA" w:rsidRDefault="000007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D4D6C5" w14:textId="77777777" w:rsidR="000007AA" w:rsidRDefault="00000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4952E" w14:textId="77777777" w:rsidR="007436F2" w:rsidRDefault="007436F2" w:rsidP="007D0014">
      <w:pPr>
        <w:spacing w:after="0" w:line="240" w:lineRule="auto"/>
      </w:pPr>
      <w:r>
        <w:separator/>
      </w:r>
    </w:p>
  </w:footnote>
  <w:footnote w:type="continuationSeparator" w:id="0">
    <w:p w14:paraId="712F2CC8" w14:textId="77777777" w:rsidR="007436F2" w:rsidRDefault="007436F2" w:rsidP="007D00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7BAC5" w14:textId="77777777" w:rsidR="000007AA" w:rsidRDefault="000007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D358" w14:textId="77777777" w:rsidR="000007AA" w:rsidRDefault="000007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12439" w14:textId="77777777" w:rsidR="000007AA" w:rsidRDefault="000007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4071"/>
    <w:rsid w:val="000007AA"/>
    <w:rsid w:val="00394071"/>
    <w:rsid w:val="005537EE"/>
    <w:rsid w:val="00597818"/>
    <w:rsid w:val="007436F2"/>
    <w:rsid w:val="007D0014"/>
    <w:rsid w:val="00CF2500"/>
    <w:rsid w:val="00DC121B"/>
    <w:rsid w:val="00F77F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149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014"/>
    <w:pPr>
      <w:spacing w:after="160" w:line="360" w:lineRule="auto"/>
      <w:jc w:val="both"/>
    </w:pPr>
    <w:rPr>
      <w:sz w:val="24"/>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D0014"/>
    <w:pPr>
      <w:tabs>
        <w:tab w:val="center" w:pos="4680"/>
        <w:tab w:val="right" w:pos="9360"/>
      </w:tabs>
      <w:spacing w:line="240" w:lineRule="auto"/>
    </w:pPr>
  </w:style>
  <w:style w:type="character" w:customStyle="1" w:styleId="HeaderChar">
    <w:name w:val="Header Char"/>
    <w:basedOn w:val="DefaultParagraphFont"/>
    <w:link w:val="Header"/>
    <w:uiPriority w:val="99"/>
    <w:rsid w:val="007D0014"/>
  </w:style>
  <w:style w:type="paragraph" w:styleId="Footer">
    <w:name w:val="footer"/>
    <w:basedOn w:val="Normal"/>
    <w:link w:val="FooterChar"/>
    <w:uiPriority w:val="99"/>
    <w:unhideWhenUsed/>
    <w:rsid w:val="007D0014"/>
    <w:pPr>
      <w:tabs>
        <w:tab w:val="center" w:pos="4680"/>
        <w:tab w:val="right" w:pos="9360"/>
      </w:tabs>
      <w:spacing w:line="240" w:lineRule="auto"/>
    </w:pPr>
  </w:style>
  <w:style w:type="character" w:customStyle="1" w:styleId="FooterChar">
    <w:name w:val="Footer Char"/>
    <w:basedOn w:val="DefaultParagraphFont"/>
    <w:link w:val="Footer"/>
    <w:uiPriority w:val="99"/>
    <w:rsid w:val="007D00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2538</Words>
  <Characters>14471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2023-10-18T14:44:00Z</dcterms:created>
  <dcterms:modified xsi:type="dcterms:W3CDTF">2023-10-18T20:15:00Z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6a749d390c0681c6ffe9a468664b23f147058e6f412fb883cfb001761b6994b2</vt:lpwstr>
  </property>
</Properties>
</file>