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mallCaps w:val="1"/>
          <w:sz w:val="36"/>
          <w:szCs w:val="36"/>
          <w:u w:val="single"/>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mallCaps w:val="1"/>
          <w:sz w:val="36"/>
          <w:szCs w:val="36"/>
          <w:u w:val="single"/>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mallCaps w:val="1"/>
          <w:sz w:val="36"/>
          <w:szCs w:val="36"/>
          <w:u w:val="single"/>
        </w:rPr>
      </w:pPr>
      <w:r w:rsidDel="00000000" w:rsidR="00000000" w:rsidRPr="00000000">
        <w:rPr>
          <w:rFonts w:ascii="Times New Roman" w:cs="Times New Roman" w:eastAsia="Times New Roman" w:hAnsi="Times New Roman"/>
          <w:b w:val="1"/>
          <w:smallCaps w:val="1"/>
          <w:sz w:val="36"/>
          <w:szCs w:val="36"/>
          <w:u w:val="single"/>
          <w:rtl w:val="0"/>
        </w:rPr>
        <w:t xml:space="preserve">Problem Solving &amp; Decision Making</w:t>
      </w:r>
    </w:p>
    <w:p w:rsidR="00000000" w:rsidDel="00000000" w:rsidP="00000000" w:rsidRDefault="00000000" w:rsidRPr="00000000" w14:paraId="00000009">
      <w:pPr>
        <w:spacing w:line="360" w:lineRule="auto"/>
        <w:jc w:val="center"/>
        <w:rPr>
          <w:b w:val="1"/>
          <w:sz w:val="24"/>
          <w:szCs w:val="24"/>
          <w:u w:val="single"/>
        </w:rPr>
      </w:pPr>
      <w:r w:rsidDel="00000000" w:rsidR="00000000" w:rsidRPr="00000000">
        <w:rPr>
          <w:b w:val="1"/>
          <w:sz w:val="32"/>
          <w:szCs w:val="32"/>
          <w:u w:val="single"/>
          <w:rtl w:val="0"/>
        </w:rPr>
        <w:t xml:space="preserve">T</w:t>
      </w:r>
      <w:r w:rsidDel="00000000" w:rsidR="00000000" w:rsidRPr="00000000">
        <w:rPr>
          <w:b w:val="1"/>
          <w:sz w:val="24"/>
          <w:szCs w:val="24"/>
          <w:u w:val="single"/>
          <w:rtl w:val="0"/>
        </w:rPr>
        <w:t xml:space="preserve">HE CHALLENGES FACED BY THE</w:t>
      </w:r>
    </w:p>
    <w:p w:rsidR="00000000" w:rsidDel="00000000" w:rsidP="00000000" w:rsidRDefault="00000000" w:rsidRPr="00000000" w14:paraId="0000000A">
      <w:pPr>
        <w:spacing w:line="360" w:lineRule="auto"/>
        <w:jc w:val="center"/>
        <w:rPr>
          <w:b w:val="1"/>
          <w:sz w:val="24"/>
          <w:szCs w:val="24"/>
          <w:u w:val="single"/>
        </w:rPr>
      </w:pPr>
      <w:r w:rsidDel="00000000" w:rsidR="00000000" w:rsidRPr="00000000">
        <w:rPr>
          <w:b w:val="1"/>
          <w:sz w:val="24"/>
          <w:szCs w:val="24"/>
          <w:u w:val="single"/>
          <w:rtl w:val="0"/>
        </w:rPr>
        <w:t xml:space="preserve">ENERGY SECTOR</w:t>
      </w:r>
    </w:p>
    <w:p w:rsidR="00000000" w:rsidDel="00000000" w:rsidP="00000000" w:rsidRDefault="00000000" w:rsidRPr="00000000" w14:paraId="0000000B">
      <w:pPr>
        <w:spacing w:line="360" w:lineRule="auto"/>
        <w:jc w:val="center"/>
        <w:rPr/>
      </w:pPr>
      <w:r w:rsidDel="00000000" w:rsidR="00000000" w:rsidRPr="00000000">
        <w:rPr>
          <w:rtl w:val="0"/>
        </w:rPr>
      </w:r>
    </w:p>
    <w:p w:rsidR="00000000" w:rsidDel="00000000" w:rsidP="00000000" w:rsidRDefault="00000000" w:rsidRPr="00000000" w14:paraId="0000000C">
      <w:pPr>
        <w:spacing w:line="360" w:lineRule="auto"/>
        <w:jc w:val="center"/>
        <w:rPr/>
      </w:pPr>
      <w:r w:rsidDel="00000000" w:rsidR="00000000" w:rsidRPr="00000000">
        <w:rPr>
          <w:rtl w:val="0"/>
        </w:rPr>
      </w:r>
    </w:p>
    <w:p w:rsidR="00000000" w:rsidDel="00000000" w:rsidP="00000000" w:rsidRDefault="00000000" w:rsidRPr="00000000" w14:paraId="0000000D">
      <w:pPr>
        <w:spacing w:line="360" w:lineRule="auto"/>
        <w:jc w:val="center"/>
        <w:rPr/>
      </w:pPr>
      <w:r w:rsidDel="00000000" w:rsidR="00000000" w:rsidRPr="00000000">
        <w:rPr>
          <w:rFonts w:ascii="Times New Roman" w:cs="Times New Roman" w:eastAsia="Times New Roman" w:hAnsi="Times New Roman"/>
          <w:b w:val="1"/>
          <w:i w:val="1"/>
          <w:sz w:val="24"/>
          <w:szCs w:val="24"/>
          <w:rtl w:val="0"/>
        </w:rPr>
        <w:t xml:space="preserve">Dragos Axente</w:t>
      </w:r>
      <w:r w:rsidDel="00000000" w:rsidR="00000000" w:rsidRPr="00000000">
        <w:rPr>
          <w:rtl w:val="0"/>
        </w:rPr>
      </w:r>
    </w:p>
    <w:p w:rsidR="00000000" w:rsidDel="00000000" w:rsidP="00000000" w:rsidRDefault="00000000" w:rsidRPr="00000000" w14:paraId="0000000E">
      <w:pPr>
        <w:spacing w:line="360" w:lineRule="auto"/>
        <w:jc w:val="center"/>
        <w:rPr/>
      </w:pPr>
      <w:r w:rsidDel="00000000" w:rsidR="00000000" w:rsidRPr="00000000">
        <w:rPr>
          <w:rtl w:val="0"/>
        </w:rPr>
        <w:t xml:space="preserve">2127563</w:t>
      </w:r>
    </w:p>
    <w:p w:rsidR="00000000" w:rsidDel="00000000" w:rsidP="00000000" w:rsidRDefault="00000000" w:rsidRPr="00000000" w14:paraId="0000000F">
      <w:pPr>
        <w:spacing w:after="240" w:before="240"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 </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report has been prepared on the basis of analysis of problem solving and decision-making approaches in terms of business functioning and its impact on the environment. The study has broadly discussed various challenges that are being faced by the energy sectors and the impact of CO2 emission on the environment. Later part of this report has also done PESTLE analysis and provided relevant graph and data to show how the environmental degradation is taking new shape through carbon emission and other man-made activities. </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b w:val="1"/>
          <w:i w:val="1"/>
          <w:sz w:val="24"/>
          <w:szCs w:val="24"/>
          <w:u w:val="single"/>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1: Individual presentation</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Component 2: Report</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the energy sector</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PESTEL analysis of the energy sector</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Decision-Making Matrix</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 monitor &amp; review implementation &amp; communication decisions</w:t>
              <w:tab/>
              <w:t xml:space="preserve">15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23">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sz w:val="24"/>
          <w:szCs w:val="24"/>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b w:val="1"/>
          <w:i w:val="1"/>
          <w:sz w:val="24"/>
          <w:szCs w:val="24"/>
          <w:u w:val="single"/>
        </w:rPr>
      </w:pPr>
      <w:r w:rsidDel="00000000" w:rsidR="00000000" w:rsidRPr="00000000">
        <w:rPr>
          <w:rFonts w:ascii="Times New Roman" w:cs="Times New Roman" w:eastAsia="Times New Roman" w:hAnsi="Times New Roman"/>
          <w:b w:val="1"/>
          <w:i w:val="1"/>
          <w:sz w:val="24"/>
          <w:szCs w:val="24"/>
          <w:u w:val="single"/>
          <w:rtl w:val="0"/>
        </w:rPr>
        <w:t xml:space="preserve">The challenges faced by the energy sector</w:t>
      </w:r>
    </w:p>
    <w:p w:rsidR="00000000" w:rsidDel="00000000" w:rsidP="00000000" w:rsidRDefault="00000000" w:rsidRPr="00000000" w14:paraId="00000027">
      <w:pPr>
        <w:pStyle w:val="Heading1"/>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Component 1: Individual presentation </w:t>
      </w:r>
    </w:p>
    <w:p w:rsidR="00000000" w:rsidDel="00000000" w:rsidP="00000000" w:rsidRDefault="00000000" w:rsidRPr="00000000" w14:paraId="00000028">
      <w:pPr>
        <w:pStyle w:val="Heading1"/>
        <w:spacing w:line="360" w:lineRule="auto"/>
        <w:jc w:val="both"/>
        <w:rPr>
          <w:rFonts w:ascii="Times New Roman" w:cs="Times New Roman" w:eastAsia="Times New Roman" w:hAnsi="Times New Roman"/>
          <w:b w:val="1"/>
          <w:sz w:val="24"/>
          <w:szCs w:val="24"/>
        </w:rPr>
      </w:pPr>
      <w:bookmarkStart w:colFirst="0" w:colLast="0" w:name="_1fob9te" w:id="2"/>
      <w:bookmarkEnd w:id="2"/>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As postulated by </w:t>
      </w:r>
      <w:r w:rsidDel="00000000" w:rsidR="00000000" w:rsidRPr="00000000">
        <w:rPr>
          <w:rFonts w:ascii="Times New Roman" w:cs="Times New Roman" w:eastAsia="Times New Roman" w:hAnsi="Times New Roman"/>
          <w:color w:val="222222"/>
          <w:sz w:val="24"/>
          <w:szCs w:val="24"/>
          <w:highlight w:val="white"/>
          <w:rtl w:val="0"/>
        </w:rPr>
        <w:t xml:space="preserve">Majid (2020</w:t>
      </w:r>
      <w:r w:rsidDel="00000000" w:rsidR="00000000" w:rsidRPr="00000000">
        <w:rPr>
          <w:rFonts w:ascii="Times New Roman" w:cs="Times New Roman" w:eastAsia="Times New Roman" w:hAnsi="Times New Roman"/>
          <w:sz w:val="24"/>
          <w:szCs w:val="24"/>
          <w:rtl w:val="0"/>
        </w:rPr>
        <w:t xml:space="preserve">), the present environmental scenario has been degrading due to various kinds of man-made activities which are affecting the bio-diversity and eventually impacting the energy resources that are kept for ages within nature herself. This part of the entire report has tried to analyse the impact of different kinds of problems that has made the energy sector face severe challenges in the smooth running of the business. The later part of this report has also focused on the carbon-emission and strategies to tackle them effectively and successfully. The report has equally analysed various scopes and solutions to the mentioned problem to help the business companies mitigate their business problems in the forthcoming years. </w:t>
      </w:r>
    </w:p>
    <w:p w:rsidR="00000000" w:rsidDel="00000000" w:rsidP="00000000" w:rsidRDefault="00000000" w:rsidRPr="00000000" w14:paraId="0000002A">
      <w:pPr>
        <w:pStyle w:val="Heading1"/>
        <w:spacing w:line="360" w:lineRule="auto"/>
        <w:jc w:val="both"/>
        <w:rPr>
          <w:rFonts w:ascii="Times New Roman" w:cs="Times New Roman" w:eastAsia="Times New Roman" w:hAnsi="Times New Roman"/>
          <w:b w:val="1"/>
          <w:sz w:val="24"/>
          <w:szCs w:val="24"/>
        </w:rPr>
      </w:pPr>
      <w:bookmarkStart w:colFirst="0" w:colLast="0" w:name="_2et92p0" w:id="4"/>
      <w:bookmarkEnd w:id="4"/>
      <w:r w:rsidDel="00000000" w:rsidR="00000000" w:rsidRPr="00000000">
        <w:rPr>
          <w:rFonts w:ascii="Times New Roman" w:cs="Times New Roman" w:eastAsia="Times New Roman" w:hAnsi="Times New Roman"/>
          <w:b w:val="1"/>
          <w:sz w:val="24"/>
          <w:szCs w:val="24"/>
          <w:rtl w:val="0"/>
        </w:rPr>
        <w:t xml:space="preserve">Discussion</w:t>
      </w:r>
    </w:p>
    <w:p w:rsidR="00000000" w:rsidDel="00000000" w:rsidP="00000000" w:rsidRDefault="00000000" w:rsidRPr="00000000" w14:paraId="0000002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Nature of problem at energy sector</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stated by </w:t>
      </w:r>
      <w:r w:rsidDel="00000000" w:rsidR="00000000" w:rsidRPr="00000000">
        <w:rPr>
          <w:rFonts w:ascii="Times New Roman" w:cs="Times New Roman" w:eastAsia="Times New Roman" w:hAnsi="Times New Roman"/>
          <w:color w:val="222222"/>
          <w:sz w:val="24"/>
          <w:szCs w:val="24"/>
          <w:highlight w:val="white"/>
          <w:rtl w:val="0"/>
        </w:rPr>
        <w:t xml:space="preserve">Papadis and Tsatsaronis (2020</w:t>
      </w:r>
      <w:r w:rsidDel="00000000" w:rsidR="00000000" w:rsidRPr="00000000">
        <w:rPr>
          <w:rFonts w:ascii="Times New Roman" w:cs="Times New Roman" w:eastAsia="Times New Roman" w:hAnsi="Times New Roman"/>
          <w:sz w:val="24"/>
          <w:szCs w:val="24"/>
          <w:rtl w:val="0"/>
        </w:rPr>
        <w:t xml:space="preserve">), there are various kinds of problems that can be observed in the energy sector which are slowing down the pace of the business companies in general. One of the most important issues that the energy sector has been facing is the tackling of carbon emissions effectively. The report says that carbon emission has risen again which lowered in 2020 due to the global shutdown during the Covid-19 pandemic and reached a 1% level higher than that of 2019 (</w:t>
      </w:r>
      <w:r w:rsidDel="00000000" w:rsidR="00000000" w:rsidRPr="00000000">
        <w:rPr>
          <w:rFonts w:ascii="Times New Roman" w:cs="Times New Roman" w:eastAsia="Times New Roman" w:hAnsi="Times New Roman"/>
          <w:sz w:val="24"/>
          <w:szCs w:val="24"/>
          <w:highlight w:val="white"/>
          <w:rtl w:val="0"/>
        </w:rPr>
        <w:t xml:space="preserve">Energy Industry.com, 2022</w:t>
      </w:r>
      <w:r w:rsidDel="00000000" w:rsidR="00000000" w:rsidRPr="00000000">
        <w:rPr>
          <w:rFonts w:ascii="Times New Roman" w:cs="Times New Roman" w:eastAsia="Times New Roman" w:hAnsi="Times New Roman"/>
          <w:sz w:val="24"/>
          <w:szCs w:val="24"/>
          <w:rtl w:val="0"/>
        </w:rPr>
        <w:t xml:space="preserve">). Various kinds of manufacturing and construction business have made the release of carbon in the air much higher than in previous years which has resulted in a sharp decline in the adequate supply of henry and fuels in the business industries. </w:t>
      </w:r>
    </w:p>
    <w:p w:rsidR="00000000" w:rsidDel="00000000" w:rsidP="00000000" w:rsidRDefault="00000000" w:rsidRPr="00000000" w14:paraId="0000002D">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Scope of problem</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present survey reports on the basis of the energy sectors and their functioning, the largest amount of CO2 emission has taken place in the year 2021 by producing electricity and creating heat in various business organisations. The CO2 emission has increased by 14.6 Gt in the year 2021 and it is predicted that the amount would reach 5% more in the coming years from only energy sectors across the globe (</w:t>
      </w:r>
      <w:r w:rsidDel="00000000" w:rsidR="00000000" w:rsidRPr="00000000">
        <w:rPr>
          <w:rFonts w:ascii="Times New Roman" w:cs="Times New Roman" w:eastAsia="Times New Roman" w:hAnsi="Times New Roman"/>
          <w:sz w:val="24"/>
          <w:szCs w:val="24"/>
          <w:highlight w:val="white"/>
          <w:rtl w:val="0"/>
        </w:rPr>
        <w:t xml:space="preserve">Global Energy Review, 2022</w:t>
      </w:r>
      <w:r w:rsidDel="00000000" w:rsidR="00000000" w:rsidRPr="00000000">
        <w:rPr>
          <w:rFonts w:ascii="Times New Roman" w:cs="Times New Roman" w:eastAsia="Times New Roman" w:hAnsi="Times New Roman"/>
          <w:sz w:val="24"/>
          <w:szCs w:val="24"/>
          <w:rtl w:val="0"/>
        </w:rPr>
        <w:t xml:space="preserve">).Experts argue that in the coming years, the necessity of inventing more technologically advanced equipment and making them useful for the common people would lead to an increase in CO2 emission. This issue is going to have a drastic impact on the environment in the coming years. </w:t>
      </w:r>
    </w:p>
    <w:p w:rsidR="00000000" w:rsidDel="00000000" w:rsidP="00000000" w:rsidRDefault="00000000" w:rsidRPr="00000000" w14:paraId="0000002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Impact of problem</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opined by </w:t>
      </w:r>
      <w:r w:rsidDel="00000000" w:rsidR="00000000" w:rsidRPr="00000000">
        <w:rPr>
          <w:rFonts w:ascii="Times New Roman" w:cs="Times New Roman" w:eastAsia="Times New Roman" w:hAnsi="Times New Roman"/>
          <w:color w:val="222222"/>
          <w:sz w:val="24"/>
          <w:szCs w:val="24"/>
          <w:highlight w:val="white"/>
          <w:rtl w:val="0"/>
        </w:rPr>
        <w:t xml:space="preserve">Majid (2020</w:t>
      </w:r>
      <w:r w:rsidDel="00000000" w:rsidR="00000000" w:rsidRPr="00000000">
        <w:rPr>
          <w:rFonts w:ascii="Times New Roman" w:cs="Times New Roman" w:eastAsia="Times New Roman" w:hAnsi="Times New Roman"/>
          <w:sz w:val="24"/>
          <w:szCs w:val="24"/>
          <w:rtl w:val="0"/>
        </w:rPr>
        <w:t xml:space="preserve">), the impact of this kind of CO2 emission would be fatal for the entire mankind as well as animal species. The national heads of almost 146 countries have taken pledges to restore the environment by adopting </w:t>
      </w:r>
      <w:r w:rsidDel="00000000" w:rsidR="00000000" w:rsidRPr="00000000">
        <w:rPr>
          <w:rFonts w:ascii="Times New Roman" w:cs="Times New Roman" w:eastAsia="Times New Roman" w:hAnsi="Times New Roman"/>
          <w:i w:val="1"/>
          <w:sz w:val="24"/>
          <w:szCs w:val="24"/>
          <w:rtl w:val="0"/>
        </w:rPr>
        <w:t xml:space="preserve">zero-carbon emission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projects</w:t>
      </w:r>
      <w:r w:rsidDel="00000000" w:rsidR="00000000" w:rsidRPr="00000000">
        <w:rPr>
          <w:rFonts w:ascii="Times New Roman" w:cs="Times New Roman" w:eastAsia="Times New Roman" w:hAnsi="Times New Roman"/>
          <w:sz w:val="24"/>
          <w:szCs w:val="24"/>
          <w:rtl w:val="0"/>
        </w:rPr>
        <w:t xml:space="preserve"> in almost all sectors. Nevertheless, the constant CO2 emission through heat, electric production and fuel-making processes can sincerely damage the equilibrium of the environment globally. Strict guidelines and effective measures, as well as government policies, must be adopted conjointly to tackle the </w:t>
      </w:r>
      <w:r w:rsidDel="00000000" w:rsidR="00000000" w:rsidRPr="00000000">
        <w:rPr>
          <w:rFonts w:ascii="Times New Roman" w:cs="Times New Roman" w:eastAsia="Times New Roman" w:hAnsi="Times New Roman"/>
          <w:i w:val="1"/>
          <w:sz w:val="24"/>
          <w:szCs w:val="24"/>
          <w:rtl w:val="0"/>
        </w:rPr>
        <w:t xml:space="preserve">issue of CO2 emission </w:t>
      </w:r>
      <w:r w:rsidDel="00000000" w:rsidR="00000000" w:rsidRPr="00000000">
        <w:rPr>
          <w:rFonts w:ascii="Times New Roman" w:cs="Times New Roman" w:eastAsia="Times New Roman" w:hAnsi="Times New Roman"/>
          <w:sz w:val="24"/>
          <w:szCs w:val="24"/>
          <w:rtl w:val="0"/>
        </w:rPr>
        <w:t xml:space="preserve">and mitigate its bad impact on the global environment. On the other hand, if man-made activities cannot be controlled and restricted to only having the chance to use natural resources wisely, the issue of global warming would reach the optimum level. </w:t>
      </w:r>
    </w:p>
    <w:p w:rsidR="00000000" w:rsidDel="00000000" w:rsidP="00000000" w:rsidRDefault="00000000" w:rsidRPr="00000000" w14:paraId="00000031">
      <w:pPr>
        <w:pStyle w:val="Heading1"/>
        <w:spacing w:line="360" w:lineRule="auto"/>
        <w:jc w:val="both"/>
        <w:rPr>
          <w:rFonts w:ascii="Times New Roman" w:cs="Times New Roman" w:eastAsia="Times New Roman" w:hAnsi="Times New Roman"/>
          <w:b w:val="1"/>
          <w:sz w:val="24"/>
          <w:szCs w:val="24"/>
        </w:rPr>
      </w:pPr>
      <w:bookmarkStart w:colFirst="0" w:colLast="0" w:name="_tyjcwt" w:id="5"/>
      <w:bookmarkEnd w:id="5"/>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 discussion has significantly analysed all the sectional areas with appropriate references and evidence. The above explanation shows that constant CO2 emissions would be enough to destroy the entire balance of the environment completely. Making more planning and taking up more effective strategies to make the energy sector function more rationally would help to solve this problem in the forthcoming years. </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pStyle w:val="Heading1"/>
        <w:spacing w:line="360" w:lineRule="auto"/>
        <w:jc w:val="both"/>
        <w:rPr/>
      </w:pPr>
      <w:bookmarkStart w:colFirst="0" w:colLast="0" w:name="_3dy6vkm" w:id="6"/>
      <w:bookmarkEnd w:id="6"/>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spacing w:line="360" w:lineRule="auto"/>
        <w:jc w:val="both"/>
        <w:rPr>
          <w:rFonts w:ascii="Times New Roman" w:cs="Times New Roman" w:eastAsia="Times New Roman" w:hAnsi="Times New Roman"/>
          <w:b w:val="1"/>
          <w:sz w:val="24"/>
          <w:szCs w:val="24"/>
        </w:rPr>
      </w:pPr>
      <w:bookmarkStart w:colFirst="0" w:colLast="0" w:name="_1t3h5sf" w:id="7"/>
      <w:bookmarkEnd w:id="7"/>
      <w:r w:rsidDel="00000000" w:rsidR="00000000" w:rsidRPr="00000000">
        <w:rPr>
          <w:rFonts w:ascii="Times New Roman" w:cs="Times New Roman" w:eastAsia="Times New Roman" w:hAnsi="Times New Roman"/>
          <w:b w:val="1"/>
          <w:sz w:val="24"/>
          <w:szCs w:val="24"/>
          <w:rtl w:val="0"/>
        </w:rPr>
        <w:t xml:space="preserve">Component 2: Report</w:t>
      </w:r>
    </w:p>
    <w:p w:rsidR="00000000" w:rsidDel="00000000" w:rsidP="00000000" w:rsidRDefault="00000000" w:rsidRPr="00000000" w14:paraId="00000037">
      <w:pPr>
        <w:pStyle w:val="Heading1"/>
        <w:spacing w:line="360" w:lineRule="auto"/>
        <w:jc w:val="both"/>
        <w:rPr>
          <w:rFonts w:ascii="Times New Roman" w:cs="Times New Roman" w:eastAsia="Times New Roman" w:hAnsi="Times New Roman"/>
          <w:b w:val="1"/>
          <w:sz w:val="24"/>
          <w:szCs w:val="24"/>
        </w:rPr>
      </w:pPr>
      <w:bookmarkStart w:colFirst="0" w:colLast="0" w:name="_4d34og8" w:id="8"/>
      <w:bookmarkEnd w:id="8"/>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global energy sector also termed global energy as a service (EaaS) is observed to be one of the major growing sectors worldwide. The demand for conventional energy sources has entailed advancement and improvisation along with growth in the EaaS. Reportedly, the present market acquisition is around US 64.34billion and is expected to flourish to around US$ 147 billion by 2029 (SpendEdge. 2022). The expected CAGR is forecasted to be around 11.1%. EaaS being a commercial sector is found to be suffering several challenges in the present loop. These challenges are mainstreaming of energies, new investments, carbon emission, sustainable fuelling and many more. Of these issues, carbon emission is observed to be the top most crucial one that needs to be concerned a priory. Due to Covid19, there was a vast decline in emissions due to the worldwide lockdown but again it fired up in 2021. Major carbon emission has been observed in heat production as well as in electricity generation services. This indicates an overall emission of 900 Mt. reportedly, 46% of global emission is due to the burning of fossil fuels to meet electricity demand. The scope has been found in three factors where the first scope marks emission through controlled sources, secondly through purchased electricity generation and lastly from value chains of companies. Of the impacts it could be marked that global emission is causing climatic destruction, imbalance in the ecosystem, disruption in the food supply as well as increased wildfires are causing biodiversity loss. </w:t>
      </w:r>
    </w:p>
    <w:p w:rsidR="00000000" w:rsidDel="00000000" w:rsidP="00000000" w:rsidRDefault="00000000" w:rsidRPr="00000000" w14:paraId="00000039">
      <w:pPr>
        <w:pStyle w:val="Heading1"/>
        <w:spacing w:line="360" w:lineRule="auto"/>
        <w:jc w:val="both"/>
        <w:rPr>
          <w:rFonts w:ascii="Times New Roman" w:cs="Times New Roman" w:eastAsia="Times New Roman" w:hAnsi="Times New Roman"/>
          <w:b w:val="1"/>
          <w:sz w:val="24"/>
          <w:szCs w:val="24"/>
        </w:rPr>
      </w:pPr>
      <w:bookmarkStart w:colFirst="0" w:colLast="0" w:name="_2s8eyo1" w:id="9"/>
      <w:bookmarkEnd w:id="9"/>
      <w:r w:rsidDel="00000000" w:rsidR="00000000" w:rsidRPr="00000000">
        <w:rPr>
          <w:rFonts w:ascii="Times New Roman" w:cs="Times New Roman" w:eastAsia="Times New Roman" w:hAnsi="Times New Roman"/>
          <w:b w:val="1"/>
          <w:sz w:val="24"/>
          <w:szCs w:val="24"/>
          <w:rtl w:val="0"/>
        </w:rPr>
        <w:t xml:space="preserve">SWOT analysis of the energy sector</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514"/>
        <w:gridCol w:w="4515"/>
        <w:tblGridChange w:id="0">
          <w:tblGrid>
            <w:gridCol w:w="4514"/>
            <w:gridCol w:w="45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Weaknesses</w:t>
            </w:r>
          </w:p>
        </w:tc>
      </w:tr>
      <w:tr>
        <w:trPr>
          <w:cantSplit w:val="0"/>
          <w:trHeight w:val="1509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3C">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rise in investment in renewable energy generation is the key factor in the energy sector that could engage sustainability (Ritchie et al., 2022).</w:t>
            </w:r>
          </w:p>
          <w:p w:rsidR="00000000" w:rsidDel="00000000" w:rsidP="00000000" w:rsidRDefault="00000000" w:rsidRPr="00000000" w14:paraId="0000003D">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Technologically boosted infrastructure with modern facilities could engage sustainable performance and efficiency in energy consumption.</w:t>
            </w:r>
          </w:p>
          <w:p w:rsidR="00000000" w:rsidDel="00000000" w:rsidP="00000000" w:rsidRDefault="00000000" w:rsidRPr="00000000" w14:paraId="0000003E">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Reportedly, the adaption of energy-efficient technology is growing rapidlyin terms of professional and personal usage.</w:t>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of energy demand from the evolving industrialisation and energy-hungry population is contemporarily inefficient to match the available energy resource. </w:t>
            </w:r>
          </w:p>
          <w:p w:rsidR="00000000" w:rsidDel="00000000" w:rsidP="00000000" w:rsidRDefault="00000000" w:rsidRPr="00000000" w14:paraId="00000040">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Electric grids are hiking in cost and installation purposes are going through many issues in terms of placement and maintenance.</w:t>
            </w:r>
          </w:p>
          <w:p w:rsidR="00000000" w:rsidDel="00000000" w:rsidP="00000000" w:rsidRDefault="00000000" w:rsidRPr="00000000" w14:paraId="00000041">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employee attrition level in the energy sector is reportedly above 10% which is a sign of lacking talent and skills in the energy sector (Ritchie et al., 2022).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4">
            <w:pPr>
              <w:widowControl w:val="0"/>
              <w:numPr>
                <w:ilvl w:val="0"/>
                <w:numId w:val="8"/>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rate in exchange &amp; data collection is paving good signs for the energy sector by providing opportunities to new industries for conventional shifting.</w:t>
            </w:r>
          </w:p>
          <w:p w:rsidR="00000000" w:rsidDel="00000000" w:rsidP="00000000" w:rsidRDefault="00000000" w:rsidRPr="00000000" w14:paraId="00000045">
            <w:pPr>
              <w:widowControl w:val="0"/>
              <w:numPr>
                <w:ilvl w:val="0"/>
                <w:numId w:val="8"/>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Increment in tax incentives for automobiles that run on energy-efficient mechanisms.</w:t>
            </w:r>
          </w:p>
          <w:p w:rsidR="00000000" w:rsidDel="00000000" w:rsidP="00000000" w:rsidRDefault="00000000" w:rsidRPr="00000000" w14:paraId="00000046">
            <w:pPr>
              <w:widowControl w:val="0"/>
              <w:numPr>
                <w:ilvl w:val="0"/>
                <w:numId w:val="8"/>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opportunity is due to the bans that have now been lifted from off-shore drilling (Ritchie et al., 2022).</w:t>
            </w:r>
          </w:p>
          <w:p w:rsidR="00000000" w:rsidDel="00000000" w:rsidP="00000000" w:rsidRDefault="00000000" w:rsidRPr="00000000" w14:paraId="00000047">
            <w:pPr>
              <w:widowControl w:val="0"/>
              <w:numPr>
                <w:ilvl w:val="0"/>
                <w:numId w:val="8"/>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Seasonal increments in sunny days count for better growth for solar-powered sources. </w:t>
            </w:r>
          </w:p>
        </w:tc>
        <w:tc>
          <w:tcPr>
            <w:shd w:fill="auto" w:val="clear"/>
            <w:tcMar>
              <w:top w:w="100.0" w:type="dxa"/>
              <w:left w:w="100.0" w:type="dxa"/>
              <w:bottom w:w="100.0" w:type="dxa"/>
              <w:right w:w="100.0" w:type="dxa"/>
            </w:tcMar>
          </w:tcPr>
          <w:p w:rsidR="00000000" w:rsidDel="00000000" w:rsidP="00000000" w:rsidRDefault="00000000" w:rsidRPr="00000000" w14:paraId="00000048">
            <w:pPr>
              <w:widowControl w:val="0"/>
              <w:numPr>
                <w:ilvl w:val="0"/>
                <w:numId w:val="10"/>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Efficiency &amp; cost competitiveness is a radical phase for companies in the energy sector. </w:t>
            </w:r>
          </w:p>
          <w:p w:rsidR="00000000" w:rsidDel="00000000" w:rsidP="00000000" w:rsidRDefault="00000000" w:rsidRPr="00000000" w14:paraId="00000049">
            <w:pPr>
              <w:widowControl w:val="0"/>
              <w:numPr>
                <w:ilvl w:val="0"/>
                <w:numId w:val="10"/>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 are more often experienced due to emerging compliance &amp; regulatory risks.</w:t>
            </w:r>
          </w:p>
          <w:p w:rsidR="00000000" w:rsidDel="00000000" w:rsidP="00000000" w:rsidRDefault="00000000" w:rsidRPr="00000000" w14:paraId="0000004A">
            <w:pPr>
              <w:widowControl w:val="0"/>
              <w:numPr>
                <w:ilvl w:val="0"/>
                <w:numId w:val="10"/>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Uncertainty in carbon pricing &amp; climate policies.</w:t>
            </w:r>
          </w:p>
          <w:p w:rsidR="00000000" w:rsidDel="00000000" w:rsidP="00000000" w:rsidRDefault="00000000" w:rsidRPr="00000000" w14:paraId="0000004B">
            <w:pPr>
              <w:widowControl w:val="0"/>
              <w:numPr>
                <w:ilvl w:val="0"/>
                <w:numId w:val="10"/>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Volatility in commodity pricing is also a major threat to the energy sector. </w:t>
            </w:r>
          </w:p>
        </w:tc>
      </w:tr>
    </w:tbl>
    <w:p w:rsidR="00000000" w:rsidDel="00000000" w:rsidP="00000000" w:rsidRDefault="00000000" w:rsidRPr="00000000" w14:paraId="0000004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D">
      <w:pPr>
        <w:pStyle w:val="Heading1"/>
        <w:spacing w:line="360" w:lineRule="auto"/>
        <w:jc w:val="both"/>
        <w:rPr>
          <w:rFonts w:ascii="Times New Roman" w:cs="Times New Roman" w:eastAsia="Times New Roman" w:hAnsi="Times New Roman"/>
          <w:b w:val="1"/>
          <w:sz w:val="24"/>
          <w:szCs w:val="24"/>
        </w:rPr>
      </w:pPr>
      <w:bookmarkStart w:colFirst="0" w:colLast="0" w:name="_17dp8vu" w:id="10"/>
      <w:bookmarkEnd w:id="10"/>
      <w:r w:rsidDel="00000000" w:rsidR="00000000" w:rsidRPr="00000000">
        <w:rPr>
          <w:rFonts w:ascii="Times New Roman" w:cs="Times New Roman" w:eastAsia="Times New Roman" w:hAnsi="Times New Roman"/>
          <w:b w:val="1"/>
          <w:sz w:val="24"/>
          <w:szCs w:val="24"/>
          <w:rtl w:val="0"/>
        </w:rPr>
        <w:t xml:space="preserve">PESTEL analysis of the energy sector</w:t>
      </w:r>
    </w:p>
    <w:tbl>
      <w:tblPr>
        <w:tblStyle w:val="Table2"/>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190"/>
        <w:gridCol w:w="3439"/>
        <w:gridCol w:w="3386"/>
        <w:tblGridChange w:id="0">
          <w:tblGrid>
            <w:gridCol w:w="2190"/>
            <w:gridCol w:w="3439"/>
            <w:gridCol w:w="338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Factors</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Analysis</w:t>
            </w:r>
          </w:p>
        </w:tc>
        <w:tc>
          <w:tcPr>
            <w:shd w:fill="auto"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w:t>
            </w:r>
          </w:p>
        </w:tc>
      </w:tr>
      <w:tr>
        <w:trPr>
          <w:cantSplit w:val="0"/>
          <w:trHeight w:val="8425.07812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Political</w:t>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Reportedly the federal government pours contribution to energy investment as they grant access to the power resources </w:t>
            </w:r>
          </w:p>
          <w:p w:rsidR="00000000" w:rsidDel="00000000" w:rsidP="00000000" w:rsidRDefault="00000000" w:rsidRPr="00000000" w14:paraId="00000053">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Presently, every developing nation is rendering focus on emission issues (Andriuškevičiusn and Štreimikienė, 2021, p. 2158).</w:t>
            </w:r>
          </w:p>
          <w:p w:rsidR="00000000" w:rsidDel="00000000" w:rsidP="00000000" w:rsidRDefault="00000000" w:rsidRPr="00000000" w14:paraId="00000054">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Roadways, waterways, and dam constructions are majorly being entailed by government panels to support subsidising exploration. </w:t>
            </w:r>
          </w:p>
        </w:tc>
        <w:tc>
          <w:tcPr>
            <w:shd w:fill="auto" w:val="clear"/>
            <w:tcMar>
              <w:top w:w="100.0" w:type="dxa"/>
              <w:left w:w="100.0" w:type="dxa"/>
              <w:bottom w:w="100.0" w:type="dxa"/>
              <w:right w:w="100.0" w:type="dxa"/>
            </w:tcMar>
          </w:tcPr>
          <w:p w:rsidR="00000000" w:rsidDel="00000000" w:rsidP="00000000" w:rsidRDefault="00000000" w:rsidRPr="00000000" w14:paraId="00000055">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Political bodies such as UNDP are now highly concerned about emission issues worldwide (Andriuškevičiusn and Štreimikienė, 2021, p. 2158). Reportedly, higher concerns are given to the commencement of SDG-7 globally to commit access, reliability and sustainability to the energy sector.</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Economical </w:t>
            </w:r>
          </w:p>
        </w:tc>
        <w:tc>
          <w:tcPr>
            <w:shd w:fill="auto" w:val="clear"/>
            <w:tcMar>
              <w:top w:w="100.0" w:type="dxa"/>
              <w:left w:w="100.0" w:type="dxa"/>
              <w:bottom w:w="100.0" w:type="dxa"/>
              <w:right w:w="100.0" w:type="dxa"/>
            </w:tcMar>
          </w:tcPr>
          <w:p w:rsidR="00000000" w:rsidDel="00000000" w:rsidP="00000000" w:rsidRDefault="00000000" w:rsidRPr="00000000" w14:paraId="00000057">
            <w:pPr>
              <w:widowControl w:val="0"/>
              <w:numPr>
                <w:ilvl w:val="0"/>
                <w:numId w:val="1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Globally energy corporations are responsible for producing business and supply of energy resources.</w:t>
            </w:r>
          </w:p>
          <w:p w:rsidR="00000000" w:rsidDel="00000000" w:rsidP="00000000" w:rsidRDefault="00000000" w:rsidRPr="00000000" w14:paraId="00000058">
            <w:pPr>
              <w:widowControl w:val="0"/>
              <w:numPr>
                <w:ilvl w:val="0"/>
                <w:numId w:val="1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transport, residential, commercial and industrial businesses are involved in the energy economy </w:t>
            </w:r>
          </w:p>
          <w:p w:rsidR="00000000" w:rsidDel="00000000" w:rsidP="00000000" w:rsidRDefault="00000000" w:rsidRPr="00000000" w14:paraId="00000059">
            <w:pPr>
              <w:widowControl w:val="0"/>
              <w:numPr>
                <w:ilvl w:val="0"/>
                <w:numId w:val="1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Nearly 12 million people are engaged in the energy sector globally.</w:t>
            </w:r>
          </w:p>
        </w:tc>
        <w:tc>
          <w:tcPr>
            <w:shd w:fill="auto" w:val="clear"/>
            <w:tcMar>
              <w:top w:w="100.0" w:type="dxa"/>
              <w:left w:w="100.0" w:type="dxa"/>
              <w:bottom w:w="100.0" w:type="dxa"/>
              <w:right w:w="100.0" w:type="dxa"/>
            </w:tcMar>
          </w:tcPr>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Nearly, 12 million people are presently engaged within the energy sector globally. It is expected that more people in the coming period would be hired for the development of the energy sector to achieve emission reduction and more production of technology-based energy products. The global GDP is about 13% being contributed by the energy sector and with the inclusion of advanced technology in energy generation it would gradually grow to favour more economic growth (Bloomberg.com. 2022).</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Socio-cultural</w:t>
            </w:r>
          </w:p>
        </w:tc>
        <w:tc>
          <w:tcPr>
            <w:shd w:fill="auto" w:val="clear"/>
            <w:tcMar>
              <w:top w:w="100.0" w:type="dxa"/>
              <w:left w:w="100.0" w:type="dxa"/>
              <w:bottom w:w="100.0" w:type="dxa"/>
              <w:right w:w="100.0" w:type="dxa"/>
            </w:tcMar>
          </w:tcPr>
          <w:p w:rsidR="00000000" w:rsidDel="00000000" w:rsidP="00000000" w:rsidRDefault="00000000" w:rsidRPr="00000000" w14:paraId="0000005D">
            <w:pPr>
              <w:widowControl w:val="0"/>
              <w:numPr>
                <w:ilvl w:val="0"/>
                <w:numId w:val="7"/>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Energy consumption has been reduced since 2019 by 3.1% globally.</w:t>
            </w:r>
          </w:p>
          <w:p w:rsidR="00000000" w:rsidDel="00000000" w:rsidP="00000000" w:rsidRDefault="00000000" w:rsidRPr="00000000" w14:paraId="0000005E">
            <w:pPr>
              <w:widowControl w:val="0"/>
              <w:numPr>
                <w:ilvl w:val="0"/>
                <w:numId w:val="7"/>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social terms, the energy consumption based on oil is around 2.5 gallons per capita usage (Robinson et al., 2022, p. 60).</w:t>
            </w:r>
          </w:p>
          <w:p w:rsidR="00000000" w:rsidDel="00000000" w:rsidP="00000000" w:rsidRDefault="00000000" w:rsidRPr="00000000" w14:paraId="0000005F">
            <w:pPr>
              <w:widowControl w:val="0"/>
              <w:numPr>
                <w:ilvl w:val="0"/>
                <w:numId w:val="7"/>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Electricity consumption has been estimated at around 12kWh per person in today's period. </w:t>
            </w:r>
          </w:p>
        </w:tc>
        <w:tc>
          <w:tcPr>
            <w:shd w:fill="auto" w:val="clear"/>
            <w:tcMar>
              <w:top w:w="100.0" w:type="dxa"/>
              <w:left w:w="100.0" w:type="dxa"/>
              <w:bottom w:w="100.0" w:type="dxa"/>
              <w:right w:w="100.0" w:type="dxa"/>
            </w:tcMar>
          </w:tcPr>
          <w:p w:rsidR="00000000" w:rsidDel="00000000" w:rsidP="00000000" w:rsidRDefault="00000000" w:rsidRPr="00000000" w14:paraId="00000060">
            <w:pPr>
              <w:widowControl w:val="0"/>
              <w:numPr>
                <w:ilvl w:val="0"/>
                <w:numId w:val="5"/>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Although people are becoming more concerned with time, the demand for non-conventional fuel is higher as they are providing more efficient performance to consumers (Romero-Castro et al., 2022, p. 1234). Therefore, technology enhancement requires more access to perceive a higher rate of emission reduction.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Technological </w:t>
            </w:r>
          </w:p>
        </w:tc>
        <w:tc>
          <w:tcPr>
            <w:shd w:fill="auto" w:val="clear"/>
            <w:tcMar>
              <w:top w:w="100.0" w:type="dxa"/>
              <w:left w:w="100.0" w:type="dxa"/>
              <w:bottom w:w="100.0" w:type="dxa"/>
              <w:right w:w="100.0" w:type="dxa"/>
            </w:tcMar>
          </w:tcPr>
          <w:p w:rsidR="00000000" w:rsidDel="00000000" w:rsidP="00000000" w:rsidRDefault="00000000" w:rsidRPr="00000000" w14:paraId="00000062">
            <w:pPr>
              <w:widowControl w:val="0"/>
              <w:numPr>
                <w:ilvl w:val="0"/>
                <w:numId w:val="6"/>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market trend the technology aspect has rapidly grown in the energy sector paving the way towards efficiency and sustainability (Robinson et al., 2022, p. 60).</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Reportedly, the present emission status has been reduced by 8% due to digital solution engagement.</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 reuse and recycle phenomenon has been widely accepted in today's generation to combat emission issues in the energy sector. </w:t>
            </w:r>
          </w:p>
        </w:tc>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technology sector is deliberately involved in the energy sector for mutual growth. This has been experienced as a better idea as both industries could raise global economic, and skilling abilities as well as contribute to achieving sustainability targets for emission issues.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w:t>
            </w:r>
          </w:p>
        </w:tc>
        <w:tc>
          <w:tcPr>
            <w:shd w:fill="auto" w:val="clear"/>
            <w:tcMar>
              <w:top w:w="100.0" w:type="dxa"/>
              <w:left w:w="100.0" w:type="dxa"/>
              <w:bottom w:w="100.0" w:type="dxa"/>
              <w:right w:w="100.0" w:type="dxa"/>
            </w:tcMar>
          </w:tcPr>
          <w:p w:rsidR="00000000" w:rsidDel="00000000" w:rsidP="00000000" w:rsidRDefault="00000000" w:rsidRPr="00000000" w14:paraId="00000067">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cost of energy purchasing and taxation are being regulated strictly worldwide to secure consumption rates and manage public utilities.</w:t>
            </w:r>
          </w:p>
          <w:p w:rsidR="00000000" w:rsidDel="00000000" w:rsidP="00000000" w:rsidRDefault="00000000" w:rsidRPr="00000000" w14:paraId="00000068">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Energy policies based on production and distribution are assisting firms to grow conservative actions such as reducing pollution, minimising foreign supplies and cost-cut (</w:t>
            </w:r>
            <w:r w:rsidDel="00000000" w:rsidR="00000000" w:rsidRPr="00000000">
              <w:rPr>
                <w:rFonts w:ascii="Times New Roman" w:cs="Times New Roman" w:eastAsia="Times New Roman" w:hAnsi="Times New Roman"/>
                <w:color w:val="222222"/>
                <w:sz w:val="24"/>
                <w:szCs w:val="24"/>
                <w:highlight w:val="white"/>
                <w:rtl w:val="0"/>
              </w:rPr>
              <w:t xml:space="preserve">Andriuškevičiusn and Štreimikienė, 2021, p. 2158</w:t>
            </w:r>
            <w:r w:rsidDel="00000000" w:rsidR="00000000" w:rsidRPr="00000000">
              <w:rPr>
                <w:rFonts w:ascii="Times New Roman" w:cs="Times New Roman" w:eastAsia="Times New Roman" w:hAnsi="Times New Roman"/>
                <w:sz w:val="24"/>
                <w:szCs w:val="24"/>
                <w:rtl w:val="0"/>
              </w:rPr>
              <w:t xml:space="preserve">). </w:t>
            </w:r>
          </w:p>
        </w:tc>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bodies such as Ofgem, FERC, ECRA, CEER and many other global energy corporations could come forwards together with a universal plan to commence strict regulations based on energy consumption for both professional and personal usage (Andriuškevičiusn and Štreimikienė, 2021, p. 2158).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Environmental</w:t>
            </w:r>
          </w:p>
        </w:tc>
        <w:tc>
          <w:tcPr>
            <w:shd w:fill="auto" w:val="clear"/>
            <w:tcMar>
              <w:top w:w="100.0" w:type="dxa"/>
              <w:left w:w="100.0" w:type="dxa"/>
              <w:bottom w:w="100.0" w:type="dxa"/>
              <w:right w:w="100.0" w:type="dxa"/>
            </w:tcMar>
          </w:tcPr>
          <w:p w:rsidR="00000000" w:rsidDel="00000000" w:rsidP="00000000" w:rsidRDefault="00000000" w:rsidRPr="00000000" w14:paraId="0000006B">
            <w:pPr>
              <w:widowControl w:val="0"/>
              <w:numPr>
                <w:ilvl w:val="0"/>
                <w:numId w:val="9"/>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Presently the energy sector is causing 24.2% of the emission through industrialisation (</w:t>
            </w:r>
            <w:r w:rsidDel="00000000" w:rsidR="00000000" w:rsidRPr="00000000">
              <w:rPr>
                <w:rFonts w:ascii="Times New Roman" w:cs="Times New Roman" w:eastAsia="Times New Roman" w:hAnsi="Times New Roman"/>
                <w:sz w:val="24"/>
                <w:szCs w:val="24"/>
                <w:highlight w:val="white"/>
                <w:rtl w:val="0"/>
              </w:rPr>
              <w:t xml:space="preserve">Center for Sustainable Systems.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C">
            <w:pPr>
              <w:widowControl w:val="0"/>
              <w:numPr>
                <w:ilvl w:val="0"/>
                <w:numId w:val="9"/>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Nearly 35% of the energy corporations worldwide are now planning to firmly induce environmentally friendly concepts of devising energy generation.</w:t>
            </w:r>
          </w:p>
          <w:p w:rsidR="00000000" w:rsidDel="00000000" w:rsidP="00000000" w:rsidRDefault="00000000" w:rsidRPr="00000000" w14:paraId="0000006D">
            <w:pPr>
              <w:widowControl w:val="0"/>
              <w:numPr>
                <w:ilvl w:val="0"/>
                <w:numId w:val="9"/>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rate of electrical emission is about 60% due to fossil fueling, coaling &amp; natural gas consumption. </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 drawback being experienced by biodiversity today is because of the emission rise globally. More awareness work, corporate shifting and recycling processes are needed to be engaged through regulations that could counter environmental hazards and minimise emission causes through eco-friendly installations.  </w:t>
            </w:r>
          </w:p>
        </w:tc>
      </w:tr>
    </w:tbl>
    <w:p w:rsidR="00000000" w:rsidDel="00000000" w:rsidP="00000000" w:rsidRDefault="00000000" w:rsidRPr="00000000" w14:paraId="0000006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pStyle w:val="Heading1"/>
        <w:spacing w:line="360" w:lineRule="auto"/>
        <w:jc w:val="both"/>
        <w:rPr>
          <w:rFonts w:ascii="Times New Roman" w:cs="Times New Roman" w:eastAsia="Times New Roman" w:hAnsi="Times New Roman"/>
          <w:b w:val="1"/>
          <w:sz w:val="24"/>
          <w:szCs w:val="24"/>
        </w:rPr>
      </w:pPr>
      <w:bookmarkStart w:colFirst="0" w:colLast="0" w:name="_3rdcrjn" w:id="11"/>
      <w:bookmarkEnd w:id="11"/>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71">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opined by Dincer and Acar, (2018, p. 8583), the energy sector has been at the centre of focus in recent times due to the extensive emphasis of global institutions and regional governments regarding carbon emission norms. Optimization of processes and involvement in CSR-related activities have not proven much beneficial for the companies involved in the sector. The rise in </w:t>
      </w:r>
      <w:r w:rsidDel="00000000" w:rsidR="00000000" w:rsidRPr="00000000">
        <w:rPr>
          <w:rFonts w:ascii="Times New Roman" w:cs="Times New Roman" w:eastAsia="Times New Roman" w:hAnsi="Times New Roman"/>
          <w:i w:val="1"/>
          <w:color w:val="0e101a"/>
          <w:sz w:val="24"/>
          <w:szCs w:val="24"/>
          <w:rtl w:val="0"/>
        </w:rPr>
        <w:t xml:space="preserve">new investment pools in renewable energy </w:t>
      </w:r>
      <w:r w:rsidDel="00000000" w:rsidR="00000000" w:rsidRPr="00000000">
        <w:rPr>
          <w:rFonts w:ascii="Times New Roman" w:cs="Times New Roman" w:eastAsia="Times New Roman" w:hAnsi="Times New Roman"/>
          <w:color w:val="0e101a"/>
          <w:sz w:val="24"/>
          <w:szCs w:val="24"/>
          <w:rtl w:val="0"/>
        </w:rPr>
        <w:t xml:space="preserve">can be viewed as an optimal long-term sustainable strategy of growth. Moreover, shifting the focus of the business from high-carbon emission fuels to less polluting fuels like solar, wind or thermal energy can assist the sector in tackling the issue. A major overhaul in sourcing practices is required for the efficient adoption of this strategy in the EaaS sector. According to Lorente </w:t>
      </w:r>
      <w:r w:rsidDel="00000000" w:rsidR="00000000" w:rsidRPr="00000000">
        <w:rPr>
          <w:rFonts w:ascii="Times New Roman" w:cs="Times New Roman" w:eastAsia="Times New Roman" w:hAnsi="Times New Roman"/>
          <w:i w:val="1"/>
          <w:color w:val="0e101a"/>
          <w:sz w:val="24"/>
          <w:szCs w:val="24"/>
          <w:rtl w:val="0"/>
        </w:rPr>
        <w:t xml:space="preserve">et al</w:t>
      </w:r>
      <w:r w:rsidDel="00000000" w:rsidR="00000000" w:rsidRPr="00000000">
        <w:rPr>
          <w:rFonts w:ascii="Times New Roman" w:cs="Times New Roman" w:eastAsia="Times New Roman" w:hAnsi="Times New Roman"/>
          <w:color w:val="0e101a"/>
          <w:sz w:val="24"/>
          <w:szCs w:val="24"/>
          <w:rtl w:val="0"/>
        </w:rPr>
        <w:t xml:space="preserve">., (2021, p. 6943), emission issues have been the major focus of global institutions like UNDP, therefore creation of strategies that assist in their mitigation or reduction is significant. Adhering to a </w:t>
      </w:r>
      <w:r w:rsidDel="00000000" w:rsidR="00000000" w:rsidRPr="00000000">
        <w:rPr>
          <w:rFonts w:ascii="Times New Roman" w:cs="Times New Roman" w:eastAsia="Times New Roman" w:hAnsi="Times New Roman"/>
          <w:i w:val="1"/>
          <w:color w:val="0e101a"/>
          <w:sz w:val="24"/>
          <w:szCs w:val="24"/>
          <w:rtl w:val="0"/>
        </w:rPr>
        <w:t xml:space="preserve">systematic emission reduction plan </w:t>
      </w:r>
      <w:r w:rsidDel="00000000" w:rsidR="00000000" w:rsidRPr="00000000">
        <w:rPr>
          <w:rFonts w:ascii="Times New Roman" w:cs="Times New Roman" w:eastAsia="Times New Roman" w:hAnsi="Times New Roman"/>
          <w:color w:val="0e101a"/>
          <w:sz w:val="24"/>
          <w:szCs w:val="24"/>
          <w:rtl w:val="0"/>
        </w:rPr>
        <w:t xml:space="preserve">combined with </w:t>
      </w:r>
      <w:r w:rsidDel="00000000" w:rsidR="00000000" w:rsidRPr="00000000">
        <w:rPr>
          <w:rFonts w:ascii="Times New Roman" w:cs="Times New Roman" w:eastAsia="Times New Roman" w:hAnsi="Times New Roman"/>
          <w:i w:val="1"/>
          <w:color w:val="0e101a"/>
          <w:sz w:val="24"/>
          <w:szCs w:val="24"/>
          <w:rtl w:val="0"/>
        </w:rPr>
        <w:t xml:space="preserve">a gradual transfer of energy portfolios</w:t>
      </w:r>
      <w:r w:rsidDel="00000000" w:rsidR="00000000" w:rsidRPr="00000000">
        <w:rPr>
          <w:rFonts w:ascii="Times New Roman" w:cs="Times New Roman" w:eastAsia="Times New Roman" w:hAnsi="Times New Roman"/>
          <w:color w:val="0e101a"/>
          <w:sz w:val="24"/>
          <w:szCs w:val="24"/>
          <w:rtl w:val="0"/>
        </w:rPr>
        <w:t xml:space="preserve"> over the period of the next ten to fifteen years is a viable strategic development for the EaaS sector. Other issues related to volatility in prices or uncertainty in consumer demands can be tackled through strategic management of resources. According to Heffron, (2018, p. 192), price volatility is a common phenomenon in the EaaS sector, due to less control over its dynamics firms involved in the sector have little to contribute. However, envisioning </w:t>
      </w:r>
      <w:r w:rsidDel="00000000" w:rsidR="00000000" w:rsidRPr="00000000">
        <w:rPr>
          <w:rFonts w:ascii="Times New Roman" w:cs="Times New Roman" w:eastAsia="Times New Roman" w:hAnsi="Times New Roman"/>
          <w:i w:val="1"/>
          <w:color w:val="0e101a"/>
          <w:sz w:val="24"/>
          <w:szCs w:val="24"/>
          <w:rtl w:val="0"/>
        </w:rPr>
        <w:t xml:space="preserve">long-term contracts with suppliers and refineries</w:t>
      </w:r>
      <w:r w:rsidDel="00000000" w:rsidR="00000000" w:rsidRPr="00000000">
        <w:rPr>
          <w:rFonts w:ascii="Times New Roman" w:cs="Times New Roman" w:eastAsia="Times New Roman" w:hAnsi="Times New Roman"/>
          <w:color w:val="0e101a"/>
          <w:sz w:val="24"/>
          <w:szCs w:val="24"/>
          <w:rtl w:val="0"/>
        </w:rPr>
        <w:t xml:space="preserve"> can be an advantage for the EaaS sector. In this manner, the firms can ensure that they can encompass the volatile dynamics of price and consumption within their operations. Continuing in the same vein, employee attrition rates in the sector have been hovering over 10%. The availability of a skilled workforce can be ensured through </w:t>
      </w:r>
      <w:r w:rsidDel="00000000" w:rsidR="00000000" w:rsidRPr="00000000">
        <w:rPr>
          <w:rFonts w:ascii="Times New Roman" w:cs="Times New Roman" w:eastAsia="Times New Roman" w:hAnsi="Times New Roman"/>
          <w:i w:val="1"/>
          <w:color w:val="0e101a"/>
          <w:sz w:val="24"/>
          <w:szCs w:val="24"/>
          <w:rtl w:val="0"/>
        </w:rPr>
        <w:t xml:space="preserve">the incorporation of training and management practices for the community</w:t>
      </w:r>
      <w:r w:rsidDel="00000000" w:rsidR="00000000" w:rsidRPr="00000000">
        <w:rPr>
          <w:rFonts w:ascii="Times New Roman" w:cs="Times New Roman" w:eastAsia="Times New Roman" w:hAnsi="Times New Roman"/>
          <w:color w:val="0e101a"/>
          <w:sz w:val="24"/>
          <w:szCs w:val="24"/>
          <w:rtl w:val="0"/>
        </w:rPr>
        <w:t xml:space="preserve">. In this way, the firms involved in the EaaS sector can envision inclusive growth through the development of employment among the local community. Moreover, it can also be beneficial for their brand image and CSR activities.</w:t>
      </w:r>
    </w:p>
    <w:p w:rsidR="00000000" w:rsidDel="00000000" w:rsidP="00000000" w:rsidRDefault="00000000" w:rsidRPr="00000000" w14:paraId="00000072">
      <w:pPr>
        <w:pStyle w:val="Heading1"/>
        <w:spacing w:line="360" w:lineRule="auto"/>
        <w:jc w:val="both"/>
        <w:rPr>
          <w:rFonts w:ascii="Times New Roman" w:cs="Times New Roman" w:eastAsia="Times New Roman" w:hAnsi="Times New Roman"/>
          <w:b w:val="1"/>
          <w:sz w:val="24"/>
          <w:szCs w:val="24"/>
        </w:rPr>
      </w:pPr>
      <w:bookmarkStart w:colFirst="0" w:colLast="0" w:name="_26in1rg" w:id="12"/>
      <w:bookmarkEnd w:id="12"/>
      <w:r w:rsidDel="00000000" w:rsidR="00000000" w:rsidRPr="00000000">
        <w:rPr>
          <w:rFonts w:ascii="Times New Roman" w:cs="Times New Roman" w:eastAsia="Times New Roman" w:hAnsi="Times New Roman"/>
          <w:b w:val="1"/>
          <w:sz w:val="24"/>
          <w:szCs w:val="24"/>
          <w:rtl w:val="0"/>
        </w:rPr>
        <w:t xml:space="preserve">Decision-Making Matrix</w:t>
      </w:r>
    </w:p>
    <w:p w:rsidR="00000000" w:rsidDel="00000000" w:rsidP="00000000" w:rsidRDefault="00000000" w:rsidRPr="00000000" w14:paraId="00000073">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As opined by Khan </w:t>
      </w:r>
      <w:r w:rsidDel="00000000" w:rsidR="00000000" w:rsidRPr="00000000">
        <w:rPr>
          <w:rFonts w:ascii="Times New Roman" w:cs="Times New Roman" w:eastAsia="Times New Roman" w:hAnsi="Times New Roman"/>
          <w:i w:val="1"/>
          <w:color w:val="0e101a"/>
          <w:sz w:val="24"/>
          <w:szCs w:val="24"/>
          <w:rtl w:val="0"/>
        </w:rPr>
        <w:t xml:space="preserve">et al</w:t>
      </w:r>
      <w:r w:rsidDel="00000000" w:rsidR="00000000" w:rsidRPr="00000000">
        <w:rPr>
          <w:rFonts w:ascii="Times New Roman" w:cs="Times New Roman" w:eastAsia="Times New Roman" w:hAnsi="Times New Roman"/>
          <w:color w:val="0e101a"/>
          <w:sz w:val="24"/>
          <w:szCs w:val="24"/>
          <w:rtl w:val="0"/>
        </w:rPr>
        <w:t xml:space="preserve">., (2020, p. 2115), a decision-making matrix prioritizes and evaluates several options and is considered a decision-making tool. The purpose of this decision-making matrix is to evaluate the intricacies of a situation and arrive at a conclusive decision after assessment. </w:t>
      </w:r>
    </w:p>
    <w:p w:rsidR="00000000" w:rsidDel="00000000" w:rsidP="00000000" w:rsidRDefault="00000000" w:rsidRPr="00000000" w14:paraId="0000007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731200" cy="5080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Problem-selection matrix depicting solution configuration process of EaaS sector issue</w:t>
      </w:r>
    </w:p>
    <w:p w:rsidR="00000000" w:rsidDel="00000000" w:rsidP="00000000" w:rsidRDefault="00000000" w:rsidRPr="00000000" w14:paraId="0000007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Developed by the author)</w:t>
      </w:r>
    </w:p>
    <w:p w:rsidR="00000000" w:rsidDel="00000000" w:rsidP="00000000" w:rsidRDefault="00000000" w:rsidRPr="00000000" w14:paraId="00000078">
      <w:pPr>
        <w:spacing w:line="360" w:lineRule="auto"/>
        <w:jc w:val="center"/>
        <w:rPr>
          <w:rFonts w:ascii="Times New Roman" w:cs="Times New Roman" w:eastAsia="Times New Roman" w:hAnsi="Times New Roman"/>
          <w:sz w:val="24"/>
          <w:szCs w:val="24"/>
        </w:rPr>
      </w:pPr>
      <w:r w:rsidDel="00000000" w:rsidR="00000000" w:rsidRPr="00000000">
        <w:rPr>
          <w:rtl w:val="0"/>
        </w:rPr>
      </w:r>
    </w:p>
    <w:tbl>
      <w:tblPr>
        <w:tblStyle w:val="Table3"/>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521"/>
        <w:gridCol w:w="1740"/>
        <w:gridCol w:w="1710"/>
        <w:gridCol w:w="1529"/>
        <w:gridCol w:w="1529"/>
        <w:tblGridChange w:id="0">
          <w:tblGrid>
            <w:gridCol w:w="2521"/>
            <w:gridCol w:w="1740"/>
            <w:gridCol w:w="1710"/>
            <w:gridCol w:w="1529"/>
            <w:gridCol w:w="15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Practical aspect in consideration</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Effectiveness (out of 10)</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Benefits(out of 10) </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Feasibility (out of 10)</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score (out of 30)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Collaborative effort of EaaS</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Involvement of Global institutions</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Efficient supply chain mapping</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Inclusion of government bodies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shd w:fill="auto" w:val="clea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auto"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p>
        </w:tc>
      </w:tr>
    </w:tbl>
    <w:p w:rsidR="00000000" w:rsidDel="00000000" w:rsidP="00000000" w:rsidRDefault="00000000" w:rsidRPr="00000000" w14:paraId="0000009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The above table and diagram collectively illustrate the applicability of the Problem selection decision-making matrix. Through the use of the matrix, the root cause of the major issue being faced by the EaaS sector has been identified and possible solutions for overcoming those issues have been depicted. Subsequently, the practicality of the solutions is verified by identifying the process or the institutions whose involvement is necessary for the enactment of the solution. In the tabular section, the effectiveness, cost-benefit and feasibility of the practical aspects of the proposed solutions have been quantified. The aspects with high total scores demonstrate the efficiency rates of the solution in mitigating or reducing the impact of the problem. It has been configured that supply chain mapping is the most efficient practical aspect for reducing carbon emissions in the EaaS sector. The practical aspect in discussion is a consequence of the proposed solution of enhancing the supply of clean energy fuels in the energy market as a measure to tackle the high consumption of non-renewable fuels. This chain process can assist in accomplishing the solution to the major issue in the question of reduced carbon emissions by the EaaS sector.</w:t>
      </w:r>
    </w:p>
    <w:p w:rsidR="00000000" w:rsidDel="00000000" w:rsidP="00000000" w:rsidRDefault="00000000" w:rsidRPr="00000000" w14:paraId="00000096">
      <w:pPr>
        <w:pStyle w:val="Heading1"/>
        <w:spacing w:line="360" w:lineRule="auto"/>
        <w:jc w:val="both"/>
        <w:rPr>
          <w:rFonts w:ascii="Times New Roman" w:cs="Times New Roman" w:eastAsia="Times New Roman" w:hAnsi="Times New Roman"/>
          <w:b w:val="1"/>
          <w:sz w:val="24"/>
          <w:szCs w:val="24"/>
        </w:rPr>
      </w:pPr>
      <w:bookmarkStart w:colFirst="0" w:colLast="0" w:name="_lnxbz9" w:id="13"/>
      <w:bookmarkEnd w:id="13"/>
      <w:r w:rsidDel="00000000" w:rsidR="00000000" w:rsidRPr="00000000">
        <w:rPr>
          <w:rFonts w:ascii="Times New Roman" w:cs="Times New Roman" w:eastAsia="Times New Roman" w:hAnsi="Times New Roman"/>
          <w:b w:val="1"/>
          <w:sz w:val="24"/>
          <w:szCs w:val="24"/>
          <w:rtl w:val="0"/>
        </w:rPr>
        <w:t xml:space="preserve">Plan, monitor &amp; review implementation &amp; communication decisions</w:t>
      </w:r>
    </w:p>
    <w:p w:rsidR="00000000" w:rsidDel="00000000" w:rsidP="00000000" w:rsidRDefault="00000000" w:rsidRPr="00000000" w14:paraId="00000097">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According to Arcelay </w:t>
      </w:r>
      <w:r w:rsidDel="00000000" w:rsidR="00000000" w:rsidRPr="00000000">
        <w:rPr>
          <w:rFonts w:ascii="Times New Roman" w:cs="Times New Roman" w:eastAsia="Times New Roman" w:hAnsi="Times New Roman"/>
          <w:i w:val="1"/>
          <w:color w:val="0e101a"/>
          <w:sz w:val="24"/>
          <w:szCs w:val="24"/>
          <w:rtl w:val="0"/>
        </w:rPr>
        <w:t xml:space="preserve">et al</w:t>
      </w:r>
      <w:r w:rsidDel="00000000" w:rsidR="00000000" w:rsidRPr="00000000">
        <w:rPr>
          <w:rFonts w:ascii="Times New Roman" w:cs="Times New Roman" w:eastAsia="Times New Roman" w:hAnsi="Times New Roman"/>
          <w:color w:val="0e101a"/>
          <w:sz w:val="24"/>
          <w:szCs w:val="24"/>
          <w:rtl w:val="0"/>
        </w:rPr>
        <w:t xml:space="preserve">., (2021, p. 2609), the configuration of the solution is not enough for achieving the objective. In order to ensure the effective implementation of the solution a planned approach to the process is required. In the above segment, the use of a decision-making matrix to configure the best outcome for achieving the solution to high carbon emissions in the EaaS sector has been performed. In the later stages of the planning, executing, monitoring, and reviewing the efficiency of the decisions undertaken is to be validated. In the </w:t>
      </w:r>
      <w:r w:rsidDel="00000000" w:rsidR="00000000" w:rsidRPr="00000000">
        <w:rPr>
          <w:rFonts w:ascii="Times New Roman" w:cs="Times New Roman" w:eastAsia="Times New Roman" w:hAnsi="Times New Roman"/>
          <w:i w:val="1"/>
          <w:color w:val="0e101a"/>
          <w:sz w:val="24"/>
          <w:szCs w:val="24"/>
          <w:rtl w:val="0"/>
        </w:rPr>
        <w:t xml:space="preserve">planning</w:t>
      </w:r>
      <w:r w:rsidDel="00000000" w:rsidR="00000000" w:rsidRPr="00000000">
        <w:rPr>
          <w:rFonts w:ascii="Times New Roman" w:cs="Times New Roman" w:eastAsia="Times New Roman" w:hAnsi="Times New Roman"/>
          <w:color w:val="0e101a"/>
          <w:sz w:val="24"/>
          <w:szCs w:val="24"/>
          <w:rtl w:val="0"/>
        </w:rPr>
        <w:t xml:space="preserve"> stage, the processes that are to be enacted to optimize the supply chain process and resources that need to be configured for sourcing clean energy are to be configured. Consequently, in the </w:t>
      </w:r>
      <w:r w:rsidDel="00000000" w:rsidR="00000000" w:rsidRPr="00000000">
        <w:rPr>
          <w:rFonts w:ascii="Times New Roman" w:cs="Times New Roman" w:eastAsia="Times New Roman" w:hAnsi="Times New Roman"/>
          <w:i w:val="1"/>
          <w:color w:val="0e101a"/>
          <w:sz w:val="24"/>
          <w:szCs w:val="24"/>
          <w:rtl w:val="0"/>
        </w:rPr>
        <w:t xml:space="preserve">execution</w:t>
      </w:r>
      <w:r w:rsidDel="00000000" w:rsidR="00000000" w:rsidRPr="00000000">
        <w:rPr>
          <w:rFonts w:ascii="Times New Roman" w:cs="Times New Roman" w:eastAsia="Times New Roman" w:hAnsi="Times New Roman"/>
          <w:color w:val="0e101a"/>
          <w:sz w:val="24"/>
          <w:szCs w:val="24"/>
          <w:rtl w:val="0"/>
        </w:rPr>
        <w:t xml:space="preserve"> stage, the involvement of the OPEC, UNDP and other important institutions in the sector is also significant. As stated by Woźniak </w:t>
      </w:r>
      <w:r w:rsidDel="00000000" w:rsidR="00000000" w:rsidRPr="00000000">
        <w:rPr>
          <w:rFonts w:ascii="Times New Roman" w:cs="Times New Roman" w:eastAsia="Times New Roman" w:hAnsi="Times New Roman"/>
          <w:i w:val="1"/>
          <w:color w:val="0e101a"/>
          <w:sz w:val="24"/>
          <w:szCs w:val="24"/>
          <w:rtl w:val="0"/>
        </w:rPr>
        <w:t xml:space="preserve">et al</w:t>
      </w:r>
      <w:r w:rsidDel="00000000" w:rsidR="00000000" w:rsidRPr="00000000">
        <w:rPr>
          <w:rFonts w:ascii="Times New Roman" w:cs="Times New Roman" w:eastAsia="Times New Roman" w:hAnsi="Times New Roman"/>
          <w:color w:val="0e101a"/>
          <w:sz w:val="24"/>
          <w:szCs w:val="24"/>
          <w:rtl w:val="0"/>
        </w:rPr>
        <w:t xml:space="preserve">., (2021, p. 45), their involvement indicates an efficient use of resources and routing of supplies to match the demands of the energy market. In the monitoring stage, the activities related to supply chain optimization are to be monitored and lags in the system are to be promptly mitigated. The monitoring phase is to be the most significant step of the process, as during this phase the efficiency of the solution in providing the solution to the issue is to be quantitatively examined. In the last phase of the </w:t>
      </w:r>
      <w:r w:rsidDel="00000000" w:rsidR="00000000" w:rsidRPr="00000000">
        <w:rPr>
          <w:rFonts w:ascii="Times New Roman" w:cs="Times New Roman" w:eastAsia="Times New Roman" w:hAnsi="Times New Roman"/>
          <w:i w:val="1"/>
          <w:color w:val="0e101a"/>
          <w:sz w:val="24"/>
          <w:szCs w:val="24"/>
          <w:rtl w:val="0"/>
        </w:rPr>
        <w:t xml:space="preserve">reviewing</w:t>
      </w:r>
      <w:r w:rsidDel="00000000" w:rsidR="00000000" w:rsidRPr="00000000">
        <w:rPr>
          <w:rFonts w:ascii="Times New Roman" w:cs="Times New Roman" w:eastAsia="Times New Roman" w:hAnsi="Times New Roman"/>
          <w:color w:val="0e101a"/>
          <w:sz w:val="24"/>
          <w:szCs w:val="24"/>
          <w:rtl w:val="0"/>
        </w:rPr>
        <w:t xml:space="preserve"> process, the collective institutions and the firms in the energy sector are to communicate effectively to evaluate whether the implemented solution can assist in meeting the energy needs of the future. Carbon emissions are to be reduced as well as provisions for meeting energy demands are also to be formulated. Communication of decisions to involved stakeholders of the EaaS sector ensures higher coherence and efficiency.</w:t>
      </w:r>
    </w:p>
    <w:p w:rsidR="00000000" w:rsidDel="00000000" w:rsidP="00000000" w:rsidRDefault="00000000" w:rsidRPr="00000000" w14:paraId="00000098">
      <w:pPr>
        <w:pStyle w:val="Heading1"/>
        <w:spacing w:line="360" w:lineRule="auto"/>
        <w:jc w:val="both"/>
        <w:rPr>
          <w:rFonts w:ascii="Times New Roman" w:cs="Times New Roman" w:eastAsia="Times New Roman" w:hAnsi="Times New Roman"/>
          <w:b w:val="1"/>
          <w:sz w:val="24"/>
          <w:szCs w:val="24"/>
        </w:rPr>
      </w:pPr>
      <w:bookmarkStart w:colFirst="0" w:colLast="0" w:name="_35nkun2" w:id="14"/>
      <w:bookmarkEnd w:id="14"/>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99">
      <w:pPr>
        <w:spacing w:line="360" w:lineRule="auto"/>
        <w:jc w:val="both"/>
        <w:rPr>
          <w:rFonts w:ascii="Times New Roman" w:cs="Times New Roman" w:eastAsia="Times New Roman" w:hAnsi="Times New Roman"/>
          <w:color w:val="0e101a"/>
          <w:sz w:val="24"/>
          <w:szCs w:val="24"/>
        </w:rPr>
      </w:pPr>
      <w:r w:rsidDel="00000000" w:rsidR="00000000" w:rsidRPr="00000000">
        <w:rPr>
          <w:rFonts w:ascii="Times New Roman" w:cs="Times New Roman" w:eastAsia="Times New Roman" w:hAnsi="Times New Roman"/>
          <w:color w:val="0e101a"/>
          <w:sz w:val="24"/>
          <w:szCs w:val="24"/>
          <w:rtl w:val="0"/>
        </w:rPr>
        <w:t xml:space="preserve">In the above study, a detailed analysis of the energy sector or EaaS has been performed through the use of standard business environment assessment tools such as PESTLE and SWOT. In this process, the issues that the sector has been warranted with currently have been identified. Consequently, in the later stages of the study appropriate recommendations and the use of a decision-making matrix for the solution’s effectiveness have been performed. </w:t>
      </w:r>
    </w:p>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C">
      <w:pPr>
        <w:pStyle w:val="Heading1"/>
        <w:spacing w:line="360" w:lineRule="auto"/>
        <w:jc w:val="both"/>
        <w:rPr>
          <w:rFonts w:ascii="Times New Roman" w:cs="Times New Roman" w:eastAsia="Times New Roman" w:hAnsi="Times New Roman"/>
          <w:b w:val="1"/>
          <w:sz w:val="24"/>
          <w:szCs w:val="24"/>
        </w:rPr>
      </w:pPr>
      <w:bookmarkStart w:colFirst="0" w:colLast="0" w:name="_1ksv4uv" w:id="15"/>
      <w:bookmarkEnd w:id="15"/>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9D">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highlight w:val="white"/>
          <w:rtl w:val="0"/>
        </w:rPr>
        <w:t xml:space="preserve">Andriuškevičius, K. and Štreimikienė, D., 2021. Developments and trends of mergers and acquisitions in the energy industry. </w:t>
      </w:r>
      <w:r w:rsidDel="00000000" w:rsidR="00000000" w:rsidRPr="00000000">
        <w:rPr>
          <w:rFonts w:ascii="Times New Roman" w:cs="Times New Roman" w:eastAsia="Times New Roman" w:hAnsi="Times New Roman"/>
          <w:i w:val="1"/>
          <w:sz w:val="24"/>
          <w:szCs w:val="24"/>
          <w:rtl w:val="0"/>
        </w:rPr>
        <w:t xml:space="preserve">Energies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(8), p.2158.</w:t>
      </w:r>
      <w:hyperlink r:id="rId7">
        <w:r w:rsidDel="00000000" w:rsidR="00000000" w:rsidRPr="00000000">
          <w:rPr>
            <w:rFonts w:ascii="Times New Roman" w:cs="Times New Roman" w:eastAsia="Times New Roman" w:hAnsi="Times New Roman"/>
            <w:sz w:val="24"/>
            <w:szCs w:val="24"/>
            <w:rtl w:val="0"/>
          </w:rPr>
          <w:t xml:space="preserve"> </w:t>
        </w:r>
      </w:hyperlink>
      <w:hyperlink r:id="rId8">
        <w:r w:rsidDel="00000000" w:rsidR="00000000" w:rsidRPr="00000000">
          <w:rPr>
            <w:rFonts w:ascii="Times New Roman" w:cs="Times New Roman" w:eastAsia="Times New Roman" w:hAnsi="Times New Roman"/>
            <w:color w:val="1155cc"/>
            <w:sz w:val="24"/>
            <w:szCs w:val="24"/>
            <w:u w:val="single"/>
            <w:rtl w:val="0"/>
          </w:rPr>
          <w:t xml:space="preserve">https://www.mdpi.com/1070112</w:t>
        </w:r>
      </w:hyperlink>
      <w:r w:rsidDel="00000000" w:rsidR="00000000" w:rsidRPr="00000000">
        <w:rPr>
          <w:rtl w:val="0"/>
        </w:rPr>
      </w:r>
    </w:p>
    <w:p w:rsidR="00000000" w:rsidDel="00000000" w:rsidP="00000000" w:rsidRDefault="00000000" w:rsidRPr="00000000" w14:paraId="0000009E">
      <w:pP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Arcelay, I., Goti, A., Oyarbide-Zubillaga, A., Akyazi, T., Alberdi, E. and Garcia-Bringas, P., 2021. Definition of the future skills needs of job profiles in the renewable energy sector. </w:t>
      </w:r>
      <w:r w:rsidDel="00000000" w:rsidR="00000000" w:rsidRPr="00000000">
        <w:rPr>
          <w:rFonts w:ascii="Times New Roman" w:cs="Times New Roman" w:eastAsia="Times New Roman" w:hAnsi="Times New Roman"/>
          <w:i w:val="1"/>
          <w:sz w:val="24"/>
          <w:szCs w:val="24"/>
          <w:rtl w:val="0"/>
        </w:rPr>
        <w:t xml:space="preserve">Energies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(9), p.2609.</w:t>
      </w:r>
      <w:hyperlink r:id="rId9">
        <w:r w:rsidDel="00000000" w:rsidR="00000000" w:rsidRPr="00000000">
          <w:rPr>
            <w:rFonts w:ascii="Times New Roman" w:cs="Times New Roman" w:eastAsia="Times New Roman" w:hAnsi="Times New Roman"/>
            <w:sz w:val="24"/>
            <w:szCs w:val="24"/>
            <w:rtl w:val="0"/>
          </w:rPr>
          <w:t xml:space="preserve"> </w:t>
        </w:r>
      </w:hyperlink>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https://www.mdpi.com/1096192</w:t>
        </w:r>
      </w:hyperlink>
      <w:r w:rsidDel="00000000" w:rsidR="00000000" w:rsidRPr="00000000">
        <w:rPr>
          <w:rtl w:val="0"/>
        </w:rPr>
      </w:r>
    </w:p>
    <w:p w:rsidR="00000000" w:rsidDel="00000000" w:rsidP="00000000" w:rsidRDefault="00000000" w:rsidRPr="00000000" w14:paraId="0000009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Bloomberg.com. 2022. </w:t>
      </w:r>
      <w:r w:rsidDel="00000000" w:rsidR="00000000" w:rsidRPr="00000000">
        <w:rPr>
          <w:rFonts w:ascii="Times New Roman" w:cs="Times New Roman" w:eastAsia="Times New Roman" w:hAnsi="Times New Roman"/>
          <w:i w:val="1"/>
          <w:sz w:val="24"/>
          <w:szCs w:val="24"/>
          <w:rtl w:val="0"/>
        </w:rPr>
        <w:t xml:space="preserve">Bloomberg - Are you a robot?</w:t>
      </w:r>
      <w:r w:rsidDel="00000000" w:rsidR="00000000" w:rsidRPr="00000000">
        <w:rPr>
          <w:rFonts w:ascii="Times New Roman" w:cs="Times New Roman" w:eastAsia="Times New Roman" w:hAnsi="Times New Roman"/>
          <w:sz w:val="24"/>
          <w:szCs w:val="24"/>
          <w:rtl w:val="0"/>
        </w:rPr>
        <w:t xml:space="preserve">. [online] Available at: &lt;https://www.bloomberg.com/news/articles/2022-03-16/energy-costs-set-to-reach-record-13-of-global-gdp-this-year#:~:text=Energy%20Costs%20Set%20to%20Reach,Global%20GDP%20in%202022%20%2D%20Bloomberg&gt; [Accessed 8 October 2022].</w:t>
      </w:r>
    </w:p>
    <w:p w:rsidR="00000000" w:rsidDel="00000000" w:rsidP="00000000" w:rsidRDefault="00000000" w:rsidRPr="00000000" w14:paraId="000000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Center for Sustainable Systems. 2022. </w:t>
      </w:r>
      <w:r w:rsidDel="00000000" w:rsidR="00000000" w:rsidRPr="00000000">
        <w:rPr>
          <w:rFonts w:ascii="Times New Roman" w:cs="Times New Roman" w:eastAsia="Times New Roman" w:hAnsi="Times New Roman"/>
          <w:i w:val="1"/>
          <w:sz w:val="24"/>
          <w:szCs w:val="24"/>
          <w:rtl w:val="0"/>
        </w:rPr>
        <w:t xml:space="preserve">U.S. Energy System Factsheet</w:t>
      </w:r>
      <w:r w:rsidDel="00000000" w:rsidR="00000000" w:rsidRPr="00000000">
        <w:rPr>
          <w:rFonts w:ascii="Times New Roman" w:cs="Times New Roman" w:eastAsia="Times New Roman" w:hAnsi="Times New Roman"/>
          <w:sz w:val="24"/>
          <w:szCs w:val="24"/>
          <w:rtl w:val="0"/>
        </w:rPr>
        <w:t xml:space="preserve">. [online] Available at: &lt;https://css.umich.edu/publications/factsheets/energy/us-energy-system-factsheet&gt; [Accessed 8 October 2022].  </w:t>
      </w:r>
    </w:p>
    <w:p w:rsidR="00000000" w:rsidDel="00000000" w:rsidP="00000000" w:rsidRDefault="00000000" w:rsidRPr="00000000" w14:paraId="000000A1">
      <w:pP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Dincer, I. and Acar, C., 2018. Smart energy solutions with hydrogen options. </w:t>
      </w:r>
      <w:r w:rsidDel="00000000" w:rsidR="00000000" w:rsidRPr="00000000">
        <w:rPr>
          <w:rFonts w:ascii="Times New Roman" w:cs="Times New Roman" w:eastAsia="Times New Roman" w:hAnsi="Times New Roman"/>
          <w:i w:val="1"/>
          <w:sz w:val="24"/>
          <w:szCs w:val="24"/>
          <w:rtl w:val="0"/>
        </w:rPr>
        <w:t xml:space="preserve">International Journal of Hydrogen Energy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43</w:t>
      </w:r>
      <w:r w:rsidDel="00000000" w:rsidR="00000000" w:rsidRPr="00000000">
        <w:rPr>
          <w:rFonts w:ascii="Times New Roman" w:cs="Times New Roman" w:eastAsia="Times New Roman" w:hAnsi="Times New Roman"/>
          <w:sz w:val="24"/>
          <w:szCs w:val="24"/>
          <w:rtl w:val="0"/>
        </w:rPr>
        <w:t xml:space="preserve">(18), pp.8579-8599.</w:t>
      </w:r>
      <w:hyperlink r:id="rId11">
        <w:r w:rsidDel="00000000" w:rsidR="00000000" w:rsidRPr="00000000">
          <w:rPr>
            <w:rFonts w:ascii="Times New Roman" w:cs="Times New Roman" w:eastAsia="Times New Roman" w:hAnsi="Times New Roman"/>
            <w:sz w:val="24"/>
            <w:szCs w:val="24"/>
            <w:rtl w:val="0"/>
          </w:rPr>
          <w:t xml:space="preserve"> </w:t>
        </w:r>
      </w:hyperlink>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https://www.sciencedirect.com/science/article/pii/S0360319918309108</w:t>
        </w:r>
      </w:hyperlink>
      <w:r w:rsidDel="00000000" w:rsidR="00000000" w:rsidRPr="00000000">
        <w:rPr>
          <w:rtl w:val="0"/>
        </w:rPr>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Energy Industry.com, 2022. </w:t>
      </w:r>
      <w:r w:rsidDel="00000000" w:rsidR="00000000" w:rsidRPr="00000000">
        <w:rPr>
          <w:rFonts w:ascii="Times New Roman" w:cs="Times New Roman" w:eastAsia="Times New Roman" w:hAnsi="Times New Roman"/>
          <w:i w:val="1"/>
          <w:sz w:val="24"/>
          <w:szCs w:val="24"/>
          <w:highlight w:val="white"/>
          <w:rtl w:val="0"/>
        </w:rPr>
        <w:t xml:space="preserve">Redirecting</w:t>
      </w:r>
      <w:r w:rsidDel="00000000" w:rsidR="00000000" w:rsidRPr="00000000">
        <w:rPr>
          <w:rFonts w:ascii="Times New Roman" w:cs="Times New Roman" w:eastAsia="Times New Roman" w:hAnsi="Times New Roman"/>
          <w:sz w:val="24"/>
          <w:szCs w:val="24"/>
          <w:highlight w:val="white"/>
          <w:rtl w:val="0"/>
        </w:rPr>
        <w:t xml:space="preserve">.</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https://www.google.com/url?q=https://energydigital.com/top10/top-10-issues-facing-the-energy-industry&amp;sa=D&amp;source=docs&amp;ust=1665233649705908&amp;usg=AOvVaw1BlhISb8wO4K6Uz8H9VVsp</w:t>
        </w:r>
      </w:hyperlink>
      <w:r w:rsidDel="00000000" w:rsidR="00000000" w:rsidRPr="00000000">
        <w:rPr>
          <w:rFonts w:ascii="Times New Roman" w:cs="Times New Roman" w:eastAsia="Times New Roman" w:hAnsi="Times New Roman"/>
          <w:sz w:val="24"/>
          <w:szCs w:val="24"/>
          <w:highlight w:val="white"/>
          <w:rtl w:val="0"/>
        </w:rPr>
        <w:t xml:space="preserve">  [Accessed 8 October 2022]</w:t>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Global Energy Review,  2022. </w:t>
      </w:r>
      <w:r w:rsidDel="00000000" w:rsidR="00000000" w:rsidRPr="00000000">
        <w:rPr>
          <w:rFonts w:ascii="Times New Roman" w:cs="Times New Roman" w:eastAsia="Times New Roman" w:hAnsi="Times New Roman"/>
          <w:i w:val="1"/>
          <w:sz w:val="24"/>
          <w:szCs w:val="24"/>
          <w:highlight w:val="white"/>
          <w:rtl w:val="0"/>
        </w:rPr>
        <w:t xml:space="preserve">Redirecting</w:t>
      </w:r>
      <w:r w:rsidDel="00000000" w:rsidR="00000000" w:rsidRPr="00000000">
        <w:rPr>
          <w:rFonts w:ascii="Times New Roman" w:cs="Times New Roman" w:eastAsia="Times New Roman" w:hAnsi="Times New Roman"/>
          <w:sz w:val="24"/>
          <w:szCs w:val="24"/>
          <w:highlight w:val="white"/>
          <w:rtl w:val="0"/>
        </w:rPr>
        <w:t xml:space="preserve">.</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ww.google.com/url?q=https://www.iea.org/reports/global-energy-review-co2-emissions-in-2021-2%23:~:text%3DThe%2520biggest%2520increase%2520in%2520CO,help%2520meet%2520electricity%2520demand%2520growth&amp;sa=D&amp;source=docs&amp;ust=1665233649706791&amp;usg=AOvVaw3CG5w5FTcgBRlXNmK5qBgp</w:t>
        </w:r>
      </w:hyperlink>
      <w:r w:rsidDel="00000000" w:rsidR="00000000" w:rsidRPr="00000000">
        <w:rPr>
          <w:rFonts w:ascii="Times New Roman" w:cs="Times New Roman" w:eastAsia="Times New Roman" w:hAnsi="Times New Roman"/>
          <w:sz w:val="24"/>
          <w:szCs w:val="24"/>
          <w:highlight w:val="white"/>
          <w:rtl w:val="0"/>
        </w:rPr>
        <w:t xml:space="preserve">  [Accessed 8 October 2022]</w:t>
      </w:r>
    </w:p>
    <w:p w:rsidR="00000000" w:rsidDel="00000000" w:rsidP="00000000" w:rsidRDefault="00000000" w:rsidRPr="00000000" w14:paraId="000000A4">
      <w:pP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Heffron, R.J., 2018. Energy law for decommissioning in the energy sector in the 21st century. </w:t>
      </w:r>
      <w:r w:rsidDel="00000000" w:rsidR="00000000" w:rsidRPr="00000000">
        <w:rPr>
          <w:rFonts w:ascii="Times New Roman" w:cs="Times New Roman" w:eastAsia="Times New Roman" w:hAnsi="Times New Roman"/>
          <w:i w:val="1"/>
          <w:sz w:val="24"/>
          <w:szCs w:val="24"/>
          <w:rtl w:val="0"/>
        </w:rPr>
        <w:t xml:space="preserve">The Journal of World Energy Law &amp; Business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11</w:t>
      </w:r>
      <w:r w:rsidDel="00000000" w:rsidR="00000000" w:rsidRPr="00000000">
        <w:rPr>
          <w:rFonts w:ascii="Times New Roman" w:cs="Times New Roman" w:eastAsia="Times New Roman" w:hAnsi="Times New Roman"/>
          <w:sz w:val="24"/>
          <w:szCs w:val="24"/>
          <w:rtl w:val="0"/>
        </w:rPr>
        <w:t xml:space="preserve">(3), pp.189-195.</w:t>
      </w:r>
      <w:hyperlink r:id="rId15">
        <w:r w:rsidDel="00000000" w:rsidR="00000000" w:rsidRPr="00000000">
          <w:rPr>
            <w:rFonts w:ascii="Times New Roman" w:cs="Times New Roman" w:eastAsia="Times New Roman" w:hAnsi="Times New Roman"/>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highlight w:val="white"/>
            <w:u w:val="single"/>
            <w:rtl w:val="0"/>
          </w:rPr>
          <w:t xml:space="preserve">https://academic.oup.com/jwelb/article-abstract/11/3/189/4985467</w:t>
        </w:r>
      </w:hyperlink>
      <w:r w:rsidDel="00000000" w:rsidR="00000000" w:rsidRPr="00000000">
        <w:rPr>
          <w:rtl w:val="0"/>
        </w:rPr>
      </w:r>
    </w:p>
    <w:p w:rsidR="00000000" w:rsidDel="00000000" w:rsidP="00000000" w:rsidRDefault="00000000" w:rsidRPr="00000000" w14:paraId="000000A5">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Khan, M.J., Kumam, P., Liu, P. and Kumam, W., 2020. An adjustable weighted soft discernibility matrix based on generalized picture fuzzy soft set and its applications in decision making. </w:t>
      </w:r>
      <w:r w:rsidDel="00000000" w:rsidR="00000000" w:rsidRPr="00000000">
        <w:rPr>
          <w:rFonts w:ascii="Times New Roman" w:cs="Times New Roman" w:eastAsia="Times New Roman" w:hAnsi="Times New Roman"/>
          <w:i w:val="1"/>
          <w:sz w:val="24"/>
          <w:szCs w:val="24"/>
          <w:rtl w:val="0"/>
        </w:rPr>
        <w:t xml:space="preserve">Journal of Intelligent &amp; Fuzzy Systems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(2), pp.2103-2118. </w:t>
      </w:r>
      <w:r w:rsidDel="00000000" w:rsidR="00000000" w:rsidRPr="00000000">
        <w:rPr>
          <w:rFonts w:ascii="Times New Roman" w:cs="Times New Roman" w:eastAsia="Times New Roman" w:hAnsi="Times New Roman"/>
          <w:color w:val="222222"/>
          <w:sz w:val="24"/>
          <w:szCs w:val="24"/>
          <w:highlight w:val="white"/>
          <w:rtl w:val="0"/>
        </w:rPr>
        <w:t xml:space="preserve">https://content.iospress.com/articles/journal-of-intelligent-and-fuzzy-systems/ifs190812</w:t>
      </w:r>
    </w:p>
    <w:p w:rsidR="00000000" w:rsidDel="00000000" w:rsidP="00000000" w:rsidRDefault="00000000" w:rsidRPr="00000000" w14:paraId="000000A6">
      <w:pP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Lorente de las Casas, A., Mirkova, I. and Ramos-Real, F.J., 2021. Stakeholders’ Perceptions of the Possible Energy Sustainability Solutions in the Hotels of the Canary Islands.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13</w:t>
      </w:r>
      <w:r w:rsidDel="00000000" w:rsidR="00000000" w:rsidRPr="00000000">
        <w:rPr>
          <w:rFonts w:ascii="Times New Roman" w:cs="Times New Roman" w:eastAsia="Times New Roman" w:hAnsi="Times New Roman"/>
          <w:sz w:val="24"/>
          <w:szCs w:val="24"/>
          <w:rtl w:val="0"/>
        </w:rPr>
        <w:t xml:space="preserve">(12), p.6943.</w:t>
      </w:r>
      <w:hyperlink r:id="rId17">
        <w:r w:rsidDel="00000000" w:rsidR="00000000" w:rsidRPr="00000000">
          <w:rPr>
            <w:rFonts w:ascii="Times New Roman" w:cs="Times New Roman" w:eastAsia="Times New Roman" w:hAnsi="Times New Roman"/>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https://www.mdpi.com/2071-1050/13/12/6943</w:t>
        </w:r>
      </w:hyperlink>
      <w:r w:rsidDel="00000000" w:rsidR="00000000" w:rsidRPr="00000000">
        <w:rPr>
          <w:rtl w:val="0"/>
        </w:rPr>
      </w:r>
    </w:p>
    <w:p w:rsidR="00000000" w:rsidDel="00000000" w:rsidP="00000000" w:rsidRDefault="00000000" w:rsidRPr="00000000" w14:paraId="000000A7">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Majid, M.A., 2020. Renewable energy for sustainable development in India: current status, future prospects, challenges, employment, and investment opportunities. </w:t>
      </w:r>
      <w:r w:rsidDel="00000000" w:rsidR="00000000" w:rsidRPr="00000000">
        <w:rPr>
          <w:rFonts w:ascii="Times New Roman" w:cs="Times New Roman" w:eastAsia="Times New Roman" w:hAnsi="Times New Roman"/>
          <w:i w:val="1"/>
          <w:color w:val="222222"/>
          <w:sz w:val="24"/>
          <w:szCs w:val="24"/>
          <w:highlight w:val="white"/>
          <w:rtl w:val="0"/>
        </w:rPr>
        <w:t xml:space="preserve">Energy, Sustainability and Society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(1), pp.1-36.</w:t>
      </w:r>
      <w:hyperlink r:id="rId19">
        <w:r w:rsidDel="00000000" w:rsidR="00000000" w:rsidRPr="00000000">
          <w:rPr>
            <w:rFonts w:ascii="Times New Roman" w:cs="Times New Roman" w:eastAsia="Times New Roman" w:hAnsi="Times New Roman"/>
            <w:color w:val="1155cc"/>
            <w:sz w:val="24"/>
            <w:szCs w:val="24"/>
            <w:highlight w:val="white"/>
            <w:u w:val="single"/>
            <w:rtl w:val="0"/>
          </w:rPr>
          <w:t xml:space="preserve">https://energsustainsoc.biomedcentral.com/articles/10.1186/s13705-019-0232-1</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A8">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Papadis, E. and Tsatsaronis, G., 2020. Challenges in the decarbonization of the energy sector. </w:t>
      </w:r>
      <w:r w:rsidDel="00000000" w:rsidR="00000000" w:rsidRPr="00000000">
        <w:rPr>
          <w:rFonts w:ascii="Times New Roman" w:cs="Times New Roman" w:eastAsia="Times New Roman" w:hAnsi="Times New Roman"/>
          <w:i w:val="1"/>
          <w:color w:val="222222"/>
          <w:sz w:val="24"/>
          <w:szCs w:val="24"/>
          <w:highlight w:val="white"/>
          <w:rtl w:val="0"/>
        </w:rPr>
        <w:t xml:space="preserve">Energy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205</w:t>
      </w:r>
      <w:r w:rsidDel="00000000" w:rsidR="00000000" w:rsidRPr="00000000">
        <w:rPr>
          <w:rFonts w:ascii="Times New Roman" w:cs="Times New Roman" w:eastAsia="Times New Roman" w:hAnsi="Times New Roman"/>
          <w:color w:val="222222"/>
          <w:sz w:val="24"/>
          <w:szCs w:val="24"/>
          <w:highlight w:val="white"/>
          <w:rtl w:val="0"/>
        </w:rPr>
        <w:t xml:space="preserve">, p.118025. </w:t>
      </w:r>
      <w:hyperlink r:id="rId20">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https://www.sciencedirect.com/science/article/pii/S0360544220311324</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A9">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Ritchie, H., Roser, M. and Rosado, P., 2022. </w:t>
      </w:r>
      <w:r w:rsidDel="00000000" w:rsidR="00000000" w:rsidRPr="00000000">
        <w:rPr>
          <w:rFonts w:ascii="Times New Roman" w:cs="Times New Roman" w:eastAsia="Times New Roman" w:hAnsi="Times New Roman"/>
          <w:i w:val="1"/>
          <w:sz w:val="24"/>
          <w:szCs w:val="24"/>
          <w:rtl w:val="0"/>
        </w:rPr>
        <w:t xml:space="preserve">CO</w:t>
      </w:r>
      <w:r w:rsidDel="00000000" w:rsidR="00000000" w:rsidRPr="00000000">
        <w:rPr>
          <w:rFonts w:ascii="Times New Roman" w:cs="Times New Roman" w:eastAsia="Times New Roman" w:hAnsi="Times New Roman"/>
          <w:i w:val="1"/>
          <w:sz w:val="24"/>
          <w:szCs w:val="24"/>
          <w:highlight w:val="white"/>
          <w:rtl w:val="0"/>
        </w:rPr>
        <w:t xml:space="preserve">₂ and Greenhouse Gas Emissions</w:t>
      </w:r>
      <w:r w:rsidDel="00000000" w:rsidR="00000000" w:rsidRPr="00000000">
        <w:rPr>
          <w:rFonts w:ascii="Times New Roman" w:cs="Times New Roman" w:eastAsia="Times New Roman" w:hAnsi="Times New Roman"/>
          <w:sz w:val="24"/>
          <w:szCs w:val="24"/>
          <w:highlight w:val="white"/>
          <w:rtl w:val="0"/>
        </w:rPr>
        <w:t xml:space="preserve">. [online] Our World in Data. Available at: &lt;https://ourworldindata.org/emissions-by-sector&gt; [Accessed 8 October 2022].</w:t>
      </w:r>
    </w:p>
    <w:p w:rsidR="00000000" w:rsidDel="00000000" w:rsidP="00000000" w:rsidRDefault="00000000" w:rsidRPr="00000000" w14:paraId="000000AA">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highlight w:val="white"/>
          <w:rtl w:val="0"/>
        </w:rPr>
        <w:t xml:space="preserve">Robinson, B.L., Jewitt, S., Clifford, M.J. and Hewitt, J., 2022. Understanding the current market enablers for Nepal’s biomass cookstove industry. </w:t>
      </w:r>
      <w:r w:rsidDel="00000000" w:rsidR="00000000" w:rsidRPr="00000000">
        <w:rPr>
          <w:rFonts w:ascii="Times New Roman" w:cs="Times New Roman" w:eastAsia="Times New Roman" w:hAnsi="Times New Roman"/>
          <w:i w:val="1"/>
          <w:sz w:val="24"/>
          <w:szCs w:val="24"/>
          <w:rtl w:val="0"/>
        </w:rPr>
        <w:t xml:space="preserve">Development in Practice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rtl w:val="0"/>
        </w:rPr>
        <w:t xml:space="preserve">(1), pp.52-68.</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https://www.tandfonline.com/doi/pdf/10.1080/09614524.2021.1893659</w:t>
        </w:r>
      </w:hyperlink>
      <w:r w:rsidDel="00000000" w:rsidR="00000000" w:rsidRPr="00000000">
        <w:rPr>
          <w:rtl w:val="0"/>
        </w:rPr>
      </w:r>
    </w:p>
    <w:p w:rsidR="00000000" w:rsidDel="00000000" w:rsidP="00000000" w:rsidRDefault="00000000" w:rsidRPr="00000000" w14:paraId="000000AB">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color w:val="222222"/>
          <w:sz w:val="24"/>
          <w:szCs w:val="24"/>
          <w:highlight w:val="white"/>
          <w:rtl w:val="0"/>
        </w:rPr>
        <w:t xml:space="preserve">Romero-Castro, N., Miramontes-Viña, V. and López-Cabarcos, M.Á., 2022. Understanding the Antecedents of Entrepreneurship and Renewable Energies to Promote the Development of Community Renewable Energy in Rural Areas. </w:t>
      </w:r>
      <w:r w:rsidDel="00000000" w:rsidR="00000000" w:rsidRPr="00000000">
        <w:rPr>
          <w:rFonts w:ascii="Times New Roman" w:cs="Times New Roman" w:eastAsia="Times New Roman" w:hAnsi="Times New Roman"/>
          <w:i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14</w:t>
      </w:r>
      <w:r w:rsidDel="00000000" w:rsidR="00000000" w:rsidRPr="00000000">
        <w:rPr>
          <w:rFonts w:ascii="Times New Roman" w:cs="Times New Roman" w:eastAsia="Times New Roman" w:hAnsi="Times New Roman"/>
          <w:sz w:val="24"/>
          <w:szCs w:val="24"/>
          <w:rtl w:val="0"/>
        </w:rPr>
        <w:t xml:space="preserve">(3), p.1234.</w:t>
      </w:r>
      <w:hyperlink r:id="rId23">
        <w:r w:rsidDel="00000000" w:rsidR="00000000" w:rsidRPr="00000000">
          <w:rPr>
            <w:rFonts w:ascii="Times New Roman" w:cs="Times New Roman" w:eastAsia="Times New Roman" w:hAnsi="Times New Roman"/>
            <w:sz w:val="24"/>
            <w:szCs w:val="24"/>
            <w:rtl w:val="0"/>
          </w:rPr>
          <w:t xml:space="preserve"> </w:t>
        </w:r>
      </w:hyperlink>
      <w:hyperlink r:id="rId24">
        <w:r w:rsidDel="00000000" w:rsidR="00000000" w:rsidRPr="00000000">
          <w:rPr>
            <w:rFonts w:ascii="Times New Roman" w:cs="Times New Roman" w:eastAsia="Times New Roman" w:hAnsi="Times New Roman"/>
            <w:color w:val="1155cc"/>
            <w:sz w:val="24"/>
            <w:szCs w:val="24"/>
            <w:u w:val="single"/>
            <w:rtl w:val="0"/>
          </w:rPr>
          <w:t xml:space="preserve">https://www.mdpi.com/2071-1050/14/3/1234</w:t>
        </w:r>
      </w:hyperlink>
      <w:r w:rsidDel="00000000" w:rsidR="00000000" w:rsidRPr="00000000">
        <w:rPr>
          <w:rtl w:val="0"/>
        </w:rPr>
      </w:r>
    </w:p>
    <w:p w:rsidR="00000000" w:rsidDel="00000000" w:rsidP="00000000" w:rsidRDefault="00000000" w:rsidRPr="00000000" w14:paraId="000000A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SpendEdge. 2022. </w:t>
      </w:r>
      <w:r w:rsidDel="00000000" w:rsidR="00000000" w:rsidRPr="00000000">
        <w:rPr>
          <w:rFonts w:ascii="Times New Roman" w:cs="Times New Roman" w:eastAsia="Times New Roman" w:hAnsi="Times New Roman"/>
          <w:i w:val="1"/>
          <w:sz w:val="24"/>
          <w:szCs w:val="24"/>
          <w:rtl w:val="0"/>
        </w:rPr>
        <w:t xml:space="preserve">A Comprehensive SWOT Analysis of the Power Sector</w:t>
      </w:r>
      <w:r w:rsidDel="00000000" w:rsidR="00000000" w:rsidRPr="00000000">
        <w:rPr>
          <w:rFonts w:ascii="Times New Roman" w:cs="Times New Roman" w:eastAsia="Times New Roman" w:hAnsi="Times New Roman"/>
          <w:sz w:val="24"/>
          <w:szCs w:val="24"/>
          <w:rtl w:val="0"/>
        </w:rPr>
        <w:t xml:space="preserve">. [online] Available at: &lt;https://www.spendedge.com/blogs/swot-analysis-power-sector&gt; [Accessed 8 October 2022].</w:t>
      </w:r>
    </w:p>
    <w:p w:rsidR="00000000" w:rsidDel="00000000" w:rsidP="00000000" w:rsidRDefault="00000000" w:rsidRPr="00000000" w14:paraId="000000AD">
      <w:pP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Woźniak, M., Badora, A., Kud, K. and Woźniak, L., 2021. Renewable Energy Sources as the Future of the Energy Sector and Climate in Poland—Truth or Myth in the Opinion of the Society. </w:t>
      </w:r>
      <w:r w:rsidDel="00000000" w:rsidR="00000000" w:rsidRPr="00000000">
        <w:rPr>
          <w:rFonts w:ascii="Times New Roman" w:cs="Times New Roman" w:eastAsia="Times New Roman" w:hAnsi="Times New Roman"/>
          <w:i w:val="1"/>
          <w:sz w:val="24"/>
          <w:szCs w:val="24"/>
          <w:rtl w:val="0"/>
        </w:rPr>
        <w:t xml:space="preserve">Energies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w:t>
      </w:r>
      <w:r w:rsidDel="00000000" w:rsidR="00000000" w:rsidRPr="00000000">
        <w:rPr>
          <w:rFonts w:ascii="Times New Roman" w:cs="Times New Roman" w:eastAsia="Times New Roman" w:hAnsi="Times New Roman"/>
          <w:sz w:val="24"/>
          <w:szCs w:val="24"/>
          <w:rtl w:val="0"/>
        </w:rPr>
        <w:t xml:space="preserve">(1), p.45.</w:t>
      </w:r>
      <w:hyperlink r:id="rId25">
        <w:r w:rsidDel="00000000" w:rsidR="00000000" w:rsidRPr="00000000">
          <w:rPr>
            <w:rFonts w:ascii="Times New Roman" w:cs="Times New Roman" w:eastAsia="Times New Roman" w:hAnsi="Times New Roman"/>
            <w:sz w:val="24"/>
            <w:szCs w:val="24"/>
            <w:rtl w:val="0"/>
          </w:rPr>
          <w:t xml:space="preserve"> </w:t>
        </w:r>
      </w:hyperlink>
      <w:hyperlink r:id="rId26">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https://www.mdpi.com/1416890</w:t>
        </w:r>
      </w:hyperlink>
      <w:r w:rsidDel="00000000" w:rsidR="00000000" w:rsidRPr="00000000">
        <w:rPr>
          <w:rtl w:val="0"/>
        </w:rPr>
      </w:r>
    </w:p>
    <w:sectPr>
      <w:footerReference r:id="rId2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E">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ciencedirect.com/science/article/pii/S0360544220311324" TargetMode="External"/><Relationship Id="rId22" Type="http://schemas.openxmlformats.org/officeDocument/2006/relationships/hyperlink" Target="https://www.tandfonline.com/doi/pdf/10.1080/09614524.2021.1893659" TargetMode="External"/><Relationship Id="rId21" Type="http://schemas.openxmlformats.org/officeDocument/2006/relationships/hyperlink" Target="https://www.tandfonline.com/doi/pdf/10.1080/09614524.2021.1893659" TargetMode="External"/><Relationship Id="rId24" Type="http://schemas.openxmlformats.org/officeDocument/2006/relationships/hyperlink" Target="https://www.mdpi.com/2071-1050/14/3/1234" TargetMode="External"/><Relationship Id="rId23" Type="http://schemas.openxmlformats.org/officeDocument/2006/relationships/hyperlink" Target="https://www.mdpi.com/2071-1050/14/3/123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dpi.com/1096192" TargetMode="External"/><Relationship Id="rId26" Type="http://schemas.openxmlformats.org/officeDocument/2006/relationships/hyperlink" Target="https://www.mdpi.com/1416890" TargetMode="External"/><Relationship Id="rId25" Type="http://schemas.openxmlformats.org/officeDocument/2006/relationships/hyperlink" Target="https://www.mdpi.com/1416890"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mdpi.com/1070112" TargetMode="External"/><Relationship Id="rId8" Type="http://schemas.openxmlformats.org/officeDocument/2006/relationships/hyperlink" Target="https://www.mdpi.com/1070112" TargetMode="External"/><Relationship Id="rId11" Type="http://schemas.openxmlformats.org/officeDocument/2006/relationships/hyperlink" Target="https://www.sciencedirect.com/science/article/pii/S0360319918309108" TargetMode="External"/><Relationship Id="rId10" Type="http://schemas.openxmlformats.org/officeDocument/2006/relationships/hyperlink" Target="https://www.mdpi.com/1096192" TargetMode="External"/><Relationship Id="rId13" Type="http://schemas.openxmlformats.org/officeDocument/2006/relationships/hyperlink" Target="https://www.google.com/url?q=https://energydigital.com/top10/top-10-issues-facing-the-energy-industry&amp;sa=D&amp;source=docs&amp;ust=1665233649705908&amp;usg=AOvVaw1BlhISb8wO4K6Uz8H9VVsp" TargetMode="External"/><Relationship Id="rId12" Type="http://schemas.openxmlformats.org/officeDocument/2006/relationships/hyperlink" Target="https://www.sciencedirect.com/science/article/pii/S0360319918309108" TargetMode="External"/><Relationship Id="rId15" Type="http://schemas.openxmlformats.org/officeDocument/2006/relationships/hyperlink" Target="https://academic.oup.com/jwelb/article-abstract/11/3/189/4985467" TargetMode="External"/><Relationship Id="rId14" Type="http://schemas.openxmlformats.org/officeDocument/2006/relationships/hyperlink" Target="https://www.google.com/url?q=https://www.iea.org/reports/global-energy-review-co2-emissions-in-2021-2%23:~:text%3DThe%2520biggest%2520increase%2520in%2520CO,help%2520meet%2520electricity%2520demand%2520growth&amp;sa=D&amp;source=docs&amp;ust=1665233649706791&amp;usg=AOvVaw3CG5w5FTcgBRlXNmK5qBgp" TargetMode="External"/><Relationship Id="rId17" Type="http://schemas.openxmlformats.org/officeDocument/2006/relationships/hyperlink" Target="https://www.mdpi.com/2071-1050/13/12/6943" TargetMode="External"/><Relationship Id="rId16" Type="http://schemas.openxmlformats.org/officeDocument/2006/relationships/hyperlink" Target="https://academic.oup.com/jwelb/article-abstract/11/3/189/4985467" TargetMode="External"/><Relationship Id="rId19" Type="http://schemas.openxmlformats.org/officeDocument/2006/relationships/hyperlink" Target="https://energsustainsoc.biomedcentral.com/articles/10.1186/s13705-019-0232-1" TargetMode="External"/><Relationship Id="rId18" Type="http://schemas.openxmlformats.org/officeDocument/2006/relationships/hyperlink" Target="https://www.mdpi.com/2071-1050/13/12/6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