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5F06F" w14:textId="77777777" w:rsidR="00A208AC" w:rsidRPr="00A208AC" w:rsidRDefault="00A208AC" w:rsidP="00A208AC">
      <w:pPr>
        <w:spacing w:before="0" w:beforeAutospacing="0" w:after="160" w:afterAutospacing="0" w:line="259" w:lineRule="auto"/>
        <w:jc w:val="center"/>
        <w:rPr>
          <w:rFonts w:ascii="Arial" w:eastAsia="Calibri" w:hAnsi="Arial" w:cs="Arial"/>
          <w:b/>
          <w:bCs/>
        </w:rPr>
      </w:pPr>
      <w:r w:rsidRPr="00A208AC">
        <w:rPr>
          <w:rFonts w:ascii="Arial" w:eastAsia="Calibri" w:hAnsi="Arial" w:cs="Arial"/>
          <w:lang w:eastAsia="en-GB"/>
        </w:rPr>
        <w:drawing>
          <wp:inline distT="0" distB="0" distL="0" distR="0" wp14:anchorId="016A9BC3" wp14:editId="71E640B5">
            <wp:extent cx="1809750" cy="723900"/>
            <wp:effectExtent l="0" t="0" r="0" b="0"/>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B959F33" w14:textId="77777777" w:rsidR="00A208AC" w:rsidRPr="00A208AC" w:rsidRDefault="00A208AC" w:rsidP="00A208AC">
      <w:pPr>
        <w:spacing w:before="0" w:beforeAutospacing="0" w:after="160" w:afterAutospacing="0" w:line="259" w:lineRule="auto"/>
        <w:jc w:val="left"/>
        <w:rPr>
          <w:rFonts w:ascii="Arial" w:eastAsia="Calibri" w:hAnsi="Arial" w:cs="Arial"/>
          <w:b/>
          <w:bCs/>
        </w:rPr>
      </w:pPr>
    </w:p>
    <w:p w14:paraId="36094F4E" w14:textId="77777777" w:rsidR="00A208AC" w:rsidRPr="00A208AC" w:rsidRDefault="00A208AC" w:rsidP="00A208AC">
      <w:pPr>
        <w:spacing w:before="0" w:beforeAutospacing="0" w:after="160" w:afterAutospacing="0" w:line="259" w:lineRule="auto"/>
        <w:jc w:val="center"/>
        <w:rPr>
          <w:rFonts w:ascii="Arial" w:eastAsia="Calibri" w:hAnsi="Arial" w:cs="Arial"/>
          <w:b/>
          <w:bCs/>
          <w:sz w:val="32"/>
        </w:rPr>
      </w:pPr>
      <w:r w:rsidRPr="00A208AC">
        <w:rPr>
          <w:rFonts w:ascii="Arial" w:eastAsia="Calibri" w:hAnsi="Arial" w:cs="Arial"/>
          <w:b/>
          <w:bCs/>
          <w:sz w:val="32"/>
        </w:rPr>
        <w:t xml:space="preserve">Programme: </w:t>
      </w:r>
      <w:r w:rsidRPr="00A208AC">
        <w:rPr>
          <w:rFonts w:ascii="Arial" w:eastAsia="Calibri" w:hAnsi="Arial" w:cs="Arial"/>
          <w:bCs/>
          <w:sz w:val="32"/>
        </w:rPr>
        <w:t>BSc (Hons) Health and Social Care</w:t>
      </w:r>
    </w:p>
    <w:p w14:paraId="1E342CD8" w14:textId="77777777" w:rsidR="00A208AC" w:rsidRPr="00A208AC" w:rsidRDefault="00A208AC" w:rsidP="00A208AC">
      <w:pPr>
        <w:spacing w:before="0" w:beforeAutospacing="0" w:after="160" w:afterAutospacing="0" w:line="259" w:lineRule="auto"/>
        <w:jc w:val="center"/>
        <w:rPr>
          <w:rFonts w:ascii="Arial" w:eastAsia="Calibri" w:hAnsi="Arial" w:cs="Arial"/>
          <w:b/>
          <w:bCs/>
          <w:sz w:val="32"/>
        </w:rPr>
      </w:pPr>
      <w:r w:rsidRPr="00A208AC">
        <w:rPr>
          <w:rFonts w:ascii="Arial" w:eastAsia="Calibri" w:hAnsi="Arial" w:cs="Arial"/>
          <w:b/>
          <w:bCs/>
          <w:sz w:val="32"/>
        </w:rPr>
        <w:t xml:space="preserve">Module: </w:t>
      </w:r>
      <w:r w:rsidRPr="00A208AC">
        <w:rPr>
          <w:rFonts w:ascii="Arial" w:eastAsia="Calibri" w:hAnsi="Arial" w:cs="Arial"/>
          <w:bCs/>
          <w:sz w:val="32"/>
        </w:rPr>
        <w:t>Independent Project</w:t>
      </w:r>
    </w:p>
    <w:p w14:paraId="52A91536" w14:textId="77777777" w:rsidR="00A208AC" w:rsidRPr="00A208AC" w:rsidRDefault="00A208AC" w:rsidP="00A208AC">
      <w:pPr>
        <w:spacing w:before="0" w:beforeAutospacing="0" w:after="160" w:afterAutospacing="0" w:line="259" w:lineRule="auto"/>
        <w:jc w:val="center"/>
        <w:rPr>
          <w:rFonts w:ascii="Arial" w:eastAsia="Calibri" w:hAnsi="Arial" w:cs="Arial"/>
          <w:b/>
          <w:bCs/>
        </w:rPr>
      </w:pPr>
      <w:r w:rsidRPr="00A208AC">
        <w:rPr>
          <w:rFonts w:ascii="Arial" w:eastAsia="Calibri" w:hAnsi="Arial" w:cs="Arial"/>
          <w:b/>
          <w:bCs/>
          <w:sz w:val="32"/>
        </w:rPr>
        <w:t xml:space="preserve">Module code: </w:t>
      </w:r>
      <w:r w:rsidRPr="00A208AC">
        <w:rPr>
          <w:rFonts w:ascii="Arial" w:eastAsia="Calibri" w:hAnsi="Arial" w:cs="Arial"/>
          <w:bCs/>
          <w:sz w:val="32"/>
        </w:rPr>
        <w:t>BMHP6020</w:t>
      </w:r>
    </w:p>
    <w:p w14:paraId="3B9FA20B" w14:textId="77777777" w:rsidR="00A208AC" w:rsidRPr="00A208AC" w:rsidRDefault="00A208AC" w:rsidP="00A208AC">
      <w:pPr>
        <w:spacing w:before="0" w:beforeAutospacing="0" w:after="160" w:afterAutospacing="0" w:line="259" w:lineRule="auto"/>
        <w:jc w:val="center"/>
        <w:rPr>
          <w:rFonts w:ascii="Arial" w:eastAsia="Calibri" w:hAnsi="Arial" w:cs="Arial"/>
          <w:b/>
          <w:bCs/>
        </w:rPr>
      </w:pPr>
    </w:p>
    <w:p w14:paraId="76184946" w14:textId="55B0ED25" w:rsidR="00A208AC" w:rsidRPr="00A208AC" w:rsidRDefault="00A208AC" w:rsidP="00A208AC">
      <w:pPr>
        <w:pBdr>
          <w:bottom w:val="single" w:sz="4" w:space="1" w:color="auto"/>
        </w:pBdr>
        <w:contextualSpacing/>
        <w:jc w:val="center"/>
        <w:rPr>
          <w:rFonts w:ascii="Arial" w:eastAsia="Times New Roman" w:hAnsi="Arial" w:cs="Arial"/>
          <w:b/>
          <w:color w:val="000000"/>
          <w:spacing w:val="-10"/>
          <w:kern w:val="28"/>
          <w:sz w:val="40"/>
          <w:szCs w:val="56"/>
        </w:rPr>
      </w:pPr>
      <w:r w:rsidRPr="00A208AC">
        <w:rPr>
          <w:rFonts w:ascii="Arial" w:eastAsia="Times New Roman" w:hAnsi="Arial" w:cs="Arial"/>
          <w:b/>
          <w:color w:val="000000"/>
          <w:spacing w:val="-10"/>
          <w:kern w:val="28"/>
          <w:sz w:val="40"/>
          <w:szCs w:val="56"/>
        </w:rPr>
        <w:t xml:space="preserve">Assignment Title: Component 1: Portfolio – Element 3 - </w:t>
      </w:r>
      <w:r w:rsidRPr="005A2BB1">
        <w:rPr>
          <w:rFonts w:ascii="Arial" w:eastAsia="Times New Roman" w:hAnsi="Arial" w:cs="Arial"/>
          <w:bCs/>
          <w:color w:val="000000"/>
          <w:spacing w:val="-10"/>
          <w:kern w:val="28"/>
          <w:sz w:val="40"/>
          <w:szCs w:val="56"/>
        </w:rPr>
        <w:t>Chapter</w:t>
      </w:r>
      <w:r w:rsidRPr="00A208AC">
        <w:rPr>
          <w:rFonts w:ascii="Arial" w:eastAsia="Times New Roman" w:hAnsi="Arial" w:cs="Arial"/>
          <w:b/>
          <w:color w:val="000000"/>
          <w:spacing w:val="-10"/>
          <w:kern w:val="28"/>
          <w:sz w:val="40"/>
          <w:szCs w:val="56"/>
        </w:rPr>
        <w:t xml:space="preserve"> </w:t>
      </w:r>
      <w:r>
        <w:rPr>
          <w:rFonts w:ascii="Arial" w:eastAsia="Times New Roman" w:hAnsi="Arial" w:cs="Arial"/>
          <w:b/>
          <w:color w:val="000000"/>
          <w:spacing w:val="-10"/>
          <w:kern w:val="28"/>
          <w:sz w:val="40"/>
          <w:szCs w:val="56"/>
        </w:rPr>
        <w:t>1 and Chapter 2</w:t>
      </w:r>
    </w:p>
    <w:p w14:paraId="1CBFF4FF" w14:textId="77777777" w:rsidR="00A208AC" w:rsidRPr="00A208AC" w:rsidRDefault="00A208AC" w:rsidP="00A208AC">
      <w:pPr>
        <w:jc w:val="center"/>
        <w:rPr>
          <w:rFonts w:ascii="Arial" w:eastAsia="Calibri" w:hAnsi="Arial" w:cs="Arial"/>
          <w:bCs/>
          <w:i/>
        </w:rPr>
      </w:pPr>
      <w:r w:rsidRPr="00A208AC">
        <w:rPr>
          <w:rFonts w:ascii="Arial" w:eastAsia="Calibri" w:hAnsi="Arial" w:cs="Arial"/>
          <w:b/>
          <w:bCs/>
          <w:i/>
        </w:rPr>
        <w:t>Topic:</w:t>
      </w:r>
      <w:r w:rsidRPr="00A208AC">
        <w:rPr>
          <w:rFonts w:ascii="Arial" w:eastAsia="Calibri" w:hAnsi="Arial" w:cs="Arial"/>
          <w:b/>
          <w:bCs/>
        </w:rPr>
        <w:t xml:space="preserve"> </w:t>
      </w:r>
      <w:r w:rsidRPr="00A208AC">
        <w:rPr>
          <w:rFonts w:ascii="Arial" w:eastAsia="Calibri" w:hAnsi="Arial" w:cs="Arial"/>
          <w:bCs/>
          <w:i/>
        </w:rPr>
        <w:t>An investigation into the role of applying AI-supported mental health triage systems to enhance Improving Access to Psychological Therapies (IAPT) for the patients suffering from Dementia in the UK healthcare industry: A case study of NHS hospitals</w:t>
      </w:r>
    </w:p>
    <w:p w14:paraId="0B26AA24" w14:textId="77777777" w:rsidR="00A208AC" w:rsidRPr="00A208AC" w:rsidRDefault="00A208AC" w:rsidP="00A208AC">
      <w:pPr>
        <w:spacing w:before="0" w:beforeAutospacing="0" w:after="160" w:afterAutospacing="0" w:line="259" w:lineRule="auto"/>
        <w:jc w:val="center"/>
        <w:rPr>
          <w:rFonts w:ascii="Arial" w:eastAsia="Calibri" w:hAnsi="Arial" w:cs="Arial"/>
          <w:b/>
          <w:bCs/>
        </w:rPr>
      </w:pPr>
    </w:p>
    <w:p w14:paraId="6559CFD6" w14:textId="267D87C5" w:rsidR="00A208AC" w:rsidRPr="00A208AC" w:rsidRDefault="00A208AC" w:rsidP="00A208AC">
      <w:pPr>
        <w:spacing w:before="0" w:beforeAutospacing="0" w:after="160" w:afterAutospacing="0" w:line="259" w:lineRule="auto"/>
        <w:jc w:val="center"/>
        <w:rPr>
          <w:rFonts w:ascii="Arial" w:eastAsia="Calibri" w:hAnsi="Arial" w:cs="Arial"/>
          <w:b/>
          <w:bCs/>
        </w:rPr>
      </w:pPr>
      <w:r w:rsidRPr="00A208AC">
        <w:rPr>
          <w:rFonts w:ascii="Arial" w:eastAsia="Calibri" w:hAnsi="Arial" w:cs="Arial"/>
          <w:b/>
          <w:bCs/>
        </w:rPr>
        <w:t>Module Lecturer:</w:t>
      </w:r>
      <w:r w:rsidR="005A2BB1">
        <w:rPr>
          <w:rFonts w:ascii="Arial" w:eastAsia="Calibri" w:hAnsi="Arial" w:cs="Arial"/>
          <w:b/>
          <w:bCs/>
        </w:rPr>
        <w:t xml:space="preserve"> Joanne Davies</w:t>
      </w:r>
    </w:p>
    <w:p w14:paraId="41873DC0" w14:textId="76DD38B7" w:rsidR="00A208AC" w:rsidRPr="00A208AC" w:rsidRDefault="00A208AC" w:rsidP="00A208AC">
      <w:pPr>
        <w:spacing w:before="0" w:beforeAutospacing="0" w:after="160" w:afterAutospacing="0" w:line="259" w:lineRule="auto"/>
        <w:jc w:val="center"/>
        <w:rPr>
          <w:rFonts w:ascii="Arial" w:eastAsia="Calibri" w:hAnsi="Arial" w:cs="Arial"/>
          <w:b/>
          <w:bCs/>
        </w:rPr>
      </w:pPr>
      <w:r w:rsidRPr="00A208AC">
        <w:rPr>
          <w:rFonts w:ascii="Arial" w:eastAsia="Calibri" w:hAnsi="Arial" w:cs="Arial"/>
          <w:b/>
          <w:bCs/>
        </w:rPr>
        <w:t xml:space="preserve"> Name: </w:t>
      </w:r>
      <w:r w:rsidR="005A2BB1">
        <w:rPr>
          <w:rFonts w:ascii="Arial" w:eastAsia="Calibri" w:hAnsi="Arial" w:cs="Arial"/>
          <w:b/>
          <w:bCs/>
        </w:rPr>
        <w:t>Asteria Joseph Nyamhanga Wilson</w:t>
      </w:r>
    </w:p>
    <w:p w14:paraId="7C58D5FF" w14:textId="74F74950" w:rsidR="00A208AC" w:rsidRPr="00A208AC" w:rsidRDefault="00A208AC" w:rsidP="00A208AC">
      <w:pPr>
        <w:spacing w:before="0" w:beforeAutospacing="0" w:after="160" w:afterAutospacing="0" w:line="259" w:lineRule="auto"/>
        <w:jc w:val="center"/>
        <w:rPr>
          <w:rFonts w:ascii="Arial" w:eastAsia="Calibri" w:hAnsi="Arial" w:cs="Arial"/>
          <w:color w:val="000000"/>
          <w:sz w:val="22"/>
        </w:rPr>
      </w:pPr>
      <w:r w:rsidRPr="00A208AC">
        <w:rPr>
          <w:rFonts w:ascii="Arial" w:eastAsia="Calibri" w:hAnsi="Arial" w:cs="Arial"/>
          <w:b/>
          <w:bCs/>
        </w:rPr>
        <w:t>Student ID:</w:t>
      </w:r>
      <w:r w:rsidR="005A2BB1">
        <w:rPr>
          <w:rFonts w:ascii="Arial" w:eastAsia="Calibri" w:hAnsi="Arial" w:cs="Arial"/>
          <w:b/>
          <w:bCs/>
        </w:rPr>
        <w:t>2311121</w:t>
      </w:r>
      <w:r w:rsidRPr="00A208AC">
        <w:rPr>
          <w:rFonts w:ascii="Arial" w:eastAsia="Calibri" w:hAnsi="Arial" w:cs="Arial"/>
          <w:color w:val="000000"/>
          <w:sz w:val="22"/>
        </w:rPr>
        <w:br w:type="page"/>
      </w:r>
    </w:p>
    <w:sdt>
      <w:sdtPr>
        <w:rPr>
          <w:rFonts w:ascii="Arial" w:eastAsia="Calibri" w:hAnsi="Arial" w:cs="Arial"/>
          <w:b/>
          <w:sz w:val="28"/>
          <w:szCs w:val="28"/>
        </w:rPr>
        <w:id w:val="-1546134479"/>
        <w:docPartObj>
          <w:docPartGallery w:val="Table of Contents"/>
          <w:docPartUnique/>
        </w:docPartObj>
      </w:sdtPr>
      <w:sdtEndPr>
        <w:rPr>
          <w:bCs/>
          <w:sz w:val="22"/>
          <w:szCs w:val="22"/>
        </w:rPr>
      </w:sdtEndPr>
      <w:sdtContent>
        <w:p w14:paraId="7716A360" w14:textId="77777777" w:rsidR="00A208AC" w:rsidRPr="00A208AC" w:rsidRDefault="00A208AC" w:rsidP="00A208AC">
          <w:pPr>
            <w:spacing w:before="0" w:beforeAutospacing="0" w:after="0" w:afterAutospacing="0"/>
            <w:jc w:val="center"/>
            <w:rPr>
              <w:rFonts w:ascii="Arial" w:eastAsia="Calibri" w:hAnsi="Arial" w:cs="Arial"/>
              <w:b/>
              <w:sz w:val="28"/>
              <w:szCs w:val="28"/>
            </w:rPr>
          </w:pPr>
          <w:r w:rsidRPr="00A208AC">
            <w:rPr>
              <w:rFonts w:ascii="Arial" w:eastAsia="Calibri" w:hAnsi="Arial" w:cs="Arial"/>
              <w:b/>
              <w:sz w:val="28"/>
              <w:szCs w:val="28"/>
            </w:rPr>
            <w:t>Table of Contents</w:t>
          </w:r>
        </w:p>
        <w:p w14:paraId="3BE16804" w14:textId="4B3E1432" w:rsidR="00A208AC" w:rsidRPr="00A208AC" w:rsidRDefault="00A208AC" w:rsidP="00A208AC">
          <w:pPr>
            <w:pStyle w:val="TOC1"/>
            <w:tabs>
              <w:tab w:val="right" w:leader="dot" w:pos="9016"/>
            </w:tabs>
            <w:spacing w:before="0" w:beforeAutospacing="0" w:after="0" w:afterAutospacing="0"/>
            <w:rPr>
              <w:rFonts w:ascii="Arial" w:hAnsi="Arial" w:cs="Arial"/>
              <w:sz w:val="22"/>
            </w:rPr>
          </w:pPr>
          <w:r w:rsidRPr="00A208AC">
            <w:rPr>
              <w:rFonts w:ascii="Arial" w:eastAsia="Calibri" w:hAnsi="Arial" w:cs="Arial"/>
              <w:sz w:val="22"/>
            </w:rPr>
            <w:fldChar w:fldCharType="begin"/>
          </w:r>
          <w:r w:rsidRPr="00A208AC">
            <w:rPr>
              <w:rFonts w:ascii="Arial" w:eastAsia="Calibri" w:hAnsi="Arial" w:cs="Arial"/>
              <w:sz w:val="22"/>
            </w:rPr>
            <w:instrText xml:space="preserve"> TOC \o "1-3" \h \z \u </w:instrText>
          </w:r>
          <w:r w:rsidRPr="00A208AC">
            <w:rPr>
              <w:rFonts w:ascii="Arial" w:eastAsia="Calibri" w:hAnsi="Arial" w:cs="Arial"/>
              <w:sz w:val="22"/>
            </w:rPr>
            <w:fldChar w:fldCharType="separate"/>
          </w:r>
          <w:hyperlink w:anchor="_Toc223603137" w:history="1">
            <w:r w:rsidRPr="00A208AC">
              <w:rPr>
                <w:rStyle w:val="Hyperlink"/>
                <w:rFonts w:ascii="Arial" w:hAnsi="Arial" w:cs="Arial"/>
                <w:sz w:val="22"/>
              </w:rPr>
              <w:t>Chapter 1: Introduction</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_Toc223603137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3</w:t>
            </w:r>
            <w:r w:rsidRPr="00A208AC">
              <w:rPr>
                <w:rFonts w:ascii="Arial" w:hAnsi="Arial" w:cs="Arial"/>
                <w:webHidden/>
                <w:sz w:val="22"/>
              </w:rPr>
              <w:fldChar w:fldCharType="end"/>
            </w:r>
          </w:hyperlink>
        </w:p>
        <w:p w14:paraId="51603C7E" w14:textId="49115A69"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38" w:history="1">
            <w:r w:rsidRPr="00A208AC">
              <w:rPr>
                <w:rStyle w:val="Hyperlink"/>
                <w:rFonts w:ascii="Arial" w:hAnsi="Arial" w:cs="Arial"/>
                <w:sz w:val="22"/>
              </w:rPr>
              <w:t>1.1 Introduction</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_Toc223603138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3</w:t>
            </w:r>
            <w:r w:rsidRPr="00A208AC">
              <w:rPr>
                <w:rFonts w:ascii="Arial" w:hAnsi="Arial" w:cs="Arial"/>
                <w:webHidden/>
                <w:sz w:val="22"/>
              </w:rPr>
              <w:fldChar w:fldCharType="end"/>
            </w:r>
          </w:hyperlink>
        </w:p>
        <w:p w14:paraId="73FD7BD9" w14:textId="044EDC8C"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39" w:history="1">
            <w:r w:rsidRPr="00A208AC">
              <w:rPr>
                <w:rStyle w:val="Hyperlink"/>
                <w:rFonts w:ascii="Arial" w:hAnsi="Arial" w:cs="Arial"/>
                <w:sz w:val="22"/>
              </w:rPr>
              <w:t>1.1.1 Overview of the topic</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_Toc223603139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3</w:t>
            </w:r>
            <w:r w:rsidRPr="00A208AC">
              <w:rPr>
                <w:rFonts w:ascii="Arial" w:hAnsi="Arial" w:cs="Arial"/>
                <w:webHidden/>
                <w:sz w:val="22"/>
              </w:rPr>
              <w:fldChar w:fldCharType="end"/>
            </w:r>
          </w:hyperlink>
        </w:p>
        <w:p w14:paraId="5E851802" w14:textId="31B4E71E"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40" w:history="1">
            <w:r w:rsidRPr="00A208AC">
              <w:rPr>
                <w:rStyle w:val="Hyperlink"/>
                <w:rFonts w:ascii="Arial" w:hAnsi="Arial" w:cs="Arial"/>
                <w:sz w:val="22"/>
              </w:rPr>
              <w:t>1.1.2 Aim of the Dissertation</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_Toc223603140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3</w:t>
            </w:r>
            <w:r w:rsidRPr="00A208AC">
              <w:rPr>
                <w:rFonts w:ascii="Arial" w:hAnsi="Arial" w:cs="Arial"/>
                <w:webHidden/>
                <w:sz w:val="22"/>
              </w:rPr>
              <w:fldChar w:fldCharType="end"/>
            </w:r>
          </w:hyperlink>
        </w:p>
        <w:p w14:paraId="32F6FF63" w14:textId="70966CCA"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41" w:history="1">
            <w:r w:rsidRPr="00A208AC">
              <w:rPr>
                <w:rStyle w:val="Hyperlink"/>
                <w:rFonts w:ascii="Arial" w:hAnsi="Arial" w:cs="Arial"/>
                <w:sz w:val="22"/>
              </w:rPr>
              <w:t>1.2 Definitions and Terminology</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_Toc223603141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4</w:t>
            </w:r>
            <w:r w:rsidRPr="00A208AC">
              <w:rPr>
                <w:rFonts w:ascii="Arial" w:hAnsi="Arial" w:cs="Arial"/>
                <w:webHidden/>
                <w:sz w:val="22"/>
              </w:rPr>
              <w:fldChar w:fldCharType="end"/>
            </w:r>
          </w:hyperlink>
        </w:p>
        <w:p w14:paraId="48B039B4" w14:textId="6B01EB11"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42" w:history="1">
            <w:r w:rsidRPr="00A208AC">
              <w:rPr>
                <w:rStyle w:val="Hyperlink"/>
                <w:rFonts w:ascii="Arial" w:hAnsi="Arial" w:cs="Arial"/>
                <w:sz w:val="22"/>
              </w:rPr>
              <w:t>1.2.1 Key Definations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_Toc223603142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4</w:t>
            </w:r>
            <w:r w:rsidRPr="00A208AC">
              <w:rPr>
                <w:rFonts w:ascii="Arial" w:hAnsi="Arial" w:cs="Arial"/>
                <w:webHidden/>
                <w:sz w:val="22"/>
              </w:rPr>
              <w:fldChar w:fldCharType="end"/>
            </w:r>
          </w:hyperlink>
        </w:p>
        <w:p w14:paraId="2BA285D5" w14:textId="7F060289"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43" w:history="1">
            <w:r w:rsidRPr="00A208AC">
              <w:rPr>
                <w:rStyle w:val="Hyperlink"/>
                <w:rFonts w:ascii="Arial" w:hAnsi="Arial" w:cs="Arial"/>
                <w:sz w:val="22"/>
              </w:rPr>
              <w:t>1.2.1 Acronyms and Abbrebiations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_Toc223603143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4</w:t>
            </w:r>
            <w:r w:rsidRPr="00A208AC">
              <w:rPr>
                <w:rFonts w:ascii="Arial" w:hAnsi="Arial" w:cs="Arial"/>
                <w:webHidden/>
                <w:sz w:val="22"/>
              </w:rPr>
              <w:fldChar w:fldCharType="end"/>
            </w:r>
          </w:hyperlink>
        </w:p>
        <w:p w14:paraId="14F5153F" w14:textId="197660F6"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44" w:history="1">
            <w:r w:rsidRPr="00A208AC">
              <w:rPr>
                <w:rStyle w:val="Hyperlink"/>
                <w:rFonts w:ascii="Arial" w:hAnsi="Arial" w:cs="Arial"/>
                <w:sz w:val="22"/>
              </w:rPr>
              <w:t>1.3 Rationale for Research</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_Toc223603144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4</w:t>
            </w:r>
            <w:r w:rsidRPr="00A208AC">
              <w:rPr>
                <w:rFonts w:ascii="Arial" w:hAnsi="Arial" w:cs="Arial"/>
                <w:webHidden/>
                <w:sz w:val="22"/>
              </w:rPr>
              <w:fldChar w:fldCharType="end"/>
            </w:r>
          </w:hyperlink>
        </w:p>
        <w:p w14:paraId="193CD5B3" w14:textId="5EACCE9B"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45" w:history="1">
            <w:r w:rsidRPr="00A208AC">
              <w:rPr>
                <w:rStyle w:val="Hyperlink"/>
                <w:rFonts w:ascii="Arial" w:hAnsi="Arial" w:cs="Arial"/>
                <w:sz w:val="22"/>
              </w:rPr>
              <w:t>1.3.1 Purpose of the research</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_Toc223603145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4</w:t>
            </w:r>
            <w:r w:rsidRPr="00A208AC">
              <w:rPr>
                <w:rFonts w:ascii="Arial" w:hAnsi="Arial" w:cs="Arial"/>
                <w:webHidden/>
                <w:sz w:val="22"/>
              </w:rPr>
              <w:fldChar w:fldCharType="end"/>
            </w:r>
          </w:hyperlink>
        </w:p>
        <w:p w14:paraId="4DDEF643" w14:textId="72C90D59"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46" w:history="1">
            <w:r w:rsidRPr="00A208AC">
              <w:rPr>
                <w:rStyle w:val="Hyperlink"/>
                <w:rFonts w:ascii="Arial" w:hAnsi="Arial" w:cs="Arial"/>
                <w:sz w:val="22"/>
              </w:rPr>
              <w:t>1.3.2 Research Problem and Research Gaps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_Toc223603146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5</w:t>
            </w:r>
            <w:r w:rsidRPr="00A208AC">
              <w:rPr>
                <w:rFonts w:ascii="Arial" w:hAnsi="Arial" w:cs="Arial"/>
                <w:webHidden/>
                <w:sz w:val="22"/>
              </w:rPr>
              <w:fldChar w:fldCharType="end"/>
            </w:r>
          </w:hyperlink>
        </w:p>
        <w:p w14:paraId="7D9A580E" w14:textId="1A47766C"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47" w:history="1">
            <w:r w:rsidRPr="00A208AC">
              <w:rPr>
                <w:rStyle w:val="Hyperlink"/>
                <w:rFonts w:ascii="Arial" w:hAnsi="Arial" w:cs="Arial"/>
                <w:sz w:val="22"/>
              </w:rPr>
              <w:t>1.4 Aim and Objectives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_Toc223603147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5</w:t>
            </w:r>
            <w:r w:rsidRPr="00A208AC">
              <w:rPr>
                <w:rFonts w:ascii="Arial" w:hAnsi="Arial" w:cs="Arial"/>
                <w:webHidden/>
                <w:sz w:val="22"/>
              </w:rPr>
              <w:fldChar w:fldCharType="end"/>
            </w:r>
          </w:hyperlink>
        </w:p>
        <w:p w14:paraId="25310A9F" w14:textId="2C467979"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48" w:history="1">
            <w:r w:rsidRPr="00A208AC">
              <w:rPr>
                <w:rStyle w:val="Hyperlink"/>
                <w:rFonts w:ascii="Arial" w:hAnsi="Arial" w:cs="Arial"/>
                <w:sz w:val="22"/>
              </w:rPr>
              <w:t>1.4.1 Research Aim</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_Toc223603148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5</w:t>
            </w:r>
            <w:r w:rsidRPr="00A208AC">
              <w:rPr>
                <w:rFonts w:ascii="Arial" w:hAnsi="Arial" w:cs="Arial"/>
                <w:webHidden/>
                <w:sz w:val="22"/>
              </w:rPr>
              <w:fldChar w:fldCharType="end"/>
            </w:r>
          </w:hyperlink>
        </w:p>
        <w:p w14:paraId="65714136" w14:textId="1CCF1C85"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49" w:history="1">
            <w:r w:rsidRPr="00A208AC">
              <w:rPr>
                <w:rStyle w:val="Hyperlink"/>
                <w:rFonts w:ascii="Arial" w:hAnsi="Arial" w:cs="Arial"/>
                <w:sz w:val="22"/>
              </w:rPr>
              <w:t>1.4.2 Research Objective</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_Toc223603149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6</w:t>
            </w:r>
            <w:r w:rsidRPr="00A208AC">
              <w:rPr>
                <w:rFonts w:ascii="Arial" w:hAnsi="Arial" w:cs="Arial"/>
                <w:webHidden/>
                <w:sz w:val="22"/>
              </w:rPr>
              <w:fldChar w:fldCharType="end"/>
            </w:r>
          </w:hyperlink>
        </w:p>
        <w:p w14:paraId="44DFB173" w14:textId="3CF49FB7"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50" w:history="1">
            <w:r w:rsidRPr="00A208AC">
              <w:rPr>
                <w:rStyle w:val="Hyperlink"/>
                <w:rFonts w:ascii="Arial" w:hAnsi="Arial" w:cs="Arial"/>
                <w:sz w:val="22"/>
              </w:rPr>
              <w:t>1.5 Conclusion</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_Toc223603150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6</w:t>
            </w:r>
            <w:r w:rsidRPr="00A208AC">
              <w:rPr>
                <w:rFonts w:ascii="Arial" w:hAnsi="Arial" w:cs="Arial"/>
                <w:webHidden/>
                <w:sz w:val="22"/>
              </w:rPr>
              <w:fldChar w:fldCharType="end"/>
            </w:r>
          </w:hyperlink>
        </w:p>
        <w:p w14:paraId="54A753C8" w14:textId="06FA5E57"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51" w:history="1">
            <w:r w:rsidRPr="00A208AC">
              <w:rPr>
                <w:rStyle w:val="Hyperlink"/>
                <w:rFonts w:ascii="Arial" w:hAnsi="Arial" w:cs="Arial"/>
                <w:sz w:val="22"/>
              </w:rPr>
              <w:t>1.5.1 Summary of Introduction Chapter</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_Toc223603151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6</w:t>
            </w:r>
            <w:r w:rsidRPr="00A208AC">
              <w:rPr>
                <w:rFonts w:ascii="Arial" w:hAnsi="Arial" w:cs="Arial"/>
                <w:webHidden/>
                <w:sz w:val="22"/>
              </w:rPr>
              <w:fldChar w:fldCharType="end"/>
            </w:r>
          </w:hyperlink>
        </w:p>
        <w:p w14:paraId="3245F2AE" w14:textId="384F1B5D"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52" w:history="1">
            <w:r w:rsidRPr="00A208AC">
              <w:rPr>
                <w:rStyle w:val="Hyperlink"/>
                <w:rFonts w:ascii="Arial" w:hAnsi="Arial" w:cs="Arial"/>
                <w:sz w:val="22"/>
              </w:rPr>
              <w:t>1.5.2 Signpost of Chapter 2</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_Toc223603152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6</w:t>
            </w:r>
            <w:r w:rsidRPr="00A208AC">
              <w:rPr>
                <w:rFonts w:ascii="Arial" w:hAnsi="Arial" w:cs="Arial"/>
                <w:webHidden/>
                <w:sz w:val="22"/>
              </w:rPr>
              <w:fldChar w:fldCharType="end"/>
            </w:r>
          </w:hyperlink>
        </w:p>
        <w:p w14:paraId="407BBA94" w14:textId="2ED26E88" w:rsidR="00A208AC" w:rsidRPr="00A208AC" w:rsidRDefault="00A208AC" w:rsidP="00A208AC">
          <w:pPr>
            <w:pStyle w:val="TOC1"/>
            <w:tabs>
              <w:tab w:val="right" w:leader="dot" w:pos="9016"/>
            </w:tabs>
            <w:spacing w:before="0" w:beforeAutospacing="0" w:after="0" w:afterAutospacing="0"/>
            <w:rPr>
              <w:rFonts w:ascii="Arial" w:hAnsi="Arial" w:cs="Arial"/>
              <w:sz w:val="22"/>
            </w:rPr>
          </w:pPr>
          <w:hyperlink w:anchor="_Toc223603153" w:history="1">
            <w:r w:rsidRPr="00A208AC">
              <w:rPr>
                <w:rStyle w:val="Hyperlink"/>
                <w:rFonts w:ascii="Arial" w:hAnsi="Arial" w:cs="Arial"/>
                <w:sz w:val="22"/>
              </w:rPr>
              <w:t>2. CHAPTER 2 – Background Information and Analysis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_Toc223603153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7</w:t>
            </w:r>
            <w:r w:rsidRPr="00A208AC">
              <w:rPr>
                <w:rFonts w:ascii="Arial" w:hAnsi="Arial" w:cs="Arial"/>
                <w:webHidden/>
                <w:sz w:val="22"/>
              </w:rPr>
              <w:fldChar w:fldCharType="end"/>
            </w:r>
          </w:hyperlink>
        </w:p>
        <w:p w14:paraId="65B19089" w14:textId="14CC35E6"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54" w:history="1">
            <w:r w:rsidRPr="00A208AC">
              <w:rPr>
                <w:rStyle w:val="Hyperlink"/>
                <w:rFonts w:ascii="Arial" w:hAnsi="Arial" w:cs="Arial"/>
                <w:sz w:val="22"/>
              </w:rPr>
              <w:t>2.1 Introduction</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_Toc223603154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7</w:t>
            </w:r>
            <w:r w:rsidRPr="00A208AC">
              <w:rPr>
                <w:rFonts w:ascii="Arial" w:hAnsi="Arial" w:cs="Arial"/>
                <w:webHidden/>
                <w:sz w:val="22"/>
              </w:rPr>
              <w:fldChar w:fldCharType="end"/>
            </w:r>
          </w:hyperlink>
        </w:p>
        <w:p w14:paraId="6802D0A0" w14:textId="1F7C0FE6"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55" w:history="1">
            <w:r w:rsidRPr="00A208AC">
              <w:rPr>
                <w:rStyle w:val="Hyperlink"/>
                <w:rFonts w:ascii="Arial" w:hAnsi="Arial" w:cs="Arial"/>
                <w:sz w:val="22"/>
              </w:rPr>
              <w:t>2.2 Historical Background</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_Toc223603155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7</w:t>
            </w:r>
            <w:r w:rsidRPr="00A208AC">
              <w:rPr>
                <w:rFonts w:ascii="Arial" w:hAnsi="Arial" w:cs="Arial"/>
                <w:webHidden/>
                <w:sz w:val="22"/>
              </w:rPr>
              <w:fldChar w:fldCharType="end"/>
            </w:r>
          </w:hyperlink>
        </w:p>
        <w:p w14:paraId="4F0A89CD" w14:textId="7CD0E1C8"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56" w:history="1">
            <w:r w:rsidRPr="00A208AC">
              <w:rPr>
                <w:rStyle w:val="Hyperlink"/>
                <w:rFonts w:ascii="Arial" w:hAnsi="Arial" w:cs="Arial"/>
                <w:sz w:val="22"/>
              </w:rPr>
              <w:t>2.2.1 Development of the Topic</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_Toc223603156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7</w:t>
            </w:r>
            <w:r w:rsidRPr="00A208AC">
              <w:rPr>
                <w:rFonts w:ascii="Arial" w:hAnsi="Arial" w:cs="Arial"/>
                <w:webHidden/>
                <w:sz w:val="22"/>
              </w:rPr>
              <w:fldChar w:fldCharType="end"/>
            </w:r>
          </w:hyperlink>
        </w:p>
        <w:p w14:paraId="62556B17" w14:textId="6DEB9F5C"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57" w:history="1">
            <w:r w:rsidRPr="00A208AC">
              <w:rPr>
                <w:rStyle w:val="Hyperlink"/>
                <w:rFonts w:ascii="Arial" w:hAnsi="Arial" w:cs="Arial"/>
                <w:sz w:val="22"/>
              </w:rPr>
              <w:t>2.2.2 Significant Historical Figures and Contributions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_Toc223603157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8</w:t>
            </w:r>
            <w:r w:rsidRPr="00A208AC">
              <w:rPr>
                <w:rFonts w:ascii="Arial" w:hAnsi="Arial" w:cs="Arial"/>
                <w:webHidden/>
                <w:sz w:val="22"/>
              </w:rPr>
              <w:fldChar w:fldCharType="end"/>
            </w:r>
          </w:hyperlink>
        </w:p>
        <w:p w14:paraId="01FA4799" w14:textId="4D69D24A"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58" w:history="1">
            <w:r w:rsidRPr="00A208AC">
              <w:rPr>
                <w:rStyle w:val="Hyperlink"/>
                <w:rFonts w:ascii="Arial" w:hAnsi="Arial" w:cs="Arial"/>
                <w:sz w:val="22"/>
              </w:rPr>
              <w:t>2.3 Theoretical Background</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_Toc223603158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8</w:t>
            </w:r>
            <w:r w:rsidRPr="00A208AC">
              <w:rPr>
                <w:rFonts w:ascii="Arial" w:hAnsi="Arial" w:cs="Arial"/>
                <w:webHidden/>
                <w:sz w:val="22"/>
              </w:rPr>
              <w:fldChar w:fldCharType="end"/>
            </w:r>
          </w:hyperlink>
        </w:p>
        <w:p w14:paraId="79995DD1" w14:textId="18EDB91D"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59" w:history="1">
            <w:r w:rsidRPr="00A208AC">
              <w:rPr>
                <w:rStyle w:val="Hyperlink"/>
                <w:rFonts w:ascii="Arial" w:hAnsi="Arial" w:cs="Arial"/>
                <w:sz w:val="22"/>
              </w:rPr>
              <w:t>2.3.1 Key Theories and Concepts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_Toc223603159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8</w:t>
            </w:r>
            <w:r w:rsidRPr="00A208AC">
              <w:rPr>
                <w:rFonts w:ascii="Arial" w:hAnsi="Arial" w:cs="Arial"/>
                <w:webHidden/>
                <w:sz w:val="22"/>
              </w:rPr>
              <w:fldChar w:fldCharType="end"/>
            </w:r>
          </w:hyperlink>
        </w:p>
        <w:p w14:paraId="0BB125B3" w14:textId="1638BF9F"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60" w:history="1">
            <w:r w:rsidRPr="00A208AC">
              <w:rPr>
                <w:rStyle w:val="Hyperlink"/>
                <w:rFonts w:ascii="Arial" w:hAnsi="Arial" w:cs="Arial"/>
                <w:sz w:val="22"/>
              </w:rPr>
              <w:t>2.3.2 Application of Theories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_Toc223603160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9</w:t>
            </w:r>
            <w:r w:rsidRPr="00A208AC">
              <w:rPr>
                <w:rFonts w:ascii="Arial" w:hAnsi="Arial" w:cs="Arial"/>
                <w:webHidden/>
                <w:sz w:val="22"/>
              </w:rPr>
              <w:fldChar w:fldCharType="end"/>
            </w:r>
          </w:hyperlink>
        </w:p>
        <w:p w14:paraId="25FFF781" w14:textId="3F994DEE"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61" w:history="1">
            <w:r w:rsidRPr="00A208AC">
              <w:rPr>
                <w:rStyle w:val="Hyperlink"/>
                <w:rFonts w:ascii="Arial" w:hAnsi="Arial" w:cs="Arial"/>
                <w:sz w:val="22"/>
              </w:rPr>
              <w:t>2.3.3 Critical Evaluation</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_Toc223603161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9</w:t>
            </w:r>
            <w:r w:rsidRPr="00A208AC">
              <w:rPr>
                <w:rFonts w:ascii="Arial" w:hAnsi="Arial" w:cs="Arial"/>
                <w:webHidden/>
                <w:sz w:val="22"/>
              </w:rPr>
              <w:fldChar w:fldCharType="end"/>
            </w:r>
          </w:hyperlink>
        </w:p>
        <w:p w14:paraId="67C6E188" w14:textId="4094F87D"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62" w:history="1">
            <w:r w:rsidRPr="00A208AC">
              <w:rPr>
                <w:rStyle w:val="Hyperlink"/>
                <w:rFonts w:ascii="Arial" w:hAnsi="Arial" w:cs="Arial"/>
                <w:sz w:val="22"/>
              </w:rPr>
              <w:t>2.4 International Context</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_Toc223603162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10</w:t>
            </w:r>
            <w:r w:rsidRPr="00A208AC">
              <w:rPr>
                <w:rFonts w:ascii="Arial" w:hAnsi="Arial" w:cs="Arial"/>
                <w:webHidden/>
                <w:sz w:val="22"/>
              </w:rPr>
              <w:fldChar w:fldCharType="end"/>
            </w:r>
          </w:hyperlink>
        </w:p>
        <w:p w14:paraId="53C71E28" w14:textId="5D1B492A"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63" w:history="1">
            <w:r w:rsidRPr="00A208AC">
              <w:rPr>
                <w:rStyle w:val="Hyperlink"/>
                <w:rFonts w:ascii="Arial" w:hAnsi="Arial" w:cs="Arial"/>
                <w:sz w:val="22"/>
              </w:rPr>
              <w:t>2.4.1 Global Perspective</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_Toc223603163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10</w:t>
            </w:r>
            <w:r w:rsidRPr="00A208AC">
              <w:rPr>
                <w:rFonts w:ascii="Arial" w:hAnsi="Arial" w:cs="Arial"/>
                <w:webHidden/>
                <w:sz w:val="22"/>
              </w:rPr>
              <w:fldChar w:fldCharType="end"/>
            </w:r>
          </w:hyperlink>
        </w:p>
        <w:p w14:paraId="18DCD91F" w14:textId="7EDA127E"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64" w:history="1">
            <w:r w:rsidRPr="00A208AC">
              <w:rPr>
                <w:rStyle w:val="Hyperlink"/>
                <w:rFonts w:ascii="Arial" w:hAnsi="Arial" w:cs="Arial"/>
                <w:sz w:val="22"/>
              </w:rPr>
              <w:t>2.4.2 Comparative Analysis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_Toc223603164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11</w:t>
            </w:r>
            <w:r w:rsidRPr="00A208AC">
              <w:rPr>
                <w:rFonts w:ascii="Arial" w:hAnsi="Arial" w:cs="Arial"/>
                <w:webHidden/>
                <w:sz w:val="22"/>
              </w:rPr>
              <w:fldChar w:fldCharType="end"/>
            </w:r>
          </w:hyperlink>
        </w:p>
        <w:p w14:paraId="6B824603" w14:textId="3661B692"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65" w:history="1">
            <w:r w:rsidRPr="00A208AC">
              <w:rPr>
                <w:rStyle w:val="Hyperlink"/>
                <w:rFonts w:ascii="Arial" w:hAnsi="Arial" w:cs="Arial"/>
                <w:sz w:val="22"/>
              </w:rPr>
              <w:t>2.4.3 Case Studies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_Toc223603165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12</w:t>
            </w:r>
            <w:r w:rsidRPr="00A208AC">
              <w:rPr>
                <w:rFonts w:ascii="Arial" w:hAnsi="Arial" w:cs="Arial"/>
                <w:webHidden/>
                <w:sz w:val="22"/>
              </w:rPr>
              <w:fldChar w:fldCharType="end"/>
            </w:r>
          </w:hyperlink>
        </w:p>
        <w:p w14:paraId="7FC4D36D" w14:textId="3C5EB9DA"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66" w:history="1">
            <w:r w:rsidRPr="00A208AC">
              <w:rPr>
                <w:rStyle w:val="Hyperlink"/>
                <w:rFonts w:ascii="Arial" w:hAnsi="Arial" w:cs="Arial"/>
                <w:sz w:val="22"/>
                <w:lang w:eastAsia="zh-CN"/>
              </w:rPr>
              <w:t>2.5 National/Local UK Context</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_Toc223603166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12</w:t>
            </w:r>
            <w:r w:rsidRPr="00A208AC">
              <w:rPr>
                <w:rFonts w:ascii="Arial" w:hAnsi="Arial" w:cs="Arial"/>
                <w:webHidden/>
                <w:sz w:val="22"/>
              </w:rPr>
              <w:fldChar w:fldCharType="end"/>
            </w:r>
          </w:hyperlink>
        </w:p>
        <w:p w14:paraId="3CF003FE" w14:textId="19F609AD"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67" w:history="1">
            <w:r w:rsidRPr="00A208AC">
              <w:rPr>
                <w:rStyle w:val="Hyperlink"/>
                <w:rFonts w:ascii="Arial" w:hAnsi="Arial" w:cs="Arial"/>
                <w:sz w:val="22"/>
              </w:rPr>
              <w:t>2.5.1 UK Perspective</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_Toc223603167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12</w:t>
            </w:r>
            <w:r w:rsidRPr="00A208AC">
              <w:rPr>
                <w:rFonts w:ascii="Arial" w:hAnsi="Arial" w:cs="Arial"/>
                <w:webHidden/>
                <w:sz w:val="22"/>
              </w:rPr>
              <w:fldChar w:fldCharType="end"/>
            </w:r>
          </w:hyperlink>
        </w:p>
        <w:p w14:paraId="5ED609CD" w14:textId="719993FC"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68" w:history="1">
            <w:r w:rsidRPr="00A208AC">
              <w:rPr>
                <w:rStyle w:val="Hyperlink"/>
                <w:rFonts w:ascii="Arial" w:hAnsi="Arial" w:cs="Arial"/>
                <w:sz w:val="22"/>
              </w:rPr>
              <w:t>2.5.2 Policy and Regulation</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_Toc223603168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13</w:t>
            </w:r>
            <w:r w:rsidRPr="00A208AC">
              <w:rPr>
                <w:rFonts w:ascii="Arial" w:hAnsi="Arial" w:cs="Arial"/>
                <w:webHidden/>
                <w:sz w:val="22"/>
              </w:rPr>
              <w:fldChar w:fldCharType="end"/>
            </w:r>
          </w:hyperlink>
        </w:p>
        <w:p w14:paraId="5442F834" w14:textId="4565BC65"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69" w:history="1">
            <w:r w:rsidRPr="00A208AC">
              <w:rPr>
                <w:rStyle w:val="Hyperlink"/>
                <w:rFonts w:ascii="Arial" w:hAnsi="Arial" w:cs="Arial"/>
                <w:sz w:val="22"/>
              </w:rPr>
              <w:t>2.5.3 Local Context</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_Toc223603169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13</w:t>
            </w:r>
            <w:r w:rsidRPr="00A208AC">
              <w:rPr>
                <w:rFonts w:ascii="Arial" w:hAnsi="Arial" w:cs="Arial"/>
                <w:webHidden/>
                <w:sz w:val="22"/>
              </w:rPr>
              <w:fldChar w:fldCharType="end"/>
            </w:r>
          </w:hyperlink>
        </w:p>
        <w:p w14:paraId="2838D0F6" w14:textId="7B03DCAF" w:rsidR="00A208AC" w:rsidRPr="00A208AC" w:rsidRDefault="00A208AC" w:rsidP="00A208AC">
          <w:pPr>
            <w:pStyle w:val="TOC2"/>
            <w:tabs>
              <w:tab w:val="right" w:leader="dot" w:pos="9016"/>
            </w:tabs>
            <w:spacing w:before="0" w:beforeAutospacing="0" w:after="0" w:afterAutospacing="0"/>
            <w:rPr>
              <w:rFonts w:ascii="Arial" w:hAnsi="Arial" w:cs="Arial"/>
              <w:sz w:val="22"/>
            </w:rPr>
          </w:pPr>
          <w:hyperlink w:anchor="_Toc223603170" w:history="1">
            <w:r w:rsidRPr="00A208AC">
              <w:rPr>
                <w:rStyle w:val="Hyperlink"/>
                <w:rFonts w:ascii="Arial" w:hAnsi="Arial" w:cs="Arial"/>
                <w:sz w:val="22"/>
              </w:rPr>
              <w:t>2.6 Conclusion</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_Toc223603170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14</w:t>
            </w:r>
            <w:r w:rsidRPr="00A208AC">
              <w:rPr>
                <w:rFonts w:ascii="Arial" w:hAnsi="Arial" w:cs="Arial"/>
                <w:webHidden/>
                <w:sz w:val="22"/>
              </w:rPr>
              <w:fldChar w:fldCharType="end"/>
            </w:r>
          </w:hyperlink>
        </w:p>
        <w:p w14:paraId="26B540B0" w14:textId="5CDE65DA"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71" w:history="1">
            <w:r w:rsidRPr="00A208AC">
              <w:rPr>
                <w:rStyle w:val="Hyperlink"/>
                <w:rFonts w:ascii="Arial" w:hAnsi="Arial" w:cs="Arial"/>
                <w:sz w:val="22"/>
              </w:rPr>
              <w:t>2.6.1 Summary of Key Points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_Toc223603171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14</w:t>
            </w:r>
            <w:r w:rsidRPr="00A208AC">
              <w:rPr>
                <w:rFonts w:ascii="Arial" w:hAnsi="Arial" w:cs="Arial"/>
                <w:webHidden/>
                <w:sz w:val="22"/>
              </w:rPr>
              <w:fldChar w:fldCharType="end"/>
            </w:r>
          </w:hyperlink>
        </w:p>
        <w:p w14:paraId="127F792E" w14:textId="334A2005" w:rsidR="00A208AC" w:rsidRPr="00A208AC" w:rsidRDefault="00A208AC" w:rsidP="00A208AC">
          <w:pPr>
            <w:pStyle w:val="TOC3"/>
            <w:tabs>
              <w:tab w:val="right" w:leader="dot" w:pos="9016"/>
            </w:tabs>
            <w:spacing w:before="0" w:beforeAutospacing="0" w:after="0" w:afterAutospacing="0"/>
            <w:rPr>
              <w:rFonts w:ascii="Arial" w:hAnsi="Arial" w:cs="Arial"/>
              <w:sz w:val="22"/>
            </w:rPr>
          </w:pPr>
          <w:hyperlink w:anchor="_Toc223603172" w:history="1">
            <w:r w:rsidRPr="00A208AC">
              <w:rPr>
                <w:rStyle w:val="Hyperlink"/>
                <w:rFonts w:ascii="Arial" w:hAnsi="Arial" w:cs="Arial"/>
                <w:sz w:val="22"/>
              </w:rPr>
              <w:t>2.6.2 Signpost to Methodology</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_Toc223603172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14</w:t>
            </w:r>
            <w:r w:rsidRPr="00A208AC">
              <w:rPr>
                <w:rFonts w:ascii="Arial" w:hAnsi="Arial" w:cs="Arial"/>
                <w:webHidden/>
                <w:sz w:val="22"/>
              </w:rPr>
              <w:fldChar w:fldCharType="end"/>
            </w:r>
          </w:hyperlink>
        </w:p>
        <w:p w14:paraId="3F589A00" w14:textId="502FEFC4" w:rsidR="00A208AC" w:rsidRPr="00A208AC" w:rsidRDefault="00A208AC" w:rsidP="00A208AC">
          <w:pPr>
            <w:pStyle w:val="TOC1"/>
            <w:tabs>
              <w:tab w:val="right" w:leader="dot" w:pos="9016"/>
            </w:tabs>
            <w:spacing w:before="0" w:beforeAutospacing="0" w:after="0" w:afterAutospacing="0"/>
            <w:rPr>
              <w:rFonts w:ascii="Arial" w:hAnsi="Arial" w:cs="Arial"/>
              <w:sz w:val="22"/>
            </w:rPr>
          </w:pPr>
          <w:hyperlink w:anchor="_Toc223603173" w:history="1">
            <w:r w:rsidRPr="00A208AC">
              <w:rPr>
                <w:rStyle w:val="Hyperlink"/>
                <w:rFonts w:ascii="Arial" w:eastAsia="Times New Roman" w:hAnsi="Arial" w:cs="Arial"/>
                <w:b/>
                <w:sz w:val="22"/>
                <w:lang w:eastAsia="zh-CN"/>
              </w:rPr>
              <w:t>References</w:t>
            </w:r>
            <w:r w:rsidRPr="00A208AC">
              <w:rPr>
                <w:rFonts w:ascii="Arial" w:hAnsi="Arial" w:cs="Arial"/>
                <w:webHidden/>
                <w:sz w:val="22"/>
              </w:rPr>
              <w:tab/>
            </w:r>
            <w:r w:rsidRPr="00A208AC">
              <w:rPr>
                <w:rFonts w:ascii="Arial" w:hAnsi="Arial" w:cs="Arial"/>
                <w:webHidden/>
                <w:sz w:val="22"/>
              </w:rPr>
              <w:fldChar w:fldCharType="begin"/>
            </w:r>
            <w:r w:rsidRPr="00A208AC">
              <w:rPr>
                <w:rFonts w:ascii="Arial" w:hAnsi="Arial" w:cs="Arial"/>
                <w:webHidden/>
                <w:sz w:val="22"/>
              </w:rPr>
              <w:instrText xml:space="preserve"> PAGEREF _Toc223603173 \h </w:instrText>
            </w:r>
            <w:r w:rsidRPr="00A208AC">
              <w:rPr>
                <w:rFonts w:ascii="Arial" w:hAnsi="Arial" w:cs="Arial"/>
                <w:webHidden/>
                <w:sz w:val="22"/>
              </w:rPr>
            </w:r>
            <w:r w:rsidRPr="00A208AC">
              <w:rPr>
                <w:rFonts w:ascii="Arial" w:hAnsi="Arial" w:cs="Arial"/>
                <w:webHidden/>
                <w:sz w:val="22"/>
              </w:rPr>
              <w:fldChar w:fldCharType="separate"/>
            </w:r>
            <w:r w:rsidRPr="00A208AC">
              <w:rPr>
                <w:rFonts w:ascii="Arial" w:hAnsi="Arial" w:cs="Arial"/>
                <w:webHidden/>
                <w:sz w:val="22"/>
              </w:rPr>
              <w:t>15</w:t>
            </w:r>
            <w:r w:rsidRPr="00A208AC">
              <w:rPr>
                <w:rFonts w:ascii="Arial" w:hAnsi="Arial" w:cs="Arial"/>
                <w:webHidden/>
                <w:sz w:val="22"/>
              </w:rPr>
              <w:fldChar w:fldCharType="end"/>
            </w:r>
          </w:hyperlink>
        </w:p>
        <w:p w14:paraId="5E70357E" w14:textId="4518C5FF" w:rsidR="00A208AC" w:rsidRPr="00A208AC" w:rsidRDefault="00A208AC" w:rsidP="00A208AC">
          <w:pPr>
            <w:spacing w:before="0" w:beforeAutospacing="0" w:after="0" w:afterAutospacing="0"/>
            <w:rPr>
              <w:rFonts w:ascii="Arial" w:eastAsia="Calibri" w:hAnsi="Arial" w:cs="Arial"/>
              <w:sz w:val="22"/>
            </w:rPr>
          </w:pPr>
          <w:r w:rsidRPr="00A208AC">
            <w:rPr>
              <w:rFonts w:ascii="Arial" w:eastAsia="Calibri" w:hAnsi="Arial" w:cs="Arial"/>
              <w:b/>
              <w:bCs/>
              <w:sz w:val="22"/>
            </w:rPr>
            <w:fldChar w:fldCharType="end"/>
          </w:r>
        </w:p>
      </w:sdtContent>
    </w:sdt>
    <w:p w14:paraId="11C10CCD"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br w:type="page"/>
      </w:r>
    </w:p>
    <w:p w14:paraId="6373065F" w14:textId="77777777" w:rsidR="00A208AC" w:rsidRPr="00A208AC" w:rsidRDefault="00A208AC" w:rsidP="00A208AC">
      <w:pPr>
        <w:pStyle w:val="Heading1"/>
      </w:pPr>
      <w:bookmarkStart w:id="0" w:name="_Toc222147333"/>
      <w:bookmarkStart w:id="1" w:name="_Toc223603137"/>
      <w:bookmarkStart w:id="2" w:name="_Toc222575603"/>
      <w:r w:rsidRPr="00A208AC">
        <w:lastRenderedPageBreak/>
        <w:t>Chapter 1: Introduction</w:t>
      </w:r>
      <w:bookmarkEnd w:id="0"/>
      <w:bookmarkEnd w:id="1"/>
    </w:p>
    <w:p w14:paraId="4EC8628C" w14:textId="77777777" w:rsidR="00A208AC" w:rsidRPr="00A208AC" w:rsidRDefault="00A208AC" w:rsidP="00A208AC">
      <w:pPr>
        <w:pStyle w:val="Heading2"/>
      </w:pPr>
      <w:bookmarkStart w:id="3" w:name="_Toc222147334"/>
      <w:bookmarkStart w:id="4" w:name="_Toc223603138"/>
      <w:r w:rsidRPr="00A208AC">
        <w:t>1.1 Introduction</w:t>
      </w:r>
      <w:bookmarkEnd w:id="3"/>
      <w:bookmarkEnd w:id="4"/>
      <w:r w:rsidRPr="00A208AC">
        <w:t> </w:t>
      </w:r>
    </w:p>
    <w:p w14:paraId="78796E3F" w14:textId="77777777" w:rsidR="00A208AC" w:rsidRPr="00A208AC" w:rsidRDefault="00A208AC" w:rsidP="00A208AC">
      <w:pPr>
        <w:pStyle w:val="Heading3"/>
      </w:pPr>
      <w:bookmarkStart w:id="5" w:name="_Toc222147335"/>
      <w:bookmarkStart w:id="6" w:name="_Toc223603139"/>
      <w:r w:rsidRPr="00A208AC">
        <w:t>1.1.1 Overview of the topic</w:t>
      </w:r>
      <w:bookmarkEnd w:id="5"/>
      <w:bookmarkEnd w:id="6"/>
      <w:r w:rsidRPr="00A208AC">
        <w:t> </w:t>
      </w:r>
    </w:p>
    <w:p w14:paraId="65875B79" w14:textId="77777777" w:rsidR="00A208AC" w:rsidRPr="00A208AC" w:rsidRDefault="00A208AC" w:rsidP="00A208AC">
      <w:pPr>
        <w:rPr>
          <w:rFonts w:ascii="Arial" w:hAnsi="Arial" w:cs="Arial"/>
          <w:sz w:val="22"/>
        </w:rPr>
      </w:pPr>
      <w:r w:rsidRPr="00A208AC">
        <w:rPr>
          <w:rFonts w:ascii="Arial" w:hAnsi="Arial" w:cs="Arial"/>
          <w:sz w:val="22"/>
        </w:rPr>
        <w:t>The adoption of the Artificial Intelligence (AI)concept in the healthcare sector has transformed the UK healthcare service provision. There has been an escalating pressure on NHS hospitals because of the increasing prevalence of Dementia and the increasing demand of Improving Access to Psychological Therapies (IAPT) services. There is a population of 900,000 individuals with dementia in England alone. In 2022-23, more than 1.2 million referrals to IAPT services were witnessed (Baker and Kirk-Wade, 2024). Therefore, AI-powered triage systems have possible organisational applicability.</w:t>
      </w:r>
    </w:p>
    <w:p w14:paraId="14CD2313" w14:textId="77777777" w:rsidR="00A208AC" w:rsidRPr="00A208AC" w:rsidRDefault="00A208AC" w:rsidP="00A208AC">
      <w:pPr>
        <w:rPr>
          <w:rFonts w:ascii="Arial" w:hAnsi="Arial" w:cs="Arial"/>
          <w:sz w:val="22"/>
        </w:rPr>
      </w:pPr>
      <w:r w:rsidRPr="00A208AC">
        <w:rPr>
          <w:rFonts w:ascii="Arial" w:hAnsi="Arial" w:cs="Arial"/>
          <w:sz w:val="22"/>
        </w:rPr>
        <w:t>In 2008, IAPT was developed, which enlarged the sphere of evidence-based psychological therapies in NHS services. In 2023 following wider mental health integration policies, IAPT was rebranded as NHS Talking Therapies. In 2023, the rate of Dementia diagnosis in England stood at 64.6, which shows that gaps in services still exist (Murdoch, 2024). At the same time, the UK government has provided PS2.3 billion spending each year on the development of mental health services. But there are still shortages of workforce and time in the waiting. Electronic health plans, such as Artificial intelligence-based assessment systems, have consequently become part of NHS change initiatives.</w:t>
      </w:r>
    </w:p>
    <w:p w14:paraId="1CC75BE2" w14:textId="77777777" w:rsidR="00A208AC" w:rsidRPr="00A208AC" w:rsidRDefault="00A208AC" w:rsidP="00A208AC">
      <w:pPr>
        <w:pStyle w:val="Heading3"/>
      </w:pPr>
      <w:bookmarkStart w:id="7" w:name="_Toc222147336"/>
      <w:bookmarkStart w:id="8" w:name="_Toc223603140"/>
      <w:r w:rsidRPr="00A208AC">
        <w:t>1.1.2 Aim of the Dissertation</w:t>
      </w:r>
      <w:bookmarkEnd w:id="7"/>
      <w:bookmarkEnd w:id="8"/>
      <w:r w:rsidRPr="00A208AC">
        <w:t> </w:t>
      </w:r>
    </w:p>
    <w:p w14:paraId="271CA79F" w14:textId="77777777" w:rsidR="00A208AC" w:rsidRPr="00A208AC" w:rsidRDefault="00A208AC" w:rsidP="00A208AC">
      <w:pPr>
        <w:rPr>
          <w:rFonts w:ascii="Arial" w:hAnsi="Arial" w:cs="Arial"/>
          <w:sz w:val="22"/>
        </w:rPr>
      </w:pPr>
      <w:r w:rsidRPr="00A208AC">
        <w:rPr>
          <w:rFonts w:ascii="Arial" w:hAnsi="Arial" w:cs="Arial"/>
          <w:sz w:val="22"/>
        </w:rPr>
        <w:t>The research study aims to examine the influence of AI-supported mental health triage systems on IAPT (Improving Access to Psychological Therapies) for increased Dementia care in the UK healthcare industry from the organisational context of NHS hospitals.</w:t>
      </w:r>
    </w:p>
    <w:p w14:paraId="11575349" w14:textId="77777777" w:rsidR="00A208AC" w:rsidRPr="00A208AC" w:rsidRDefault="00A208AC" w:rsidP="00A208AC">
      <w:pPr>
        <w:rPr>
          <w:rFonts w:ascii="Arial" w:hAnsi="Arial" w:cs="Arial"/>
          <w:sz w:val="22"/>
        </w:rPr>
      </w:pPr>
      <w:r w:rsidRPr="00A208AC">
        <w:rPr>
          <w:rFonts w:ascii="Arial" w:hAnsi="Arial" w:cs="Arial"/>
          <w:sz w:val="22"/>
        </w:rPr>
        <w:t>The study is aimed at a critical investigation of how AI-assisted triage systems can engage in the activities of IAPT delivery in relation to Dementia care in NHS hospitals (Kingstone et al., 2022). They are meant to provide a contribution to the academic and practical literature by proposing the strategic implications and service optimisation avenues and by making informed recommendations to the digital integration to mental health.</w:t>
      </w:r>
    </w:p>
    <w:p w14:paraId="5E22C6CC" w14:textId="77777777" w:rsidR="00A208AC" w:rsidRPr="00A208AC" w:rsidRDefault="00A208AC" w:rsidP="00A208AC">
      <w:pPr>
        <w:pStyle w:val="Heading2"/>
      </w:pPr>
      <w:bookmarkStart w:id="9" w:name="_Toc222147337"/>
      <w:bookmarkStart w:id="10" w:name="_Toc223603141"/>
      <w:r w:rsidRPr="00A208AC">
        <w:lastRenderedPageBreak/>
        <w:t>1.2 Definitions and Terminology</w:t>
      </w:r>
      <w:bookmarkEnd w:id="9"/>
      <w:bookmarkEnd w:id="10"/>
      <w:r w:rsidRPr="00A208AC">
        <w:t> </w:t>
      </w:r>
    </w:p>
    <w:p w14:paraId="7731718C" w14:textId="77777777" w:rsidR="00A208AC" w:rsidRPr="00A208AC" w:rsidRDefault="00A208AC" w:rsidP="00A208AC">
      <w:pPr>
        <w:pStyle w:val="Heading3"/>
      </w:pPr>
      <w:bookmarkStart w:id="11" w:name="_Toc222147338"/>
      <w:bookmarkStart w:id="12" w:name="_Toc223603142"/>
      <w:r w:rsidRPr="00A208AC">
        <w:t>1.2.1 Key Definations</w:t>
      </w:r>
      <w:bookmarkEnd w:id="11"/>
      <w:bookmarkEnd w:id="12"/>
    </w:p>
    <w:p w14:paraId="3EDE0836" w14:textId="77777777" w:rsidR="00A208AC" w:rsidRPr="00A208AC" w:rsidRDefault="00A208AC" w:rsidP="00A208AC">
      <w:pPr>
        <w:rPr>
          <w:rFonts w:ascii="Arial" w:hAnsi="Arial" w:cs="Arial"/>
          <w:sz w:val="22"/>
        </w:rPr>
      </w:pPr>
      <w:r w:rsidRPr="00A208AC">
        <w:rPr>
          <w:rFonts w:ascii="Arial" w:hAnsi="Arial" w:cs="Arial"/>
          <w:b/>
          <w:bCs/>
          <w:sz w:val="22"/>
        </w:rPr>
        <w:t>Improving Access to Psychological Therapies (IAPT):</w:t>
      </w:r>
      <w:r w:rsidRPr="00A208AC">
        <w:rPr>
          <w:rFonts w:ascii="Arial" w:hAnsi="Arial" w:cs="Arial"/>
          <w:sz w:val="22"/>
        </w:rPr>
        <w:t xml:space="preserve"> A national NHS initiative that was launched in 2008 to help increase access to evidence-based psychological interventions to common mental health issues, mainly anxiety and depression provided through stepped-care service models (NHS, 2026).</w:t>
      </w:r>
    </w:p>
    <w:p w14:paraId="66EDDF4C" w14:textId="77777777" w:rsidR="00A208AC" w:rsidRPr="00A208AC" w:rsidRDefault="00A208AC" w:rsidP="00A208AC">
      <w:pPr>
        <w:rPr>
          <w:rFonts w:ascii="Arial" w:hAnsi="Arial" w:cs="Arial"/>
          <w:sz w:val="22"/>
        </w:rPr>
      </w:pPr>
      <w:r w:rsidRPr="00A208AC">
        <w:rPr>
          <w:rFonts w:ascii="Arial" w:hAnsi="Arial" w:cs="Arial"/>
          <w:b/>
          <w:bCs/>
          <w:sz w:val="22"/>
        </w:rPr>
        <w:t xml:space="preserve">Mental health triage systems: </w:t>
      </w:r>
      <w:r w:rsidRPr="00A208AC">
        <w:rPr>
          <w:rFonts w:ascii="Arial" w:hAnsi="Arial" w:cs="Arial"/>
          <w:sz w:val="22"/>
        </w:rPr>
        <w:t>Digital or AI-based systems, structured to evaluate the severity of symptoms, clinical urgency and play a part in assigning patients to the appropriate mental health intervention, are developed to achieve this dependence (Mokhwelepa et al., 2025).</w:t>
      </w:r>
    </w:p>
    <w:p w14:paraId="4E9C6516" w14:textId="77777777" w:rsidR="00A208AC" w:rsidRPr="00A208AC" w:rsidRDefault="00A208AC" w:rsidP="00A208AC">
      <w:pPr>
        <w:rPr>
          <w:rFonts w:ascii="Arial" w:hAnsi="Arial" w:cs="Arial"/>
          <w:sz w:val="22"/>
        </w:rPr>
      </w:pPr>
      <w:r w:rsidRPr="00A208AC">
        <w:rPr>
          <w:rFonts w:ascii="Arial" w:hAnsi="Arial" w:cs="Arial"/>
          <w:b/>
          <w:bCs/>
          <w:sz w:val="22"/>
        </w:rPr>
        <w:t>Dementia:</w:t>
      </w:r>
      <w:r w:rsidRPr="00A208AC">
        <w:rPr>
          <w:rFonts w:ascii="Arial" w:hAnsi="Arial" w:cs="Arial"/>
          <w:sz w:val="22"/>
        </w:rPr>
        <w:t xml:space="preserve"> It is a progressive neurological disease that is characterised by the decline of cognitive functions, impairment of recollections, and functional deterioration that substantially impairs the daily living functioning of a person, psychological wellbeing, future health and social care needs (World Health Organisation, 2025).</w:t>
      </w:r>
    </w:p>
    <w:p w14:paraId="60DEEE35" w14:textId="77777777" w:rsidR="00A208AC" w:rsidRPr="00A208AC" w:rsidRDefault="00A208AC" w:rsidP="00A208AC">
      <w:pPr>
        <w:pStyle w:val="Heading3"/>
      </w:pPr>
      <w:bookmarkStart w:id="13" w:name="_Toc222147339"/>
      <w:bookmarkStart w:id="14" w:name="_Toc223603143"/>
      <w:r w:rsidRPr="00A208AC">
        <w:t>1.2.1 Acronyms and Abbrebiations</w:t>
      </w:r>
      <w:bookmarkEnd w:id="13"/>
      <w:bookmarkEnd w:id="14"/>
    </w:p>
    <w:p w14:paraId="636552B3" w14:textId="77777777" w:rsidR="00A208AC" w:rsidRPr="00A208AC" w:rsidRDefault="00A208AC" w:rsidP="00A208AC">
      <w:pPr>
        <w:numPr>
          <w:ilvl w:val="0"/>
          <w:numId w:val="1"/>
        </w:numPr>
        <w:rPr>
          <w:rFonts w:ascii="Arial" w:hAnsi="Arial" w:cs="Arial"/>
          <w:sz w:val="22"/>
        </w:rPr>
      </w:pPr>
      <w:r w:rsidRPr="00A208AC">
        <w:rPr>
          <w:rFonts w:ascii="Arial" w:hAnsi="Arial" w:cs="Arial"/>
          <w:b/>
          <w:bCs/>
          <w:sz w:val="22"/>
        </w:rPr>
        <w:t xml:space="preserve">AI – </w:t>
      </w:r>
      <w:r w:rsidRPr="00A208AC">
        <w:rPr>
          <w:rFonts w:ascii="Arial" w:hAnsi="Arial" w:cs="Arial"/>
          <w:sz w:val="22"/>
        </w:rPr>
        <w:t>Artificial Intelligence</w:t>
      </w:r>
    </w:p>
    <w:p w14:paraId="41228900" w14:textId="77777777" w:rsidR="00A208AC" w:rsidRPr="00A208AC" w:rsidRDefault="00A208AC" w:rsidP="00A208AC">
      <w:pPr>
        <w:numPr>
          <w:ilvl w:val="0"/>
          <w:numId w:val="1"/>
        </w:numPr>
        <w:rPr>
          <w:rFonts w:ascii="Arial" w:hAnsi="Arial" w:cs="Arial"/>
          <w:sz w:val="22"/>
        </w:rPr>
      </w:pPr>
      <w:r w:rsidRPr="00A208AC">
        <w:rPr>
          <w:rFonts w:ascii="Arial" w:hAnsi="Arial" w:cs="Arial"/>
          <w:b/>
          <w:bCs/>
          <w:sz w:val="22"/>
        </w:rPr>
        <w:t>IAPT –</w:t>
      </w:r>
      <w:r w:rsidRPr="00A208AC">
        <w:rPr>
          <w:rFonts w:ascii="Arial" w:hAnsi="Arial" w:cs="Arial"/>
          <w:sz w:val="22"/>
        </w:rPr>
        <w:t xml:space="preserve"> Improving Access to Psychological Therapies</w:t>
      </w:r>
    </w:p>
    <w:p w14:paraId="64EE9506" w14:textId="77777777" w:rsidR="00A208AC" w:rsidRPr="00A208AC" w:rsidRDefault="00A208AC" w:rsidP="00A208AC">
      <w:pPr>
        <w:numPr>
          <w:ilvl w:val="0"/>
          <w:numId w:val="1"/>
        </w:numPr>
        <w:rPr>
          <w:rFonts w:ascii="Arial" w:hAnsi="Arial" w:cs="Arial"/>
          <w:sz w:val="22"/>
        </w:rPr>
      </w:pPr>
      <w:r w:rsidRPr="00A208AC">
        <w:rPr>
          <w:rFonts w:ascii="Arial" w:hAnsi="Arial" w:cs="Arial"/>
          <w:b/>
          <w:bCs/>
          <w:sz w:val="22"/>
        </w:rPr>
        <w:t>NHS –</w:t>
      </w:r>
      <w:r w:rsidRPr="00A208AC">
        <w:rPr>
          <w:rFonts w:ascii="Arial" w:hAnsi="Arial" w:cs="Arial"/>
          <w:sz w:val="22"/>
        </w:rPr>
        <w:t xml:space="preserve"> National Health Service</w:t>
      </w:r>
    </w:p>
    <w:p w14:paraId="2FD7E0B8" w14:textId="77777777" w:rsidR="00A208AC" w:rsidRPr="00A208AC" w:rsidRDefault="00A208AC" w:rsidP="00A208AC">
      <w:pPr>
        <w:numPr>
          <w:ilvl w:val="0"/>
          <w:numId w:val="1"/>
        </w:numPr>
        <w:rPr>
          <w:rFonts w:ascii="Arial" w:hAnsi="Arial" w:cs="Arial"/>
          <w:sz w:val="22"/>
        </w:rPr>
      </w:pPr>
      <w:r w:rsidRPr="00A208AC">
        <w:rPr>
          <w:rFonts w:ascii="Arial" w:hAnsi="Arial" w:cs="Arial"/>
          <w:b/>
          <w:bCs/>
          <w:sz w:val="22"/>
        </w:rPr>
        <w:t>NICE –</w:t>
      </w:r>
      <w:r w:rsidRPr="00A208AC">
        <w:rPr>
          <w:rFonts w:ascii="Arial" w:hAnsi="Arial" w:cs="Arial"/>
          <w:sz w:val="22"/>
        </w:rPr>
        <w:t xml:space="preserve"> National Institute for Health and Care Excellence</w:t>
      </w:r>
    </w:p>
    <w:p w14:paraId="07D4CF02" w14:textId="77777777" w:rsidR="00A208AC" w:rsidRPr="00A208AC" w:rsidRDefault="00A208AC" w:rsidP="00A208AC">
      <w:pPr>
        <w:numPr>
          <w:ilvl w:val="0"/>
          <w:numId w:val="1"/>
        </w:numPr>
        <w:rPr>
          <w:rFonts w:ascii="Arial" w:hAnsi="Arial" w:cs="Arial"/>
          <w:sz w:val="22"/>
        </w:rPr>
      </w:pPr>
      <w:r w:rsidRPr="00A208AC">
        <w:rPr>
          <w:rFonts w:ascii="Arial" w:hAnsi="Arial" w:cs="Arial"/>
          <w:b/>
          <w:bCs/>
          <w:sz w:val="22"/>
        </w:rPr>
        <w:t>CBT –</w:t>
      </w:r>
      <w:r w:rsidRPr="00A208AC">
        <w:rPr>
          <w:rFonts w:ascii="Arial" w:hAnsi="Arial" w:cs="Arial"/>
          <w:sz w:val="22"/>
        </w:rPr>
        <w:t xml:space="preserve"> Cognitive Behavioural Therapy</w:t>
      </w:r>
    </w:p>
    <w:p w14:paraId="0A16433E" w14:textId="77777777" w:rsidR="00A208AC" w:rsidRPr="00A208AC" w:rsidRDefault="00A208AC" w:rsidP="00A208AC">
      <w:pPr>
        <w:numPr>
          <w:ilvl w:val="0"/>
          <w:numId w:val="1"/>
        </w:numPr>
        <w:rPr>
          <w:rFonts w:ascii="Arial" w:hAnsi="Arial" w:cs="Arial"/>
          <w:sz w:val="22"/>
        </w:rPr>
      </w:pPr>
      <w:r w:rsidRPr="00A208AC">
        <w:rPr>
          <w:rFonts w:ascii="Arial" w:hAnsi="Arial" w:cs="Arial"/>
          <w:b/>
          <w:bCs/>
          <w:sz w:val="22"/>
        </w:rPr>
        <w:t>ICS –</w:t>
      </w:r>
      <w:r w:rsidRPr="00A208AC">
        <w:rPr>
          <w:rFonts w:ascii="Arial" w:hAnsi="Arial" w:cs="Arial"/>
          <w:sz w:val="22"/>
        </w:rPr>
        <w:t xml:space="preserve"> Integrated Care Systems</w:t>
      </w:r>
    </w:p>
    <w:p w14:paraId="131E47E4" w14:textId="77777777" w:rsidR="00A208AC" w:rsidRPr="00A208AC" w:rsidRDefault="00A208AC" w:rsidP="00A208AC">
      <w:pPr>
        <w:pStyle w:val="Heading2"/>
      </w:pPr>
      <w:bookmarkStart w:id="15" w:name="_Toc222147340"/>
      <w:bookmarkStart w:id="16" w:name="_Toc223603144"/>
      <w:r w:rsidRPr="00A208AC">
        <w:t>1.3 Rationale for Research</w:t>
      </w:r>
      <w:bookmarkEnd w:id="15"/>
      <w:bookmarkEnd w:id="16"/>
    </w:p>
    <w:p w14:paraId="0BB8A94F" w14:textId="77777777" w:rsidR="00A208AC" w:rsidRPr="00A208AC" w:rsidRDefault="00A208AC" w:rsidP="00A208AC">
      <w:pPr>
        <w:pStyle w:val="Heading3"/>
      </w:pPr>
      <w:bookmarkStart w:id="17" w:name="_Toc222147341"/>
      <w:bookmarkStart w:id="18" w:name="_Toc223603145"/>
      <w:r w:rsidRPr="00A208AC">
        <w:t>1.3.1 Purpose of the research</w:t>
      </w:r>
      <w:bookmarkEnd w:id="17"/>
      <w:bookmarkEnd w:id="18"/>
    </w:p>
    <w:p w14:paraId="4643E702" w14:textId="77777777" w:rsidR="00A208AC" w:rsidRPr="00A208AC" w:rsidRDefault="00A208AC" w:rsidP="00A208AC">
      <w:pPr>
        <w:rPr>
          <w:rFonts w:ascii="Arial" w:hAnsi="Arial" w:cs="Arial"/>
          <w:sz w:val="22"/>
        </w:rPr>
      </w:pPr>
      <w:r w:rsidRPr="00A208AC">
        <w:rPr>
          <w:rFonts w:ascii="Arial" w:hAnsi="Arial" w:cs="Arial"/>
          <w:sz w:val="22"/>
        </w:rPr>
        <w:t xml:space="preserve">The increasing demands in the NHS mental health services have inspired the interest in AI-assisted triage systems in Dementia care. In the UK, prevalence with dementia is nearly at 900,000 people, whereas coverage of service diagnoses in England is new and at 64.6 (Alzheimer Society, 2024). This type of figure presents unmet psychological support </w:t>
      </w:r>
      <w:r w:rsidRPr="00A208AC">
        <w:rPr>
          <w:rFonts w:ascii="Arial" w:hAnsi="Arial" w:cs="Arial"/>
          <w:sz w:val="22"/>
        </w:rPr>
        <w:lastRenderedPageBreak/>
        <w:t>requirements in IAPT pathways. Nevertheless, the conventional referral frameworks are still resource-consuming, and staff limited.</w:t>
      </w:r>
    </w:p>
    <w:p w14:paraId="3602111E" w14:textId="77777777" w:rsidR="00A208AC" w:rsidRPr="00A208AC" w:rsidRDefault="00A208AC" w:rsidP="00A208AC">
      <w:pPr>
        <w:rPr>
          <w:rFonts w:ascii="Arial" w:hAnsi="Arial" w:cs="Arial"/>
          <w:sz w:val="22"/>
        </w:rPr>
      </w:pPr>
      <w:r w:rsidRPr="00A208AC">
        <w:rPr>
          <w:rFonts w:ascii="Arial" w:hAnsi="Arial" w:cs="Arial"/>
          <w:sz w:val="22"/>
        </w:rPr>
        <w:t>The policy and scholarly attention to the digital triage is integrated. Modern literature focuses on benefits of efficiency gains and benefits of holistic allocation of data. On the contrary, there are no structured issues on the topic of algorithms bias, ethical regulation, and clinical safety (Cao et al., 2025). Hence, systematic organisational assessment in NHS hospitals is still an academically and practically relevant issue.</w:t>
      </w:r>
    </w:p>
    <w:p w14:paraId="08577A21" w14:textId="77777777" w:rsidR="00A208AC" w:rsidRPr="00A208AC" w:rsidRDefault="00A208AC" w:rsidP="00A208AC">
      <w:pPr>
        <w:pStyle w:val="Heading3"/>
      </w:pPr>
      <w:bookmarkStart w:id="19" w:name="_Toc222147342"/>
      <w:bookmarkStart w:id="20" w:name="_Toc223603146"/>
      <w:r w:rsidRPr="00A208AC">
        <w:t>1.3.2 Research Problem and Research Gaps</w:t>
      </w:r>
      <w:bookmarkEnd w:id="19"/>
      <w:bookmarkEnd w:id="20"/>
    </w:p>
    <w:p w14:paraId="1EF4E961" w14:textId="77777777" w:rsidR="00A208AC" w:rsidRPr="00A208AC" w:rsidRDefault="00A208AC" w:rsidP="00A208AC">
      <w:pPr>
        <w:rPr>
          <w:rFonts w:ascii="Arial" w:hAnsi="Arial" w:cs="Arial"/>
          <w:sz w:val="22"/>
        </w:rPr>
      </w:pPr>
      <w:r w:rsidRPr="00A208AC">
        <w:rPr>
          <w:rFonts w:ascii="Arial" w:hAnsi="Arial" w:cs="Arial"/>
          <w:sz w:val="22"/>
        </w:rPr>
        <w:t>The available literature minimally presents empirical synthesis on the subject of the AI-based triage integration into the IAPT pathways of Dementia patients in the NHS hospitals. The available literature is restricted to investigating the AI applications in the overall mental health screening and the consequences of AI in the Dementia specific organisational settings are not explored well (Lyall et al., 2023). This breakdown inhibits the theoretical elucidation and direction as pertains to implementation of strategy.</w:t>
      </w:r>
    </w:p>
    <w:p w14:paraId="34A9FA37" w14:textId="77777777" w:rsidR="00A208AC" w:rsidRPr="00A208AC" w:rsidRDefault="00A208AC" w:rsidP="00A208AC">
      <w:pPr>
        <w:rPr>
          <w:rFonts w:ascii="Arial" w:hAnsi="Arial" w:cs="Arial"/>
          <w:sz w:val="22"/>
        </w:rPr>
      </w:pPr>
      <w:r w:rsidRPr="00A208AC">
        <w:rPr>
          <w:rFonts w:ascii="Arial" w:hAnsi="Arial" w:cs="Arial"/>
          <w:sz w:val="22"/>
        </w:rPr>
        <w:t>The fact that the agendas of growing digital transformation are actively being pursued within the framework of the NHS systems makes the contextual assessment that much more pressing. The issues of ethical behaviour, encryption of information and flexibility of labour complicate the adoption discussions (Dhirani et al., 2023). Therefore, in thematic generalisations and study of the secondary evidence, scattered knowledge can be synthesised. The critical organisational evaluation might help in unearthing the relations, redress operational action agents, and create aware strategic proposals to intelligent digital incorporation.</w:t>
      </w:r>
    </w:p>
    <w:p w14:paraId="77F0F0DC" w14:textId="77777777" w:rsidR="00A208AC" w:rsidRPr="00A208AC" w:rsidRDefault="00A208AC" w:rsidP="00A208AC">
      <w:pPr>
        <w:pStyle w:val="Heading2"/>
      </w:pPr>
      <w:bookmarkStart w:id="21" w:name="_Toc222147343"/>
      <w:bookmarkStart w:id="22" w:name="_Toc223603147"/>
      <w:r w:rsidRPr="00A208AC">
        <w:t>1.4 Aim and Objectives</w:t>
      </w:r>
      <w:bookmarkEnd w:id="21"/>
      <w:bookmarkEnd w:id="22"/>
      <w:r w:rsidRPr="00A208AC">
        <w:t xml:space="preserve"> </w:t>
      </w:r>
    </w:p>
    <w:p w14:paraId="715522CD" w14:textId="77777777" w:rsidR="00A208AC" w:rsidRPr="00A208AC" w:rsidRDefault="00A208AC" w:rsidP="00A208AC">
      <w:pPr>
        <w:pStyle w:val="Heading3"/>
      </w:pPr>
      <w:bookmarkStart w:id="23" w:name="_Toc222147344"/>
      <w:bookmarkStart w:id="24" w:name="_Toc223603148"/>
      <w:r w:rsidRPr="00A208AC">
        <w:t>1.4.1 Research Aim</w:t>
      </w:r>
      <w:bookmarkEnd w:id="23"/>
      <w:bookmarkEnd w:id="24"/>
      <w:r w:rsidRPr="00A208AC">
        <w:t> </w:t>
      </w:r>
    </w:p>
    <w:p w14:paraId="6A250E7A" w14:textId="77777777" w:rsidR="00A208AC" w:rsidRPr="00A208AC" w:rsidRDefault="00A208AC" w:rsidP="00A208AC">
      <w:pPr>
        <w:rPr>
          <w:rFonts w:ascii="Arial" w:hAnsi="Arial" w:cs="Arial"/>
          <w:sz w:val="22"/>
        </w:rPr>
      </w:pPr>
      <w:r w:rsidRPr="00A208AC">
        <w:rPr>
          <w:rFonts w:ascii="Arial" w:hAnsi="Arial" w:cs="Arial"/>
          <w:sz w:val="22"/>
        </w:rPr>
        <w:t>The research study aims to examine the influence of AI-supported mental health triage systems on IAPT (Improving Access to Psychological Therapies) for increased Dementia care in the UK healthcare industry from the organisational context of NHS hospitals</w:t>
      </w:r>
    </w:p>
    <w:p w14:paraId="2AA94FD7" w14:textId="77777777" w:rsidR="00A208AC" w:rsidRPr="00A208AC" w:rsidRDefault="00A208AC" w:rsidP="00A208AC">
      <w:pPr>
        <w:pStyle w:val="Heading3"/>
      </w:pPr>
      <w:bookmarkStart w:id="25" w:name="_Toc222147345"/>
      <w:bookmarkStart w:id="26" w:name="_Toc223603149"/>
      <w:r w:rsidRPr="00A208AC">
        <w:lastRenderedPageBreak/>
        <w:t>1.4.2 Research Objective</w:t>
      </w:r>
      <w:bookmarkEnd w:id="25"/>
      <w:bookmarkEnd w:id="26"/>
    </w:p>
    <w:p w14:paraId="3C68A5B3" w14:textId="77777777" w:rsidR="00A208AC" w:rsidRPr="00A208AC" w:rsidRDefault="00A208AC" w:rsidP="00A208AC">
      <w:pPr>
        <w:numPr>
          <w:ilvl w:val="0"/>
          <w:numId w:val="2"/>
        </w:numPr>
        <w:rPr>
          <w:rFonts w:ascii="Arial" w:hAnsi="Arial" w:cs="Arial"/>
          <w:sz w:val="22"/>
        </w:rPr>
      </w:pPr>
      <w:r w:rsidRPr="00A208AC">
        <w:rPr>
          <w:rFonts w:ascii="Arial" w:hAnsi="Arial" w:cs="Arial"/>
          <w:b/>
          <w:sz w:val="22"/>
        </w:rPr>
        <w:t>RO1:</w:t>
      </w:r>
      <w:r w:rsidRPr="00A208AC">
        <w:rPr>
          <w:rFonts w:ascii="Arial" w:hAnsi="Arial" w:cs="Arial"/>
          <w:sz w:val="22"/>
        </w:rPr>
        <w:t xml:space="preserve"> To review existing literature and theoretical frameworks concerning AI-supported mental health triage systems and IAPT evidence based practices in the UK healthcare industry</w:t>
      </w:r>
    </w:p>
    <w:p w14:paraId="15A99F85" w14:textId="77777777" w:rsidR="00A208AC" w:rsidRPr="00A208AC" w:rsidRDefault="00A208AC" w:rsidP="00A208AC">
      <w:pPr>
        <w:numPr>
          <w:ilvl w:val="0"/>
          <w:numId w:val="2"/>
        </w:numPr>
        <w:rPr>
          <w:rFonts w:ascii="Arial" w:hAnsi="Arial" w:cs="Arial"/>
          <w:sz w:val="22"/>
        </w:rPr>
      </w:pPr>
      <w:r w:rsidRPr="00A208AC">
        <w:rPr>
          <w:rFonts w:ascii="Arial" w:hAnsi="Arial" w:cs="Arial"/>
          <w:b/>
          <w:sz w:val="22"/>
        </w:rPr>
        <w:t>RO2:</w:t>
      </w:r>
      <w:r w:rsidRPr="00A208AC">
        <w:rPr>
          <w:rFonts w:ascii="Arial" w:hAnsi="Arial" w:cs="Arial"/>
          <w:sz w:val="22"/>
        </w:rPr>
        <w:t xml:space="preserve"> To investigate the interrelationship between the IAPT and AI-based triage systems applied for the patients suffering from Dementia in the UK healthcare industry from the organisational context of NHS hospitals</w:t>
      </w:r>
    </w:p>
    <w:p w14:paraId="27595C7A" w14:textId="77777777" w:rsidR="00A208AC" w:rsidRPr="00A208AC" w:rsidRDefault="00A208AC" w:rsidP="00A208AC">
      <w:pPr>
        <w:numPr>
          <w:ilvl w:val="0"/>
          <w:numId w:val="2"/>
        </w:numPr>
        <w:rPr>
          <w:rFonts w:ascii="Arial" w:hAnsi="Arial" w:cs="Arial"/>
          <w:sz w:val="22"/>
        </w:rPr>
      </w:pPr>
      <w:r w:rsidRPr="00A208AC">
        <w:rPr>
          <w:rFonts w:ascii="Arial" w:hAnsi="Arial" w:cs="Arial"/>
          <w:b/>
          <w:sz w:val="22"/>
        </w:rPr>
        <w:t>RO3:</w:t>
      </w:r>
      <w:r w:rsidRPr="00A208AC">
        <w:rPr>
          <w:rFonts w:ascii="Arial" w:hAnsi="Arial" w:cs="Arial"/>
          <w:sz w:val="22"/>
        </w:rPr>
        <w:t xml:space="preserve"> To evaluate the probable challenges and the possible benefits of applying AI-based triage systems to enhance IAPT application for treating Dementia in the UK healthcare industry from the organisational context of NHS hospitals</w:t>
      </w:r>
    </w:p>
    <w:p w14:paraId="2A3D7FC6" w14:textId="77777777" w:rsidR="00A208AC" w:rsidRPr="00A208AC" w:rsidRDefault="00A208AC" w:rsidP="00A208AC">
      <w:pPr>
        <w:numPr>
          <w:ilvl w:val="0"/>
          <w:numId w:val="2"/>
        </w:numPr>
        <w:rPr>
          <w:rFonts w:ascii="Arial" w:hAnsi="Arial" w:cs="Arial"/>
          <w:sz w:val="22"/>
        </w:rPr>
      </w:pPr>
      <w:r w:rsidRPr="00A208AC">
        <w:rPr>
          <w:rFonts w:ascii="Arial" w:hAnsi="Arial" w:cs="Arial"/>
          <w:b/>
          <w:sz w:val="22"/>
        </w:rPr>
        <w:t>RO4:</w:t>
      </w:r>
      <w:r w:rsidRPr="00A208AC">
        <w:rPr>
          <w:rFonts w:ascii="Arial" w:hAnsi="Arial" w:cs="Arial"/>
          <w:sz w:val="22"/>
        </w:rPr>
        <w:t xml:space="preserve"> To recommend the plausible strategies for strengthening benefits and mitigating the challenges for applying AI-based triage systems for IAPT application in the UK healthcare industry from the organisational context of NHS hospitals</w:t>
      </w:r>
    </w:p>
    <w:p w14:paraId="145BA566" w14:textId="77777777" w:rsidR="00A208AC" w:rsidRPr="00A208AC" w:rsidRDefault="00A208AC" w:rsidP="00A208AC">
      <w:pPr>
        <w:pStyle w:val="Heading2"/>
      </w:pPr>
      <w:bookmarkStart w:id="27" w:name="_Toc222147346"/>
      <w:bookmarkStart w:id="28" w:name="_Toc223603150"/>
      <w:r w:rsidRPr="00A208AC">
        <w:t>1.5 Conclusion</w:t>
      </w:r>
      <w:bookmarkEnd w:id="27"/>
      <w:bookmarkEnd w:id="28"/>
      <w:r w:rsidRPr="00A208AC">
        <w:t xml:space="preserve"> </w:t>
      </w:r>
    </w:p>
    <w:p w14:paraId="1AE5050F" w14:textId="77777777" w:rsidR="00A208AC" w:rsidRPr="00A208AC" w:rsidRDefault="00A208AC" w:rsidP="00A208AC">
      <w:pPr>
        <w:pStyle w:val="Heading3"/>
      </w:pPr>
      <w:bookmarkStart w:id="29" w:name="_Toc222147347"/>
      <w:bookmarkStart w:id="30" w:name="_Toc223603151"/>
      <w:r w:rsidRPr="00A208AC">
        <w:t>1.5.1 Summary of Introduction Chapter</w:t>
      </w:r>
      <w:bookmarkEnd w:id="29"/>
      <w:bookmarkEnd w:id="30"/>
    </w:p>
    <w:p w14:paraId="5EFFE378" w14:textId="77777777" w:rsidR="00A208AC" w:rsidRPr="00A208AC" w:rsidRDefault="00A208AC" w:rsidP="00A208AC">
      <w:pPr>
        <w:rPr>
          <w:rFonts w:ascii="Arial" w:hAnsi="Arial" w:cs="Arial"/>
          <w:sz w:val="22"/>
        </w:rPr>
      </w:pPr>
      <w:r w:rsidRPr="00A208AC">
        <w:rPr>
          <w:rFonts w:ascii="Arial" w:hAnsi="Arial" w:cs="Arial"/>
          <w:sz w:val="22"/>
        </w:rPr>
        <w:t>Chapter One presented the implementation of AI-assisted triage support systems to IAPT services in the Dementia care at NHS hospitals. The trends of digital transformation, contextual pressures and policy developments were described. Major concepts and terms were explained. Research gaps identified were a lack of organisational evaluation. The aforementioned goal and objectives thus are still important in further developing theoretical knowledge and shaping strategic and evidence-based digital mental health practices in the context of the NHS.</w:t>
      </w:r>
    </w:p>
    <w:p w14:paraId="19C65653" w14:textId="77777777" w:rsidR="00A208AC" w:rsidRPr="00A208AC" w:rsidRDefault="00A208AC" w:rsidP="00A208AC">
      <w:pPr>
        <w:pStyle w:val="Heading3"/>
      </w:pPr>
      <w:bookmarkStart w:id="31" w:name="_Toc222147348"/>
      <w:bookmarkStart w:id="32" w:name="_Toc223603152"/>
      <w:r w:rsidRPr="00A208AC">
        <w:t>1.5.2 Signpost of Chapter 2</w:t>
      </w:r>
      <w:bookmarkEnd w:id="31"/>
      <w:bookmarkEnd w:id="32"/>
    </w:p>
    <w:p w14:paraId="1A52F54C" w14:textId="2158470A" w:rsidR="00A208AC" w:rsidRPr="00A208AC" w:rsidRDefault="00A208AC">
      <w:pPr>
        <w:rPr>
          <w:rFonts w:ascii="Arial" w:hAnsi="Arial" w:cs="Arial"/>
          <w:sz w:val="22"/>
        </w:rPr>
      </w:pPr>
      <w:r w:rsidRPr="00A208AC">
        <w:rPr>
          <w:rFonts w:ascii="Arial" w:hAnsi="Arial" w:cs="Arial"/>
          <w:sz w:val="22"/>
        </w:rPr>
        <w:t>Chapter Two will review literature on the topic of AI-supplied mental health triage practices and IAPT services systems and frameworks in detail, developing the theoretical basis, identifying a conceptual discourse, and narrowing the research gap to be focused, in turn, on thematic analysis.</w:t>
      </w:r>
      <w:r w:rsidRPr="00A208AC">
        <w:rPr>
          <w:rFonts w:ascii="Arial" w:eastAsia="Times New Roman" w:hAnsi="Arial" w:cs="Arial"/>
          <w:b/>
          <w:color w:val="000000"/>
          <w:sz w:val="32"/>
          <w:szCs w:val="36"/>
          <w:lang w:eastAsia="zh-CN"/>
        </w:rPr>
        <w:br w:type="page"/>
      </w:r>
    </w:p>
    <w:p w14:paraId="38B18368" w14:textId="77777777" w:rsidR="00A208AC" w:rsidRPr="00A208AC" w:rsidRDefault="00A208AC" w:rsidP="00A208AC">
      <w:pPr>
        <w:pStyle w:val="Heading1"/>
      </w:pPr>
      <w:bookmarkStart w:id="33" w:name="_Toc223603153"/>
      <w:bookmarkEnd w:id="2"/>
      <w:r w:rsidRPr="00A208AC">
        <w:lastRenderedPageBreak/>
        <w:t>2. CHAPTER 2 – Background Information and Analysis</w:t>
      </w:r>
      <w:bookmarkEnd w:id="33"/>
      <w:r w:rsidRPr="00A208AC">
        <w:t> </w:t>
      </w:r>
    </w:p>
    <w:p w14:paraId="0D0B074C" w14:textId="77777777" w:rsidR="00A208AC" w:rsidRPr="00A208AC" w:rsidRDefault="00A208AC" w:rsidP="00A208AC">
      <w:pPr>
        <w:pStyle w:val="Heading2"/>
      </w:pPr>
      <w:bookmarkStart w:id="34" w:name="_Toc222575604"/>
      <w:bookmarkStart w:id="35" w:name="_Toc223603154"/>
      <w:r w:rsidRPr="00A208AC">
        <w:t>2.1 Introduction</w:t>
      </w:r>
      <w:bookmarkEnd w:id="34"/>
      <w:bookmarkEnd w:id="35"/>
      <w:r w:rsidRPr="00A208AC">
        <w:t> </w:t>
      </w:r>
    </w:p>
    <w:p w14:paraId="7B23B244"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Comprehensive knowledge of AI-guided systems of mental health triage occurring in a service of IAPT to handle dementia care requires a systematic contextual analysis. The increasing need of mental health services in NHS services has expedited digital transformation agenda evidenced by the outcome that there were more than 1.88 premises that accessed NHS mental health services in 2022-23. The identified growth highlights the degree to which system processes predetermine discourses regarding technological innovation (McShane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2024).</w:t>
      </w:r>
    </w:p>
    <w:p w14:paraId="237ADBBB"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Analytical coherence is enhanced through systematic investigation on the historical evolution and the theoretical underpinning of the policies as well as the policy environment. By investing up to 2.3 billion a year in the growth of mental healthcare services, the government of the UK announced institutional investment in modernising services (Department of Health and Social Care, 2021). In this regard, large contextual mapping helps in appraisal before the formulation of thematic findings.</w:t>
      </w:r>
    </w:p>
    <w:p w14:paraId="3B4C66AE" w14:textId="77777777" w:rsidR="00A208AC" w:rsidRPr="00A208AC" w:rsidRDefault="00A208AC" w:rsidP="00A208AC">
      <w:pPr>
        <w:pStyle w:val="Heading2"/>
      </w:pPr>
      <w:bookmarkStart w:id="36" w:name="_Toc222575605"/>
      <w:bookmarkStart w:id="37" w:name="_Toc223603155"/>
      <w:r w:rsidRPr="00A208AC">
        <w:t>2.2 Historical Background</w:t>
      </w:r>
      <w:bookmarkEnd w:id="36"/>
      <w:bookmarkEnd w:id="37"/>
      <w:r w:rsidRPr="00A208AC">
        <w:t> </w:t>
      </w:r>
    </w:p>
    <w:p w14:paraId="7D0C0191" w14:textId="77777777" w:rsidR="00A208AC" w:rsidRPr="00A208AC" w:rsidRDefault="00A208AC" w:rsidP="00A208AC">
      <w:pPr>
        <w:pStyle w:val="Heading3"/>
      </w:pPr>
      <w:bookmarkStart w:id="38" w:name="_Toc222575606"/>
      <w:bookmarkStart w:id="39" w:name="_Toc223603156"/>
      <w:r w:rsidRPr="00A208AC">
        <w:t>2.2.1 Development of the Topic</w:t>
      </w:r>
      <w:bookmarkEnd w:id="38"/>
      <w:bookmarkEnd w:id="39"/>
    </w:p>
    <w:p w14:paraId="50A50824"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Initial premises of psychological therapy access reform were launched due to anxiety and depression issues in primary care without treatment. The UK government declared a massive increase in the amount of talking therapies in 2007, and formal execution of IAPT services began in 2008 in England. Gkintoni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(2025), considered that further expansion was characterised by increasing mental-health demand and attempts to modernise the service. However, early models of delivery were mainly based on clinician-driven assessment routes and it was only subsequent that the digital innovations slowly transformed the triage and referral processes in NHS environments.</w:t>
      </w:r>
    </w:p>
    <w:p w14:paraId="66363FA4"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The digital-health-integration of mental-health is changing significantly based on the milestones achieved in this field. A plan called the NHS Long Term Plan (2019) suggested therefore focused on the growth of technology-enabled care and a more comprehensive rebranding to NHS Talking Therapies in 2023. Similalrly, Murdoch, (2024), argued that in 2023, the evaluation of dementia in England was 64.6% and ratings revealed an ongoing </w:t>
      </w:r>
      <w:r w:rsidRPr="00A208AC">
        <w:rPr>
          <w:rFonts w:ascii="Arial" w:hAnsi="Arial" w:cs="Arial"/>
          <w:color w:val="000000" w:themeColor="text1"/>
          <w:sz w:val="22"/>
          <w:szCs w:val="20"/>
        </w:rPr>
        <w:lastRenderedPageBreak/>
        <w:t>access problem, whereas workforce shortages remaining as an obstructant to responsiveness in the services As a result, recent reforms have focused more on triage optimization on data.</w:t>
      </w:r>
    </w:p>
    <w:p w14:paraId="4A346C5D" w14:textId="77777777" w:rsidR="00A208AC" w:rsidRPr="00A208AC" w:rsidRDefault="00A208AC" w:rsidP="00A208AC">
      <w:pPr>
        <w:pStyle w:val="Heading3"/>
      </w:pPr>
      <w:bookmarkStart w:id="40" w:name="_Toc222575607"/>
      <w:bookmarkStart w:id="41" w:name="_Toc223603157"/>
      <w:r w:rsidRPr="00A208AC">
        <w:t>2.2.2 Significant Historical Figures and Contributions</w:t>
      </w:r>
      <w:bookmarkEnd w:id="40"/>
      <w:bookmarkEnd w:id="41"/>
    </w:p>
    <w:p w14:paraId="582E1A4E"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Reviewing the ideas of Frayman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(2024), the subsequent creation of IAPT services was an influential act that utilised the efforts of David Clerk and Richard Layard whose economic and clinical reasoning advocated supporting evidence-based psychological therapies Their cooperation had placed mental-health care as a societal-health and productive issue. At the same time, NHS England made strides to fashionize service-delivery designs at primary care. Nevertheless, initial frameworks focused more on the anxiety and depression, and the pathways related to dementia were comparatively marginal (NHS, 2023). Conversely, the national institute of health and care excellence (NICE) created clinical guidelines that influenced the standards of therapies thus fortifying the institution's legitimacy, yet there was still inconsistency in implementation.</w:t>
      </w:r>
    </w:p>
    <w:p w14:paraId="7BB3F919"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These organisations and individuals were able to influence national discussion of accessibility and standardisation of psychological therapies through a profound intellectual and institutional impact. Sungur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xml:space="preserve">., (2025) argued that economic arguments brought forward by Layard increased the acceptance of the policy, and the clinical focus of Clark strengthened therapeutic loyalty. However, the early emphasis on common mental disorders constrained amalgamation of intricate mental situations like dementia. The NICE guidance has strengthened evidence-based practice; however, innovation development has been limited by rigorous procedures at certain times. On the other hand, Iqbal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(2025) stated that the leadership of NHS England was easy to scale up, but differences arose between regions. In this way, the input contributions were first made on how it will be more systemically coherent and at the same time reveal gaps that must be filled with modern digital and organisational adjustment.</w:t>
      </w:r>
    </w:p>
    <w:p w14:paraId="42684152" w14:textId="77777777" w:rsidR="00A208AC" w:rsidRPr="00A208AC" w:rsidRDefault="00A208AC" w:rsidP="00A208AC">
      <w:pPr>
        <w:pStyle w:val="Heading2"/>
      </w:pPr>
      <w:bookmarkStart w:id="42" w:name="_Toc222575608"/>
      <w:bookmarkStart w:id="43" w:name="_Toc223603158"/>
      <w:r w:rsidRPr="00A208AC">
        <w:t>2.3 Theoretical Background</w:t>
      </w:r>
      <w:bookmarkEnd w:id="42"/>
      <w:bookmarkEnd w:id="43"/>
      <w:r w:rsidRPr="00A208AC">
        <w:t> </w:t>
      </w:r>
    </w:p>
    <w:p w14:paraId="349ECFC4" w14:textId="77777777" w:rsidR="00A208AC" w:rsidRPr="00A208AC" w:rsidRDefault="00A208AC" w:rsidP="00A208AC">
      <w:pPr>
        <w:pStyle w:val="Heading3"/>
      </w:pPr>
      <w:bookmarkStart w:id="44" w:name="_Toc222575609"/>
      <w:bookmarkStart w:id="45" w:name="_Toc223603159"/>
      <w:r w:rsidRPr="00A208AC">
        <w:t>2.3.1 Key Theories and Concepts</w:t>
      </w:r>
      <w:bookmarkEnd w:id="44"/>
      <w:bookmarkEnd w:id="45"/>
    </w:p>
    <w:p w14:paraId="4B955809"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The application of AI-assisted triage systems to the NHS services implies the theoretical background in technology and health-behaviour models. Technology Acceptance Model (TAM) accounts the adoption via perceived usefulness and ease of use whereas the Unified Theory of Acceptance and Use of Technology (UTAUT) broadens the behavioural predictors. </w:t>
      </w:r>
      <w:r w:rsidRPr="00A208AC">
        <w:rPr>
          <w:rFonts w:ascii="Arial" w:hAnsi="Arial" w:cs="Arial"/>
          <w:color w:val="000000" w:themeColor="text1"/>
          <w:sz w:val="22"/>
          <w:szCs w:val="20"/>
        </w:rPr>
        <w:lastRenderedPageBreak/>
        <w:t xml:space="preserve">Anisha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(2025) ideated that Health Belief Model (HBM) takes care of health-related decision-level involvement.</w:t>
      </w:r>
    </w:p>
    <w:p w14:paraId="3B5F3633"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The above theories will be relevant due to the impact of enabling comprehension of the organisational and patient-level reactions to digital triage. Particularly, Yin and Lui, (2024) considered that, the Technology Acceptance Model (TAM) and the Unified Theory of Acceptance and Use of Technology (UTAUT) explain the aspects of professional acceptance in NHS hospitals, and the Health Belief Model (HBM) addresses the views of patients concerning risk and benefit. Integrated emerging creates stronger conceptual grasp, in spite of situational healthcare difficulties that could hamper predictive precision.</w:t>
      </w:r>
    </w:p>
    <w:p w14:paraId="4EAF0FB4" w14:textId="77777777" w:rsidR="00A208AC" w:rsidRPr="00A208AC" w:rsidRDefault="00A208AC" w:rsidP="00A208AC">
      <w:pPr>
        <w:pStyle w:val="Heading3"/>
      </w:pPr>
      <w:bookmarkStart w:id="46" w:name="_Toc222575610"/>
      <w:bookmarkStart w:id="47" w:name="_Toc223603160"/>
      <w:r w:rsidRPr="00A208AC">
        <w:t>2.3.2 Application of Theories</w:t>
      </w:r>
      <w:bookmarkEnd w:id="46"/>
      <w:bookmarkEnd w:id="47"/>
    </w:p>
    <w:p w14:paraId="2CFA49AE"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Using TAM in the context of health care research has often involved the discussion of adoption of electronic systems by clinicians, how useful or usable they perceive digital diagnostic systems to be. On the same note, Lee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(2025), argued that UTAUT has checked the organisational preparedness to health information technologies. Facilitating conditions and behavioural intention were key constructs. HBM, on the other hand, has also investigated the patient engagement with preventive screening and digital self-management instruments with explanatory worth admittedly with contextual deviations that occasionally diminish its predictability.</w:t>
      </w:r>
    </w:p>
    <w:p w14:paraId="18E95129"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The TAM has been empirically used in numerous studies aimed at understanding the level of clinician acceptance of electronic health records, whereas the UTAUT models helped to review the adoption rates of telemedicine in hospital networks. Lee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(2025) in his research considered that, HBM has guided the research on using digital mental-health apps in the elderly. However, there is a lack of integration between these models and the study of dementia-specific psychological triage. The discursive studies that have integrated TAM and UTAUT have, on the other hand, stimulated organisational understanding. Therefore, the flexibility of earlier implementations is witnessed, but lack of whole suitability limits holistic knowledge in the NHS mental-health environments.</w:t>
      </w:r>
    </w:p>
    <w:p w14:paraId="49DB472B" w14:textId="77777777" w:rsidR="00A208AC" w:rsidRPr="00A208AC" w:rsidRDefault="00A208AC" w:rsidP="00A208AC">
      <w:pPr>
        <w:pStyle w:val="Heading3"/>
      </w:pPr>
      <w:bookmarkStart w:id="48" w:name="_Toc222575611"/>
      <w:bookmarkStart w:id="49" w:name="_Toc223603161"/>
      <w:r w:rsidRPr="00A208AC">
        <w:t>2.3.3 Critical Evaluation</w:t>
      </w:r>
      <w:bookmarkEnd w:id="48"/>
      <w:bookmarkEnd w:id="49"/>
    </w:p>
    <w:p w14:paraId="7C461C14"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Theoretical strengths of TAM and UTAUT are in the fact that they are organised explanations on how technology-adoption factors work in organisations. There is empirical evidence that displays reliable forecasting ability in respect of behavioural intention and system usage. </w:t>
      </w:r>
      <w:r w:rsidRPr="00A208AC">
        <w:rPr>
          <w:rFonts w:ascii="Arial" w:hAnsi="Arial" w:cs="Arial"/>
          <w:color w:val="000000" w:themeColor="text1"/>
          <w:sz w:val="22"/>
          <w:szCs w:val="20"/>
        </w:rPr>
        <w:lastRenderedPageBreak/>
        <w:t xml:space="preserve">Nevertheless, a reductionist focus on the individual perceptions can ignore simple processes in an institutional environment. On the other hand, (Limbu &amp; Gautam, 2023) considered that HBM can provide the picture of patient risk appraisal and engagement behaviour. But it has less regard to structural healthcare barriers, which limits the context scope. On the contrary, Ismail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(2024), the debate remains on whether it can be universal in a broad range of clinical applications, with opponents stating that quick changes in digital innovation disadvantage theoretical frameworks. Thus, an integrated theoretical application adds to the explanatory extent, but contextual adjustment is needed.</w:t>
      </w:r>
    </w:p>
    <w:p w14:paraId="28B014D7" w14:textId="77777777" w:rsidR="00A208AC" w:rsidRPr="00A208AC" w:rsidRDefault="00A208AC" w:rsidP="00A208AC">
      <w:pPr>
        <w:pStyle w:val="Heading2"/>
      </w:pPr>
      <w:bookmarkStart w:id="50" w:name="_Toc222575612"/>
      <w:bookmarkStart w:id="51" w:name="_Toc223603162"/>
      <w:r w:rsidRPr="00A208AC">
        <w:t>2.4 International Context</w:t>
      </w:r>
      <w:bookmarkEnd w:id="50"/>
      <w:bookmarkEnd w:id="51"/>
      <w:r w:rsidRPr="00A208AC">
        <w:t> </w:t>
      </w:r>
    </w:p>
    <w:p w14:paraId="061C5367" w14:textId="77777777" w:rsidR="00A208AC" w:rsidRPr="00A208AC" w:rsidRDefault="00A208AC" w:rsidP="00A208AC">
      <w:pPr>
        <w:pStyle w:val="Heading3"/>
      </w:pPr>
      <w:bookmarkStart w:id="52" w:name="_Toc222575613"/>
      <w:bookmarkStart w:id="53" w:name="_Toc223603163"/>
      <w:r w:rsidRPr="00A208AC">
        <w:t>2.4.1 Global Perspective</w:t>
      </w:r>
      <w:bookmarkEnd w:id="52"/>
      <w:bookmarkEnd w:id="53"/>
    </w:p>
    <w:p w14:paraId="07B83AFD"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AI-based mental-health triage systems are increasingly regarded as systems of enhancing service efficiency and accessibility throughout the world. Barclay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(2024) idealised that, digital mental-health in the United States helps to integrate telepsychiatry at large scale, compared to Australia that places focus on blended care models that involve integration of online examination and clinician management. Sweden has structured e-mental-health services to supplement the provision of public healthcare. However, unequal adoption of digital technologies and regulatory policies influence unequal regional adoption results.</w:t>
      </w:r>
    </w:p>
    <w:p w14:paraId="41BBA199"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The international tendencies indicate the policy prioritisation of the digital health transformation and the system of the data-driven decisions. Ethical artificial-intelligence governance in healthcare systems is encouraged by the World Health Organisation and AI triage is already included in the national e-health plans of many high-income countries. On the contrary, Razavi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(2025), stated that the method of algorithmic bias and mistrust in the regulation of data safety is one of the primary issues in the frameworks of Europe. Automated screening tools are often accompanied by blended clinical oversight models, which protect against the possible insensitivities in algorithms. Therefore, the international experience shows the active trend of innovation but still, the ethical and infrastructural issues are also affecting the policy paths.</w:t>
      </w:r>
    </w:p>
    <w:p w14:paraId="5633526E" w14:textId="77777777" w:rsidR="00A208AC" w:rsidRPr="00A208AC" w:rsidRDefault="00A208AC" w:rsidP="00A208AC">
      <w:pPr>
        <w:pStyle w:val="Heading3"/>
      </w:pPr>
      <w:bookmarkStart w:id="54" w:name="_Toc222575614"/>
      <w:bookmarkStart w:id="55" w:name="_Toc223603164"/>
      <w:r w:rsidRPr="00A208AC">
        <w:lastRenderedPageBreak/>
        <w:t>2.4.2 Comparative Analysis</w:t>
      </w:r>
      <w:bookmarkEnd w:id="54"/>
      <w:bookmarkEnd w:id="55"/>
    </w:p>
    <w:p w14:paraId="09EE3CBA" w14:textId="77777777" w:rsidR="00A208AC" w:rsidRPr="00A208AC" w:rsidRDefault="00A208AC" w:rsidP="00A208AC">
      <w:pPr>
        <w:spacing w:before="0" w:beforeAutospacing="0" w:after="0" w:afterAutospacing="0"/>
        <w:rPr>
          <w:rFonts w:ascii="Arial" w:hAnsi="Arial" w:cs="Arial"/>
          <w:color w:val="000000" w:themeColor="text1"/>
          <w:sz w:val="22"/>
          <w:szCs w:val="20"/>
        </w:rPr>
      </w:pPr>
      <w:r w:rsidRPr="00A208AC">
        <w:rPr>
          <w:rFonts w:ascii="Arial" w:hAnsi="Arial" w:cs="Arial"/>
          <w:lang w:eastAsia="en-GB"/>
        </w:rPr>
        <w:drawing>
          <wp:inline distT="0" distB="0" distL="0" distR="0" wp14:anchorId="591AE095" wp14:editId="77269289">
            <wp:extent cx="5731510" cy="37871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787140"/>
                    </a:xfrm>
                    <a:prstGeom prst="rect">
                      <a:avLst/>
                    </a:prstGeom>
                  </pic:spPr>
                </pic:pic>
              </a:graphicData>
            </a:graphic>
          </wp:inline>
        </w:drawing>
      </w:r>
    </w:p>
    <w:p w14:paraId="139C5B3A" w14:textId="77777777" w:rsidR="00A208AC" w:rsidRPr="00A208AC" w:rsidRDefault="00A208AC" w:rsidP="00A208AC">
      <w:pPr>
        <w:spacing w:before="0" w:beforeAutospacing="0" w:after="0" w:afterAutospacing="0"/>
        <w:jc w:val="center"/>
        <w:rPr>
          <w:rFonts w:ascii="Arial" w:hAnsi="Arial" w:cs="Arial"/>
          <w:b/>
          <w:color w:val="000000" w:themeColor="text1"/>
        </w:rPr>
      </w:pPr>
      <w:r w:rsidRPr="00A208AC">
        <w:rPr>
          <w:rFonts w:ascii="Arial" w:hAnsi="Arial" w:cs="Arial"/>
          <w:b/>
          <w:color w:val="000000" w:themeColor="text1"/>
        </w:rPr>
        <w:t>Table 1: Comparative Analysis</w:t>
      </w:r>
    </w:p>
    <w:p w14:paraId="706487A0" w14:textId="77777777" w:rsidR="00A208AC" w:rsidRPr="00A208AC" w:rsidRDefault="00A208AC" w:rsidP="00A208AC">
      <w:pPr>
        <w:spacing w:before="0" w:beforeAutospacing="0" w:after="0" w:afterAutospacing="0"/>
        <w:jc w:val="center"/>
        <w:rPr>
          <w:rFonts w:ascii="Arial" w:hAnsi="Arial" w:cs="Arial"/>
          <w:color w:val="000000" w:themeColor="text1"/>
        </w:rPr>
      </w:pPr>
      <w:r w:rsidRPr="00A208AC">
        <w:rPr>
          <w:rFonts w:ascii="Arial" w:hAnsi="Arial" w:cs="Arial"/>
          <w:color w:val="000000" w:themeColor="text1"/>
        </w:rPr>
        <w:t>(Source: Author)</w:t>
      </w:r>
    </w:p>
    <w:p w14:paraId="5BB3F0DF"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The establishment of AI-based mental health triage is changing towards greater reliance on international collaborations as a part of creating diverse healthcare systems. (Adnan, 2025), argued that the World Health Organisation can provide global advice on how to ethically govern artificial intelligence and cross-national studies involving the United Kingdom and the United States examine the model of digital mental health innovation. Digital health programmes by the European Union also encourage regulatory convergence within member states but the problem of inconsistent data-protection standards can make interoperability difficult. On the other hand, Fukami (2024), considered that the collaborative learning is encouraged due to joint commitments to patient safety and transparency, which, in turn, contributes to the development of global initiatives promoting the transfer of knowledge, despite the constant issues of alignment between policies across jurisdictions.</w:t>
      </w:r>
    </w:p>
    <w:p w14:paraId="212C7CA5" w14:textId="77777777" w:rsidR="00A208AC" w:rsidRPr="00A208AC" w:rsidRDefault="00A208AC" w:rsidP="00A208AC">
      <w:pPr>
        <w:pStyle w:val="Heading3"/>
      </w:pPr>
      <w:bookmarkStart w:id="56" w:name="_Toc222575615"/>
      <w:bookmarkStart w:id="57" w:name="_Toc223603165"/>
      <w:r w:rsidRPr="00A208AC">
        <w:lastRenderedPageBreak/>
        <w:t>2.4.3 Case Studies</w:t>
      </w:r>
      <w:bookmarkEnd w:id="56"/>
      <w:bookmarkEnd w:id="57"/>
    </w:p>
    <w:p w14:paraId="42B6936B"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The use of AI-based mental healthcare triage is significantly heterogeneous in official healthcare systems throughout the world. Daramola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xml:space="preserve">. (2025), considered that the implementation of automated symptom assessment devices is part of the telepsychiatry platform in the United States, and commercial providers often incorporate algorithmic assessment modules that prevent patients from accessing clinician care. The Australian national digital portals are characterised by the systematic online evaluation and professional help, whereas the government-initiated efforts open the early intervention paths. Chukwurah </w:t>
      </w:r>
      <w:r w:rsidRPr="00A208AC">
        <w:rPr>
          <w:rFonts w:ascii="Arial" w:hAnsi="Arial" w:cs="Arial"/>
          <w:i/>
          <w:iCs/>
          <w:color w:val="000000" w:themeColor="text1"/>
          <w:sz w:val="22"/>
          <w:szCs w:val="20"/>
        </w:rPr>
        <w:t>et al.</w:t>
      </w:r>
      <w:r w:rsidRPr="00A208AC">
        <w:rPr>
          <w:rFonts w:ascii="Arial" w:hAnsi="Arial" w:cs="Arial"/>
          <w:color w:val="000000" w:themeColor="text1"/>
          <w:sz w:val="22"/>
          <w:szCs w:val="20"/>
        </w:rPr>
        <w:t xml:space="preserve"> (2024), stressed on the idea of E-mental services provided publicly in Sweden include standardised online evaluations before therapeutic assignment but again these have a limited integration due to stringent governance regulations. These examples indicate various organisational models that determine the implementation of AI-mediated triage.</w:t>
      </w:r>
    </w:p>
    <w:p w14:paraId="714242AA"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 xml:space="preserve">Recorded achievements have been an increased accessibility, decreased waiting time and efficiency in resource allocation. The use of automated screening applications in the United States has increased access among the widely spread population density. (Piper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xml:space="preserve">., 2021) argued that australian blended models reinforce continuity between the digital points of entry and clinician-led care. Whereas Swedish integration lessens inequality with regard to the application of universal services. However, the issue of algorithmic bias and the prevailing debates on data-protection continue to thrive worldwide. Han </w:t>
      </w:r>
      <w:r w:rsidRPr="00A208AC">
        <w:rPr>
          <w:rFonts w:ascii="Arial" w:hAnsi="Arial" w:cs="Arial"/>
          <w:i/>
          <w:color w:val="000000" w:themeColor="text1"/>
          <w:sz w:val="22"/>
          <w:szCs w:val="20"/>
        </w:rPr>
        <w:t>et al</w:t>
      </w:r>
      <w:r w:rsidRPr="00A208AC">
        <w:rPr>
          <w:rFonts w:ascii="Arial" w:hAnsi="Arial" w:cs="Arial"/>
          <w:color w:val="000000" w:themeColor="text1"/>
          <w:sz w:val="22"/>
          <w:szCs w:val="20"/>
        </w:rPr>
        <w:t>. (2025) focussed on the idea that the issue of workforce transformation and digital illiteracy hinders enhanced scalability and expands the opportunity to implement digital solutions. Therefore, despite the gains of the operational experience in the global scene, the sustainability of implementation relies on the clarity of regulations and the adaptation to the environment.</w:t>
      </w:r>
      <w:bookmarkStart w:id="58" w:name="_Toc222575616"/>
    </w:p>
    <w:p w14:paraId="160468F3" w14:textId="77777777" w:rsidR="00A208AC" w:rsidRPr="00A208AC" w:rsidRDefault="00A208AC" w:rsidP="00A208AC">
      <w:pPr>
        <w:pStyle w:val="Heading2"/>
        <w:rPr>
          <w:lang w:eastAsia="zh-CN"/>
        </w:rPr>
      </w:pPr>
      <w:bookmarkStart w:id="59" w:name="_Toc223603166"/>
      <w:r w:rsidRPr="00A208AC">
        <w:rPr>
          <w:lang w:eastAsia="zh-CN"/>
        </w:rPr>
        <w:t>2.5 National/Local UK Context</w:t>
      </w:r>
      <w:bookmarkEnd w:id="58"/>
      <w:bookmarkEnd w:id="59"/>
      <w:r w:rsidRPr="00A208AC">
        <w:rPr>
          <w:lang w:eastAsia="zh-CN"/>
        </w:rPr>
        <w:t> </w:t>
      </w:r>
    </w:p>
    <w:p w14:paraId="423AE90D" w14:textId="77777777" w:rsidR="00A208AC" w:rsidRPr="00A208AC" w:rsidRDefault="00A208AC" w:rsidP="00A208AC">
      <w:pPr>
        <w:pStyle w:val="Heading3"/>
      </w:pPr>
      <w:bookmarkStart w:id="60" w:name="_Toc222575617"/>
      <w:bookmarkStart w:id="61" w:name="_Toc223603167"/>
      <w:r w:rsidRPr="00A208AC">
        <w:t>2.5.1 UK Perspective</w:t>
      </w:r>
      <w:bookmarkEnd w:id="60"/>
      <w:bookmarkEnd w:id="61"/>
    </w:p>
    <w:p w14:paraId="690B6918"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In the context of the United Kingdom, the idea of AI-oriented mental health triage is envisioned as a way of improving accessibility and efficiency of the NHS services. The rising availability of healthcare services, which is the result of digital transformation, nowadays, is the subject of more frequent discussions in parliament (UK Parliament, 2025). But still, ethical governance and workforce preparedness are the primary topics of discussion in policy debates.</w:t>
      </w:r>
    </w:p>
    <w:p w14:paraId="75CBA198"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lastRenderedPageBreak/>
        <w:t>The NHS Long term plan and the following transformation programmes are driving digital innovation, as mapped out by national strategies. Expenses of the government structural frameworks advance information-formed care and technology enabled pathways (NHS England, 2023). The regulatory examination of the UK data-protection legislation, together with the influence of the regulators, creates a mindful adoption, thus promoting the innovations, fulfilling the accountability and the expectation of safety of the patient.</w:t>
      </w:r>
    </w:p>
    <w:p w14:paraId="2003494B" w14:textId="77777777" w:rsidR="00A208AC" w:rsidRPr="00A208AC" w:rsidRDefault="00A208AC" w:rsidP="00A208AC">
      <w:pPr>
        <w:pStyle w:val="Heading3"/>
      </w:pPr>
      <w:bookmarkStart w:id="62" w:name="_Toc222575618"/>
      <w:bookmarkStart w:id="63" w:name="_Toc223603168"/>
      <w:r w:rsidRPr="00A208AC">
        <w:t>2.5.2 Policy and Regulation</w:t>
      </w:r>
      <w:bookmarkEnd w:id="62"/>
      <w:bookmarkEnd w:id="63"/>
    </w:p>
    <w:p w14:paraId="391F8C80"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The United Kingdom has national policy frameworks that provide scope in the integration of AI in healthcare. The NHS Long Term Plan supports the digitally empowered industry transformation through transitional courses of mental health (Department of Health and Social Care, 2022). Accountability in the use of data and patient safety is supported by legislative control by the UK Parliament. UK GDPR and Data Protection Act 2018 govern the processing of personal health information and evidence-based technology implementation is informed by guidance provided by the National Institute in Health and Care excellence. However, there is still a complex alignment of policies in digital innovation and clinical governance.</w:t>
      </w:r>
    </w:p>
    <w:p w14:paraId="0A5DE491"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All these frameworks influence the apprehensive advancement of AI-assisted triage schemes in NHS hospitals. The use of regulatory protection enhances social faith and compliance to ethical behavior and use of algorithms in decision making (Cheong, 2024). Transparency enables transparency to be promoted and control uncontrolled technological growth through parliamentary scrutiny. On the other hand, strict data-protection standards can decrease the speed of implementation and burden the administration. Workforce capability gap issues related to digital transformation are drawn to attention of strategic commentary of the King Fund (The King’s Fund, 2025). In this way, ambitions to policy favour innovation, although the realities of operation limit scalability speedily and the governance systems facilitate prudent progress as well as create procedural complexity during mental health service reform.</w:t>
      </w:r>
    </w:p>
    <w:p w14:paraId="4F164EE4" w14:textId="77777777" w:rsidR="00A208AC" w:rsidRPr="00A208AC" w:rsidRDefault="00A208AC" w:rsidP="00A208AC">
      <w:pPr>
        <w:pStyle w:val="Heading3"/>
      </w:pPr>
      <w:bookmarkStart w:id="64" w:name="_Toc222575619"/>
      <w:bookmarkStart w:id="65" w:name="_Toc223603169"/>
      <w:r w:rsidRPr="00A208AC">
        <w:t>2.5.3 Local Context</w:t>
      </w:r>
      <w:bookmarkEnd w:id="64"/>
      <w:bookmarkEnd w:id="65"/>
    </w:p>
    <w:p w14:paraId="25DD4DDB"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On the local level, triage initiatives that make use of AI are operationalised by Integrated Care Systems aligning the NHS trusts and community providers. Ni and Jia (2025), stated that the digital assessment tools are customised to the regional demand strain in local mental health services. Nevertheless, the capacity of implementation depends on the competencies of the workforce and the level of maturity of digital infrastructure.</w:t>
      </w:r>
    </w:p>
    <w:p w14:paraId="360099E9"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lastRenderedPageBreak/>
        <w:t xml:space="preserve">Lalani </w:t>
      </w:r>
      <w:r w:rsidRPr="00A208AC">
        <w:rPr>
          <w:rFonts w:ascii="Arial" w:hAnsi="Arial" w:cs="Arial"/>
          <w:i/>
          <w:iCs/>
          <w:color w:val="000000" w:themeColor="text1"/>
          <w:sz w:val="22"/>
          <w:szCs w:val="20"/>
        </w:rPr>
        <w:t>et al</w:t>
      </w:r>
      <w:r w:rsidRPr="00A208AC">
        <w:rPr>
          <w:rFonts w:ascii="Arial" w:hAnsi="Arial" w:cs="Arial"/>
          <w:color w:val="000000" w:themeColor="text1"/>
          <w:sz w:val="22"/>
          <w:szCs w:val="20"/>
        </w:rPr>
        <w:t>. (2024), considered that the variance through regions is manifested through the fact that urban trusts implement the advanced digital pilot faster with rural experiences having constrained scaling by connectivity and staffing. Based on selected NHS trusts, trials of remotely assessed talking therapies systems with AIcluded platforms have been applied, although standardisation is still uneven across the regions.</w:t>
      </w:r>
    </w:p>
    <w:p w14:paraId="501D40D5" w14:textId="77777777" w:rsidR="00A208AC" w:rsidRPr="00A208AC" w:rsidRDefault="00A208AC" w:rsidP="00A208AC">
      <w:pPr>
        <w:pStyle w:val="Heading2"/>
      </w:pPr>
      <w:bookmarkStart w:id="66" w:name="_Toc222575620"/>
      <w:bookmarkStart w:id="67" w:name="_Toc223603170"/>
      <w:r w:rsidRPr="00A208AC">
        <w:t>2.6 Conclusion</w:t>
      </w:r>
      <w:bookmarkEnd w:id="66"/>
      <w:bookmarkEnd w:id="67"/>
      <w:r w:rsidRPr="00A208AC">
        <w:t> </w:t>
      </w:r>
    </w:p>
    <w:p w14:paraId="0D4D0645" w14:textId="77777777" w:rsidR="00A208AC" w:rsidRPr="00A208AC" w:rsidRDefault="00A208AC" w:rsidP="00A208AC">
      <w:pPr>
        <w:pStyle w:val="Heading3"/>
      </w:pPr>
      <w:bookmarkStart w:id="68" w:name="_Toc222575621"/>
      <w:bookmarkStart w:id="69" w:name="_Toc223603171"/>
      <w:r w:rsidRPr="00A208AC">
        <w:t>2.6.1 Summary of Key Points</w:t>
      </w:r>
      <w:bookmarkEnd w:id="68"/>
      <w:bookmarkEnd w:id="69"/>
    </w:p>
    <w:p w14:paraId="5EF64534" w14:textId="77777777"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This chapter discussed the historical development of Improving Access to Psychological Therapies (IAPT) programme and its digitalisation of NHS services. Theory-based frameworks were assessed critically; they were the Technology Acceptance Model, UTAUT, and HBM. The international comparisons discourse revealed varied models of implementation on a global level, whereas the UK nationwide analysis and local regions outlooked the aspects of regulatory control, policy focus, and regional variability in terms of contributing to an AI-assisted triage integration.</w:t>
      </w:r>
    </w:p>
    <w:p w14:paraId="28C9C850" w14:textId="77777777" w:rsidR="00A208AC" w:rsidRPr="00A208AC" w:rsidRDefault="00A208AC" w:rsidP="00A208AC">
      <w:pPr>
        <w:pStyle w:val="Heading3"/>
      </w:pPr>
      <w:bookmarkStart w:id="70" w:name="_Toc222575622"/>
      <w:bookmarkStart w:id="71" w:name="_Toc223603172"/>
      <w:r w:rsidRPr="00A208AC">
        <w:t>2.6.2 Signpost to Methodology</w:t>
      </w:r>
      <w:bookmarkEnd w:id="70"/>
      <w:bookmarkEnd w:id="71"/>
    </w:p>
    <w:p w14:paraId="1BFDECDB" w14:textId="6D430460" w:rsidR="00A208AC" w:rsidRPr="00A208AC" w:rsidRDefault="00A208AC" w:rsidP="00A208AC">
      <w:pPr>
        <w:rPr>
          <w:rFonts w:ascii="Arial" w:hAnsi="Arial" w:cs="Arial"/>
          <w:color w:val="000000" w:themeColor="text1"/>
          <w:sz w:val="22"/>
          <w:szCs w:val="20"/>
        </w:rPr>
      </w:pPr>
      <w:r w:rsidRPr="00A208AC">
        <w:rPr>
          <w:rFonts w:ascii="Arial" w:hAnsi="Arial" w:cs="Arial"/>
          <w:color w:val="000000" w:themeColor="text1"/>
          <w:sz w:val="22"/>
          <w:szCs w:val="20"/>
        </w:rPr>
        <w:t>The theoretical and contextual background that has been developed in this chapter informs how the following methodology chapter is designed. Substantiated policy frameworks, conceptual debates, and organisational complexities warrant the application of secondary qualitative analysis and thematic analysis, which will provide a methodical evidence investigation under specified NHS and regulatory frameworks.</w:t>
      </w:r>
      <w:r w:rsidRPr="00A208AC">
        <w:rPr>
          <w:rFonts w:ascii="Arial" w:eastAsia="Calibri" w:hAnsi="Arial" w:cs="Arial"/>
          <w:color w:val="000000"/>
          <w:sz w:val="22"/>
        </w:rPr>
        <w:br w:type="page"/>
      </w:r>
    </w:p>
    <w:p w14:paraId="77743F15" w14:textId="77777777" w:rsidR="00A208AC" w:rsidRPr="00A208AC" w:rsidRDefault="00A208AC" w:rsidP="00A208AC">
      <w:pPr>
        <w:keepNext/>
        <w:keepLines/>
        <w:outlineLvl w:val="0"/>
        <w:rPr>
          <w:rFonts w:ascii="Arial" w:eastAsia="Times New Roman" w:hAnsi="Arial" w:cs="Arial"/>
          <w:b/>
          <w:color w:val="000000"/>
          <w:sz w:val="32"/>
          <w:szCs w:val="36"/>
          <w:lang w:eastAsia="zh-CN"/>
        </w:rPr>
      </w:pPr>
      <w:bookmarkStart w:id="72" w:name="_Toc223603173"/>
      <w:r w:rsidRPr="00A208AC">
        <w:rPr>
          <w:rFonts w:ascii="Arial" w:eastAsia="Times New Roman" w:hAnsi="Arial" w:cs="Arial"/>
          <w:b/>
          <w:color w:val="000000"/>
          <w:sz w:val="32"/>
          <w:szCs w:val="36"/>
          <w:lang w:eastAsia="zh-CN"/>
        </w:rPr>
        <w:lastRenderedPageBreak/>
        <w:t>References</w:t>
      </w:r>
      <w:bookmarkEnd w:id="72"/>
    </w:p>
    <w:p w14:paraId="0E92F50E"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Adnan, M. (2025) ‘Social Media Addiction and Well-Being: A Mapping of Global Research Trends and Intellectual Structure (2015–2025)’, </w:t>
      </w:r>
      <w:r w:rsidRPr="00A208AC">
        <w:rPr>
          <w:rFonts w:ascii="Arial" w:eastAsia="Calibri" w:hAnsi="Arial" w:cs="Arial"/>
          <w:i/>
          <w:iCs/>
          <w:color w:val="000000"/>
          <w:sz w:val="22"/>
        </w:rPr>
        <w:t>International Journal of Research and Innovation in Social Science (IJRISS)</w:t>
      </w:r>
      <w:r w:rsidRPr="00A208AC">
        <w:rPr>
          <w:rFonts w:ascii="Arial" w:eastAsia="Calibri" w:hAnsi="Arial" w:cs="Arial"/>
          <w:color w:val="000000"/>
          <w:sz w:val="22"/>
        </w:rPr>
        <w:t>, 9(11). Available at: https://doi.org/10.47772/IJRISS.2025.91100509.</w:t>
      </w:r>
    </w:p>
    <w:p w14:paraId="36CFDE7F" w14:textId="77777777" w:rsidR="00A208AC" w:rsidRPr="00A208AC" w:rsidRDefault="00A208AC" w:rsidP="00A208AC">
      <w:pPr>
        <w:rPr>
          <w:rFonts w:ascii="Arial" w:eastAsia="Calibri" w:hAnsi="Arial" w:cs="Arial"/>
          <w:sz w:val="22"/>
        </w:rPr>
      </w:pPr>
      <w:r w:rsidRPr="00A208AC">
        <w:rPr>
          <w:rFonts w:ascii="Arial" w:eastAsia="Calibri" w:hAnsi="Arial" w:cs="Arial"/>
          <w:sz w:val="22"/>
        </w:rPr>
        <w:t xml:space="preserve">Alzheimer's Society (2024) </w:t>
      </w:r>
      <w:r w:rsidRPr="00A208AC">
        <w:rPr>
          <w:rFonts w:ascii="Arial" w:eastAsia="Calibri" w:hAnsi="Arial" w:cs="Arial"/>
          <w:i/>
          <w:iCs/>
          <w:sz w:val="22"/>
        </w:rPr>
        <w:t>How many people have dementia in the UK?</w:t>
      </w:r>
      <w:r w:rsidRPr="00A208AC">
        <w:rPr>
          <w:rFonts w:ascii="Arial" w:eastAsia="Calibri" w:hAnsi="Arial" w:cs="Arial"/>
          <w:sz w:val="22"/>
        </w:rPr>
        <w:t xml:space="preserve">, </w:t>
      </w:r>
      <w:r w:rsidRPr="00A208AC">
        <w:rPr>
          <w:rFonts w:ascii="Arial" w:eastAsia="Calibri" w:hAnsi="Arial" w:cs="Arial"/>
          <w:i/>
          <w:iCs/>
          <w:sz w:val="22"/>
        </w:rPr>
        <w:t>www.alzheimers.org.uk</w:t>
      </w:r>
      <w:r w:rsidRPr="00A208AC">
        <w:rPr>
          <w:rFonts w:ascii="Arial" w:eastAsia="Calibri" w:hAnsi="Arial" w:cs="Arial"/>
          <w:sz w:val="22"/>
        </w:rPr>
        <w:t>. Available at: https://www.alzheimers.org.uk/blog/how-many-people-have-dementia-uk (Accessed: 16 February 2026).</w:t>
      </w:r>
    </w:p>
    <w:p w14:paraId="5F9781C1"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Anisha, S.A., Sen, A., Ahmad, B. and Bain, C. (2025) ‘Exploring Acceptance of Digital Health Technologies for Managing Non-Communicable Diseases Among Older Adults: A Systematic Scoping Review’, </w:t>
      </w:r>
      <w:r w:rsidRPr="00A208AC">
        <w:rPr>
          <w:rFonts w:ascii="Arial" w:eastAsia="Calibri" w:hAnsi="Arial" w:cs="Arial"/>
          <w:i/>
          <w:iCs/>
          <w:color w:val="000000"/>
          <w:sz w:val="22"/>
        </w:rPr>
        <w:t>Journal of Medical Systems</w:t>
      </w:r>
      <w:r w:rsidRPr="00A208AC">
        <w:rPr>
          <w:rFonts w:ascii="Arial" w:eastAsia="Calibri" w:hAnsi="Arial" w:cs="Arial"/>
          <w:color w:val="000000"/>
          <w:sz w:val="22"/>
        </w:rPr>
        <w:t>, 49(1). Available at: https://doi.org/10.1007/s10916-025-02166-3.</w:t>
      </w:r>
    </w:p>
    <w:p w14:paraId="5259BE3A" w14:textId="77777777" w:rsidR="00A208AC" w:rsidRPr="00A208AC" w:rsidRDefault="00A208AC" w:rsidP="00A208AC">
      <w:pPr>
        <w:rPr>
          <w:rFonts w:ascii="Arial" w:eastAsia="Calibri" w:hAnsi="Arial" w:cs="Arial"/>
          <w:sz w:val="22"/>
        </w:rPr>
      </w:pPr>
      <w:r w:rsidRPr="00A208AC">
        <w:rPr>
          <w:rFonts w:ascii="Arial" w:eastAsia="Calibri" w:hAnsi="Arial" w:cs="Arial"/>
          <w:sz w:val="22"/>
        </w:rPr>
        <w:t xml:space="preserve">Baker, C. and Kirk-Wade, E. (2024) ‘Mental Health statistics: Prevalence, Services and Funding in England’, </w:t>
      </w:r>
      <w:r w:rsidRPr="00A208AC">
        <w:rPr>
          <w:rFonts w:ascii="Arial" w:eastAsia="Calibri" w:hAnsi="Arial" w:cs="Arial"/>
          <w:i/>
          <w:iCs/>
          <w:sz w:val="22"/>
        </w:rPr>
        <w:t>Mental Health statistics: prevalence, Services and Funding in England</w:t>
      </w:r>
      <w:r w:rsidRPr="00A208AC">
        <w:rPr>
          <w:rFonts w:ascii="Arial" w:eastAsia="Calibri" w:hAnsi="Arial" w:cs="Arial"/>
          <w:sz w:val="22"/>
        </w:rPr>
        <w:t xml:space="preserve"> [Preprint]. Available at: https://commonslibrary.parliament.uk/research-briefings/sn06988/ (Accessed: 16 February 2026).</w:t>
      </w:r>
    </w:p>
    <w:p w14:paraId="57E38D3D"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Barclay, J., Sullivan, C., Beckmann, M., Mattison, G., Runciman, R. and Martin, E. (2024) ‘Use of Remote Assessment Tools to Substitute Routine Outpatient Care: A scoping review. (Preprint)’, </w:t>
      </w:r>
      <w:r w:rsidRPr="00A208AC">
        <w:rPr>
          <w:rFonts w:ascii="Arial" w:eastAsia="Calibri" w:hAnsi="Arial" w:cs="Arial"/>
          <w:i/>
          <w:iCs/>
          <w:color w:val="000000"/>
          <w:sz w:val="22"/>
        </w:rPr>
        <w:t>Journal of Medical Internet Research</w:t>
      </w:r>
      <w:r w:rsidRPr="00A208AC">
        <w:rPr>
          <w:rFonts w:ascii="Arial" w:eastAsia="Calibri" w:hAnsi="Arial" w:cs="Arial"/>
          <w:color w:val="000000"/>
          <w:sz w:val="22"/>
        </w:rPr>
        <w:t xml:space="preserve"> [Preprint]. Available at: https://doi.org/10.2196/65938.</w:t>
      </w:r>
    </w:p>
    <w:p w14:paraId="4FAE32A7" w14:textId="77777777" w:rsidR="00A208AC" w:rsidRPr="00A208AC" w:rsidRDefault="00A208AC" w:rsidP="00A208AC">
      <w:pPr>
        <w:rPr>
          <w:rFonts w:ascii="Arial" w:eastAsia="Calibri" w:hAnsi="Arial" w:cs="Arial"/>
          <w:sz w:val="22"/>
        </w:rPr>
      </w:pPr>
      <w:r w:rsidRPr="00A208AC">
        <w:rPr>
          <w:rFonts w:ascii="Arial" w:eastAsia="Calibri" w:hAnsi="Arial" w:cs="Arial"/>
          <w:sz w:val="22"/>
        </w:rPr>
        <w:t xml:space="preserve">Cao, Y., Deng, L., Liu, X., Feng, Z. and Gao, Y. (2025) ‘Ethical challenges in the algorithmic era: a systematic rapid review of risk insights and governance pathways for nursing predictive analytics and early warning systems’, </w:t>
      </w:r>
      <w:r w:rsidRPr="00A208AC">
        <w:rPr>
          <w:rFonts w:ascii="Arial" w:eastAsia="Calibri" w:hAnsi="Arial" w:cs="Arial"/>
          <w:i/>
          <w:iCs/>
          <w:sz w:val="22"/>
        </w:rPr>
        <w:t>BMC Medical Ethics</w:t>
      </w:r>
      <w:r w:rsidRPr="00A208AC">
        <w:rPr>
          <w:rFonts w:ascii="Arial" w:eastAsia="Calibri" w:hAnsi="Arial" w:cs="Arial"/>
          <w:sz w:val="22"/>
        </w:rPr>
        <w:t>, 26(1). Available at: https://doi.org/10.1186/s12910-025-01308-z.</w:t>
      </w:r>
    </w:p>
    <w:p w14:paraId="68DA142C"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Cheong, B.C. (2024) ‘Transparency and accountability in AI systems: safeguarding wellbeing in the age of algorithmic decision-making’, </w:t>
      </w:r>
      <w:r w:rsidRPr="00A208AC">
        <w:rPr>
          <w:rFonts w:ascii="Arial" w:eastAsia="Calibri" w:hAnsi="Arial" w:cs="Arial"/>
          <w:i/>
          <w:iCs/>
          <w:color w:val="000000"/>
          <w:sz w:val="22"/>
        </w:rPr>
        <w:t>Frontiers in Human Dynamics</w:t>
      </w:r>
      <w:r w:rsidRPr="00A208AC">
        <w:rPr>
          <w:rFonts w:ascii="Arial" w:eastAsia="Calibri" w:hAnsi="Arial" w:cs="Arial"/>
          <w:color w:val="000000"/>
          <w:sz w:val="22"/>
        </w:rPr>
        <w:t>, 6. Available at: https://doi.org/10.3389/fhumd.2024.1421273.</w:t>
      </w:r>
    </w:p>
    <w:p w14:paraId="1144BE38"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Chukwurah, N., Ige, A.B., Idemudia, C. and Eyieyien, O.G. (2024) ‘Integrating agile methodologies into data governance: Achieving flexibility and control simultaneously’, </w:t>
      </w:r>
      <w:r w:rsidRPr="00A208AC">
        <w:rPr>
          <w:rFonts w:ascii="Arial" w:eastAsia="Calibri" w:hAnsi="Arial" w:cs="Arial"/>
          <w:i/>
          <w:iCs/>
          <w:color w:val="000000"/>
          <w:sz w:val="22"/>
        </w:rPr>
        <w:t xml:space="preserve">Open </w:t>
      </w:r>
      <w:r w:rsidRPr="00A208AC">
        <w:rPr>
          <w:rFonts w:ascii="Arial" w:eastAsia="Calibri" w:hAnsi="Arial" w:cs="Arial"/>
          <w:i/>
          <w:iCs/>
          <w:color w:val="000000"/>
          <w:sz w:val="22"/>
        </w:rPr>
        <w:lastRenderedPageBreak/>
        <w:t>Access Research Journal of Multidisciplinary Studies</w:t>
      </w:r>
      <w:r w:rsidRPr="00A208AC">
        <w:rPr>
          <w:rFonts w:ascii="Arial" w:eastAsia="Calibri" w:hAnsi="Arial" w:cs="Arial"/>
          <w:color w:val="000000"/>
          <w:sz w:val="22"/>
        </w:rPr>
        <w:t>, 8(1), pp. 045–056. Available at: https://doi.org/10.53022/oarjms.2024.8.1.0044.</w:t>
      </w:r>
    </w:p>
    <w:p w14:paraId="154222D8"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Daramola, I.C., Ezegwui, O.C., Ametepe, F.K., Ezeilo, L.A., Felix, J.A., Odedele, J.A., Lawal, S. and Ebresafe, O.D. (2025) ‘Artificial Intelligence in Primary Care: Opportunities and Challenges in the Canadian and American Healthcare Systems’, </w:t>
      </w:r>
      <w:r w:rsidRPr="00A208AC">
        <w:rPr>
          <w:rFonts w:ascii="Arial" w:eastAsia="Calibri" w:hAnsi="Arial" w:cs="Arial"/>
          <w:i/>
          <w:iCs/>
          <w:color w:val="000000"/>
          <w:sz w:val="22"/>
        </w:rPr>
        <w:t>OALib</w:t>
      </w:r>
      <w:r w:rsidRPr="00A208AC">
        <w:rPr>
          <w:rFonts w:ascii="Arial" w:eastAsia="Calibri" w:hAnsi="Arial" w:cs="Arial"/>
          <w:color w:val="000000"/>
          <w:sz w:val="22"/>
        </w:rPr>
        <w:t>, 12(10), pp. 1–23. Available at: https://doi.org/10.4236/oalib.1114204.</w:t>
      </w:r>
    </w:p>
    <w:p w14:paraId="253F6A4C"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Department of Health and Social Care (2021) </w:t>
      </w:r>
      <w:r w:rsidRPr="00A208AC">
        <w:rPr>
          <w:rFonts w:ascii="Arial" w:eastAsia="Calibri" w:hAnsi="Arial" w:cs="Arial"/>
          <w:i/>
          <w:iCs/>
          <w:color w:val="000000"/>
          <w:sz w:val="22"/>
        </w:rPr>
        <w:t>Reforming the Mental Health Act</w:t>
      </w:r>
      <w:r w:rsidRPr="00A208AC">
        <w:rPr>
          <w:rFonts w:ascii="Arial" w:eastAsia="Calibri" w:hAnsi="Arial" w:cs="Arial"/>
          <w:color w:val="000000"/>
          <w:sz w:val="22"/>
        </w:rPr>
        <w:t xml:space="preserve">, </w:t>
      </w:r>
      <w:r w:rsidRPr="00A208AC">
        <w:rPr>
          <w:rFonts w:ascii="Arial" w:eastAsia="Calibri" w:hAnsi="Arial" w:cs="Arial"/>
          <w:i/>
          <w:iCs/>
          <w:color w:val="000000"/>
          <w:sz w:val="22"/>
        </w:rPr>
        <w:t>GOV.UK</w:t>
      </w:r>
      <w:r w:rsidRPr="00A208AC">
        <w:rPr>
          <w:rFonts w:ascii="Arial" w:eastAsia="Calibri" w:hAnsi="Arial" w:cs="Arial"/>
          <w:color w:val="000000"/>
          <w:sz w:val="22"/>
        </w:rPr>
        <w:t>. Available at: https://www.gov.uk/government/consultations/reforming-the-mental-health-act/reforming-the-mental-health-act (Accessed: 17 February 2026).</w:t>
      </w:r>
    </w:p>
    <w:p w14:paraId="0CDDB76F"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Department of Health and Social Care (2022) </w:t>
      </w:r>
      <w:r w:rsidRPr="00A208AC">
        <w:rPr>
          <w:rFonts w:ascii="Arial" w:eastAsia="Calibri" w:hAnsi="Arial" w:cs="Arial"/>
          <w:i/>
          <w:iCs/>
          <w:color w:val="000000"/>
          <w:sz w:val="22"/>
        </w:rPr>
        <w:t>A Plan for Digital Health and Social Care</w:t>
      </w:r>
      <w:r w:rsidRPr="00A208AC">
        <w:rPr>
          <w:rFonts w:ascii="Arial" w:eastAsia="Calibri" w:hAnsi="Arial" w:cs="Arial"/>
          <w:color w:val="000000"/>
          <w:sz w:val="22"/>
        </w:rPr>
        <w:t xml:space="preserve">, </w:t>
      </w:r>
      <w:r w:rsidRPr="00A208AC">
        <w:rPr>
          <w:rFonts w:ascii="Arial" w:eastAsia="Calibri" w:hAnsi="Arial" w:cs="Arial"/>
          <w:i/>
          <w:iCs/>
          <w:color w:val="000000"/>
          <w:sz w:val="22"/>
        </w:rPr>
        <w:t>GOV.UK</w:t>
      </w:r>
      <w:r w:rsidRPr="00A208AC">
        <w:rPr>
          <w:rFonts w:ascii="Arial" w:eastAsia="Calibri" w:hAnsi="Arial" w:cs="Arial"/>
          <w:color w:val="000000"/>
          <w:sz w:val="22"/>
        </w:rPr>
        <w:t>. Available at: https://www.gov.uk/government/publications/a-plan-for-digital-health-and-social-care/a-plan-for-digital-health-and-social-care (Accessed: 17 February 2026).</w:t>
      </w:r>
    </w:p>
    <w:p w14:paraId="30D2DE4A" w14:textId="77777777" w:rsidR="00A208AC" w:rsidRPr="00A208AC" w:rsidRDefault="00A208AC" w:rsidP="00A208AC">
      <w:pPr>
        <w:rPr>
          <w:rFonts w:ascii="Arial" w:eastAsia="Calibri" w:hAnsi="Arial" w:cs="Arial"/>
          <w:sz w:val="22"/>
        </w:rPr>
      </w:pPr>
      <w:r w:rsidRPr="00A208AC">
        <w:rPr>
          <w:rFonts w:ascii="Arial" w:eastAsia="Calibri" w:hAnsi="Arial" w:cs="Arial"/>
          <w:sz w:val="22"/>
        </w:rPr>
        <w:t xml:space="preserve">Dhirani, L.L., Mukhtiar, N., Chowdhry, B.S. and Newe, T. (2023) ‘Ethical Dilemmas and Privacy Issues in Emerging Technologies: A Review’, </w:t>
      </w:r>
      <w:r w:rsidRPr="00A208AC">
        <w:rPr>
          <w:rFonts w:ascii="Arial" w:eastAsia="Calibri" w:hAnsi="Arial" w:cs="Arial"/>
          <w:i/>
          <w:iCs/>
          <w:sz w:val="22"/>
        </w:rPr>
        <w:t>Sensors</w:t>
      </w:r>
      <w:r w:rsidRPr="00A208AC">
        <w:rPr>
          <w:rFonts w:ascii="Arial" w:eastAsia="Calibri" w:hAnsi="Arial" w:cs="Arial"/>
          <w:sz w:val="22"/>
        </w:rPr>
        <w:t>, 23(3), p. 1151. Available at: https://doi.org/10.3390/s23031151.</w:t>
      </w:r>
    </w:p>
    <w:p w14:paraId="24A682DE"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Frayman, D., Krekel, C., Layard, R., MacLennan, S. and Parkes, I. (2024) Value for Money: How to Improve Wellbeing and Reduce Misery. A Report from the LSE Centre for Economic Performance., Centre for Economic Performance. Centre for Economic Performance. London School of Economics and Political Science, Houghton Street, London, WC2A 2AE, UK. Tel: +44-20-7955-7673; Fax: +44-20-7404-0612; e-mail: cep.info@lse.ac.uk; Web site: http://cep.lse.ac.uk. Available at: https://eric.ed.gov/?id=ED674749 (Accessed: 17 February 2026).</w:t>
      </w:r>
    </w:p>
    <w:p w14:paraId="22F74B27"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Fukami, T. (2024) ‘Enhancing Healthcare Accountability for Administrators: Fostering Transparency for Patient Safety and Quality Enhancement’, </w:t>
      </w:r>
      <w:r w:rsidRPr="00A208AC">
        <w:rPr>
          <w:rFonts w:ascii="Arial" w:eastAsia="Calibri" w:hAnsi="Arial" w:cs="Arial"/>
          <w:i/>
          <w:iCs/>
          <w:color w:val="000000"/>
          <w:sz w:val="22"/>
        </w:rPr>
        <w:t>Cureus</w:t>
      </w:r>
      <w:r w:rsidRPr="00A208AC">
        <w:rPr>
          <w:rFonts w:ascii="Arial" w:eastAsia="Calibri" w:hAnsi="Arial" w:cs="Arial"/>
          <w:color w:val="000000"/>
          <w:sz w:val="22"/>
        </w:rPr>
        <w:t>, 16(8), pp. 1–6. Available at: https://doi.org/10.7759/cureus.66007.</w:t>
      </w:r>
    </w:p>
    <w:p w14:paraId="040ADC1B"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Gkintoni, E., Vassilopoulos, S.P. and Nikolaou, G. (2025) ‘Next-Generation Cognitive-Behavioral Therapy for Depression: Integrating Digital Tools, Teletherapy, and Personalization for Enhanced Mental Health Outcomes’, </w:t>
      </w:r>
      <w:r w:rsidRPr="00A208AC">
        <w:rPr>
          <w:rFonts w:ascii="Arial" w:eastAsia="Calibri" w:hAnsi="Arial" w:cs="Arial"/>
          <w:i/>
          <w:iCs/>
          <w:color w:val="000000"/>
          <w:sz w:val="22"/>
        </w:rPr>
        <w:t>Medicina</w:t>
      </w:r>
      <w:r w:rsidRPr="00A208AC">
        <w:rPr>
          <w:rFonts w:ascii="Arial" w:eastAsia="Calibri" w:hAnsi="Arial" w:cs="Arial"/>
          <w:color w:val="000000"/>
          <w:sz w:val="22"/>
        </w:rPr>
        <w:t>, 61(3), p. 431. Available at: https://doi.org/10.3390/medicina61030431.</w:t>
      </w:r>
    </w:p>
    <w:p w14:paraId="2FAAAF7B"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lastRenderedPageBreak/>
        <w:t xml:space="preserve">Han, Y., Wang, X. and Bai, Y. (2025) ‘Leveraging digital transformation in hybrid workplaces: current landscape, underlying challenges, and future prospects’, </w:t>
      </w:r>
      <w:r w:rsidRPr="00A208AC">
        <w:rPr>
          <w:rFonts w:ascii="Arial" w:eastAsia="Calibri" w:hAnsi="Arial" w:cs="Arial"/>
          <w:i/>
          <w:iCs/>
          <w:color w:val="000000"/>
          <w:sz w:val="22"/>
        </w:rPr>
        <w:t>Frontiers in Human Dynamics</w:t>
      </w:r>
      <w:r w:rsidRPr="00A208AC">
        <w:rPr>
          <w:rFonts w:ascii="Arial" w:eastAsia="Calibri" w:hAnsi="Arial" w:cs="Arial"/>
          <w:color w:val="000000"/>
          <w:sz w:val="22"/>
        </w:rPr>
        <w:t>, 7. Available at: https://doi.org/10.3389/fhumd.2025.1622625.</w:t>
      </w:r>
    </w:p>
    <w:p w14:paraId="421AD9F3"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Iqbal, F.M., Kayikci, S., Lowther-Payne, H., Aly, M., Askari, A., Wells, R. and Bhuiya, A. (2025) ‘Defining the integrated neighbourhood model: a systematic review of key domains and framework development’, </w:t>
      </w:r>
      <w:r w:rsidRPr="00A208AC">
        <w:rPr>
          <w:rFonts w:ascii="Arial" w:eastAsia="Calibri" w:hAnsi="Arial" w:cs="Arial"/>
          <w:i/>
          <w:iCs/>
          <w:color w:val="000000"/>
          <w:sz w:val="22"/>
        </w:rPr>
        <w:t>BMC Public Health</w:t>
      </w:r>
      <w:r w:rsidRPr="00A208AC">
        <w:rPr>
          <w:rFonts w:ascii="Arial" w:eastAsia="Calibri" w:hAnsi="Arial" w:cs="Arial"/>
          <w:color w:val="000000"/>
          <w:sz w:val="22"/>
        </w:rPr>
        <w:t>, 25(1). Available at: https://doi.org/10.1186/s12889-025-22582-x.</w:t>
      </w:r>
    </w:p>
    <w:p w14:paraId="1B281812"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Ismail, M.N., Jameel, S.H., Bashar, Saeed, A.M., Salman, S.M., Dakov, S. and Ali, H. (2024) ‘Investigating Three Digital Transformation Theories TAM, TTF, and UTAUT’, </w:t>
      </w:r>
      <w:r w:rsidRPr="00A208AC">
        <w:rPr>
          <w:rFonts w:ascii="Arial" w:eastAsia="Calibri" w:hAnsi="Arial" w:cs="Arial"/>
          <w:i/>
          <w:iCs/>
          <w:color w:val="000000"/>
          <w:sz w:val="22"/>
        </w:rPr>
        <w:t>Conference of Open Innovations Association (FRUCT)</w:t>
      </w:r>
      <w:r w:rsidRPr="00A208AC">
        <w:rPr>
          <w:rFonts w:ascii="Arial" w:eastAsia="Calibri" w:hAnsi="Arial" w:cs="Arial"/>
          <w:color w:val="000000"/>
          <w:sz w:val="22"/>
        </w:rPr>
        <w:t>, pp. 538–548. Available at: https://doi.org/10.23919/fruct64283.2024.10749924.</w:t>
      </w:r>
    </w:p>
    <w:p w14:paraId="6C302761" w14:textId="77777777" w:rsidR="00A208AC" w:rsidRPr="00A208AC" w:rsidRDefault="00A208AC" w:rsidP="00A208AC">
      <w:pPr>
        <w:rPr>
          <w:rFonts w:ascii="Arial" w:eastAsia="Calibri" w:hAnsi="Arial" w:cs="Arial"/>
          <w:sz w:val="22"/>
        </w:rPr>
      </w:pPr>
      <w:r w:rsidRPr="00A208AC">
        <w:rPr>
          <w:rFonts w:ascii="Arial" w:eastAsia="Calibri" w:hAnsi="Arial" w:cs="Arial"/>
          <w:sz w:val="22"/>
        </w:rPr>
        <w:t>Kingstone, T., Chew</w:t>
      </w:r>
      <w:r w:rsidRPr="00A208AC">
        <w:rPr>
          <w:rFonts w:ascii="Cambria Math" w:eastAsia="Calibri" w:hAnsi="Cambria Math" w:cs="Cambria Math"/>
          <w:sz w:val="22"/>
        </w:rPr>
        <w:t>‐</w:t>
      </w:r>
      <w:r w:rsidRPr="00A208AC">
        <w:rPr>
          <w:rFonts w:ascii="Arial" w:eastAsia="Calibri" w:hAnsi="Arial" w:cs="Arial"/>
          <w:sz w:val="22"/>
        </w:rPr>
        <w:t>Graham, C.A. and Corp, N. (2022) ‘Interventions to identify and manage depression delivered by “nontraditional” providers to community</w:t>
      </w:r>
      <w:r w:rsidRPr="00A208AC">
        <w:rPr>
          <w:rFonts w:ascii="Cambria Math" w:eastAsia="Calibri" w:hAnsi="Cambria Math" w:cs="Cambria Math"/>
          <w:sz w:val="22"/>
        </w:rPr>
        <w:t>‐</w:t>
      </w:r>
      <w:r w:rsidRPr="00A208AC">
        <w:rPr>
          <w:rFonts w:ascii="Arial" w:eastAsia="Calibri" w:hAnsi="Arial" w:cs="Arial"/>
          <w:sz w:val="22"/>
        </w:rPr>
        <w:t xml:space="preserve">dwelling older adults: A realist review’, </w:t>
      </w:r>
      <w:r w:rsidRPr="00A208AC">
        <w:rPr>
          <w:rFonts w:ascii="Arial" w:eastAsia="Calibri" w:hAnsi="Arial" w:cs="Arial"/>
          <w:i/>
          <w:iCs/>
          <w:sz w:val="22"/>
        </w:rPr>
        <w:t>Health Expectations</w:t>
      </w:r>
      <w:r w:rsidRPr="00A208AC">
        <w:rPr>
          <w:rFonts w:ascii="Arial" w:eastAsia="Calibri" w:hAnsi="Arial" w:cs="Arial"/>
          <w:sz w:val="22"/>
        </w:rPr>
        <w:t xml:space="preserve"> [Preprint]. Available at: https://doi.org/10.1111/hex.13594.</w:t>
      </w:r>
    </w:p>
    <w:p w14:paraId="0E63A0F6"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Lalani, M., Peters, M., Sugavanam, T., Crocker, H., Caiels, J., Hay, H., Gunn, S., Hogan, H., Page, B. and Fitzpatrick, R. (2024) ‘New Ways of Working to Manage and Improve Quality in Integrated Care Systems in England’, </w:t>
      </w:r>
      <w:r w:rsidRPr="00A208AC">
        <w:rPr>
          <w:rFonts w:ascii="Arial" w:eastAsia="Calibri" w:hAnsi="Arial" w:cs="Arial"/>
          <w:i/>
          <w:iCs/>
          <w:color w:val="000000"/>
          <w:sz w:val="22"/>
        </w:rPr>
        <w:t>International Journal of Health Policy and Management</w:t>
      </w:r>
      <w:r w:rsidRPr="00A208AC">
        <w:rPr>
          <w:rFonts w:ascii="Arial" w:eastAsia="Calibri" w:hAnsi="Arial" w:cs="Arial"/>
          <w:color w:val="000000"/>
          <w:sz w:val="22"/>
        </w:rPr>
        <w:t>, 14(1). Available at: https://doi.org/10.34172/ijhpm.8424.</w:t>
      </w:r>
    </w:p>
    <w:p w14:paraId="1F22C66D"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Lee, A.T., Ramasamy, R.K. and Subbarao, A. (2025) ‘Understanding Psychosocial Barriers to Healthcare Technology Adoption: A Review of TAM Technology Acceptance Model and Unified Theory of Acceptance and Use of Technology and UTAUT Frameworks’, </w:t>
      </w:r>
      <w:r w:rsidRPr="00A208AC">
        <w:rPr>
          <w:rFonts w:ascii="Arial" w:eastAsia="Calibri" w:hAnsi="Arial" w:cs="Arial"/>
          <w:i/>
          <w:iCs/>
          <w:color w:val="000000"/>
          <w:sz w:val="22"/>
        </w:rPr>
        <w:t>Healthcare</w:t>
      </w:r>
      <w:r w:rsidRPr="00A208AC">
        <w:rPr>
          <w:rFonts w:ascii="Arial" w:eastAsia="Calibri" w:hAnsi="Arial" w:cs="Arial"/>
          <w:color w:val="000000"/>
          <w:sz w:val="22"/>
        </w:rPr>
        <w:t>, 13(3), p. 250. Available at: https://doi.org/10.3390/healthcare13030250.</w:t>
      </w:r>
    </w:p>
    <w:p w14:paraId="1422FAE6"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Limbu, Y.B. and Gautam, R.K. (2023) ‘How Well the Constructs of Health Belief Model Predict Vaccination Intention: A Systematic Review on COVID-19 Primary Series and Booster Vaccines’, </w:t>
      </w:r>
      <w:r w:rsidRPr="00A208AC">
        <w:rPr>
          <w:rFonts w:ascii="Arial" w:eastAsia="Calibri" w:hAnsi="Arial" w:cs="Arial"/>
          <w:i/>
          <w:iCs/>
          <w:color w:val="000000"/>
          <w:sz w:val="22"/>
        </w:rPr>
        <w:t>Vaccines</w:t>
      </w:r>
      <w:r w:rsidRPr="00A208AC">
        <w:rPr>
          <w:rFonts w:ascii="Arial" w:eastAsia="Calibri" w:hAnsi="Arial" w:cs="Arial"/>
          <w:color w:val="000000"/>
          <w:sz w:val="22"/>
        </w:rPr>
        <w:t>, 11(4), p. 816. Available at: https://doi.org/10.3390/vaccines11040816.</w:t>
      </w:r>
    </w:p>
    <w:p w14:paraId="1CFFFEFB" w14:textId="77777777" w:rsidR="00A208AC" w:rsidRPr="00A208AC" w:rsidRDefault="00A208AC" w:rsidP="00A208AC">
      <w:pPr>
        <w:rPr>
          <w:rFonts w:ascii="Arial" w:eastAsia="Calibri" w:hAnsi="Arial" w:cs="Arial"/>
          <w:sz w:val="22"/>
        </w:rPr>
      </w:pPr>
      <w:r w:rsidRPr="00A208AC">
        <w:rPr>
          <w:rFonts w:ascii="Arial" w:eastAsia="Calibri" w:hAnsi="Arial" w:cs="Arial"/>
          <w:sz w:val="22"/>
        </w:rPr>
        <w:t xml:space="preserve">Lyall, D.M., Kormilitzin, A., Lancaster, C., Sousa, J., Petermann-Rocha, F., Buckley, C., Harshfield, E.L., Iveson, M.H., Madan, C.R., Mc Ardle, R., Newby, D., Orgeta, V., Tang, E., Tamburin, S., Thakur, L., Lourida, I., Llewellyn, D.J. and Ranson, J.M. (2023) ‘Artificial intelligence for dementia—Applied models and digital health’, </w:t>
      </w:r>
      <w:r w:rsidRPr="00A208AC">
        <w:rPr>
          <w:rFonts w:ascii="Arial" w:eastAsia="Calibri" w:hAnsi="Arial" w:cs="Arial"/>
          <w:i/>
          <w:iCs/>
          <w:sz w:val="22"/>
        </w:rPr>
        <w:t>Alzheimers &amp; Dementia</w:t>
      </w:r>
      <w:r w:rsidRPr="00A208AC">
        <w:rPr>
          <w:rFonts w:ascii="Arial" w:eastAsia="Calibri" w:hAnsi="Arial" w:cs="Arial"/>
          <w:sz w:val="22"/>
        </w:rPr>
        <w:t>, 19(12). Available at: https://doi.org/10.1002/alz.13391.</w:t>
      </w:r>
    </w:p>
    <w:p w14:paraId="23E5AA38"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lastRenderedPageBreak/>
        <w:t xml:space="preserve">McShane, D., Madden, A., Kinsey, L. and Bifarin, O. (2024) ‘Navigating Challenges and Shaping Futures through Mental Health Nursing in the United Kingdom’, </w:t>
      </w:r>
      <w:r w:rsidRPr="00A208AC">
        <w:rPr>
          <w:rFonts w:ascii="Arial" w:eastAsia="Calibri" w:hAnsi="Arial" w:cs="Arial"/>
          <w:i/>
          <w:iCs/>
          <w:color w:val="000000"/>
          <w:sz w:val="22"/>
        </w:rPr>
        <w:t>Journal of Psychiatric and Mental Health Nursing</w:t>
      </w:r>
      <w:r w:rsidRPr="00A208AC">
        <w:rPr>
          <w:rFonts w:ascii="Arial" w:eastAsia="Calibri" w:hAnsi="Arial" w:cs="Arial"/>
          <w:color w:val="000000"/>
          <w:sz w:val="22"/>
        </w:rPr>
        <w:t>, 32(1). Available at: https://doi.org/10.1111/jpm.13092.</w:t>
      </w:r>
    </w:p>
    <w:p w14:paraId="3CBFE150" w14:textId="77777777" w:rsidR="00A208AC" w:rsidRPr="00A208AC" w:rsidRDefault="00A208AC" w:rsidP="00A208AC">
      <w:pPr>
        <w:rPr>
          <w:rFonts w:ascii="Arial" w:eastAsia="Calibri" w:hAnsi="Arial" w:cs="Arial"/>
          <w:sz w:val="22"/>
        </w:rPr>
      </w:pPr>
      <w:r w:rsidRPr="00A208AC">
        <w:rPr>
          <w:rFonts w:ascii="Arial" w:eastAsia="Calibri" w:hAnsi="Arial" w:cs="Arial"/>
          <w:sz w:val="22"/>
        </w:rPr>
        <w:t xml:space="preserve">Mokhwelepa, L.W., Sumbane, G.O. and Mukhinindi, R. (2025) ‘Effectiveness of mental health triage systems in reducing psychiatric emergency department admissions’, </w:t>
      </w:r>
      <w:r w:rsidRPr="00A208AC">
        <w:rPr>
          <w:rFonts w:ascii="Arial" w:eastAsia="Calibri" w:hAnsi="Arial" w:cs="Arial"/>
          <w:i/>
          <w:iCs/>
          <w:sz w:val="22"/>
        </w:rPr>
        <w:t>General Hospital Psychiatry</w:t>
      </w:r>
      <w:r w:rsidRPr="00A208AC">
        <w:rPr>
          <w:rFonts w:ascii="Arial" w:eastAsia="Calibri" w:hAnsi="Arial" w:cs="Arial"/>
          <w:sz w:val="22"/>
        </w:rPr>
        <w:t>, 97, pp. 294–302. Available at: https://doi.org/10.1016/j.genhosppsych.2025.11.007.</w:t>
      </w:r>
    </w:p>
    <w:p w14:paraId="28339208"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Murdoch, C. (2024) </w:t>
      </w:r>
      <w:r w:rsidRPr="00A208AC">
        <w:rPr>
          <w:rFonts w:ascii="Arial" w:eastAsia="Calibri" w:hAnsi="Arial" w:cs="Arial"/>
          <w:i/>
          <w:iCs/>
          <w:color w:val="000000"/>
          <w:sz w:val="22"/>
        </w:rPr>
        <w:t>NHS England» Dementia programme and preparation for new Alzheimer’s disease modifying treatments</w:t>
      </w:r>
      <w:r w:rsidRPr="00A208AC">
        <w:rPr>
          <w:rFonts w:ascii="Arial" w:eastAsia="Calibri" w:hAnsi="Arial" w:cs="Arial"/>
          <w:color w:val="000000"/>
          <w:sz w:val="22"/>
        </w:rPr>
        <w:t xml:space="preserve">, </w:t>
      </w:r>
      <w:r w:rsidRPr="00A208AC">
        <w:rPr>
          <w:rFonts w:ascii="Arial" w:eastAsia="Calibri" w:hAnsi="Arial" w:cs="Arial"/>
          <w:i/>
          <w:iCs/>
          <w:color w:val="000000"/>
          <w:sz w:val="22"/>
        </w:rPr>
        <w:t>www.england.nhs.uk</w:t>
      </w:r>
      <w:r w:rsidRPr="00A208AC">
        <w:rPr>
          <w:rFonts w:ascii="Arial" w:eastAsia="Calibri" w:hAnsi="Arial" w:cs="Arial"/>
          <w:color w:val="000000"/>
          <w:sz w:val="22"/>
        </w:rPr>
        <w:t>. Available at: https://www.england.nhs.uk/long-read/dementia-programme-and-preparation-for-new-alzheimers-disease-modifying-treatments/ (Accessed: 17 February 2026).</w:t>
      </w:r>
    </w:p>
    <w:p w14:paraId="5D75F9D2" w14:textId="77777777" w:rsidR="00A208AC" w:rsidRPr="00A208AC" w:rsidRDefault="00A208AC" w:rsidP="00A208AC">
      <w:pPr>
        <w:rPr>
          <w:rFonts w:ascii="Arial" w:eastAsia="Calibri" w:hAnsi="Arial" w:cs="Arial"/>
          <w:sz w:val="22"/>
        </w:rPr>
      </w:pPr>
      <w:r w:rsidRPr="00A208AC">
        <w:rPr>
          <w:rFonts w:ascii="Arial" w:eastAsia="Calibri" w:hAnsi="Arial" w:cs="Arial"/>
          <w:sz w:val="22"/>
        </w:rPr>
        <w:t xml:space="preserve">Murdoch, C. (2024) </w:t>
      </w:r>
      <w:r w:rsidRPr="00A208AC">
        <w:rPr>
          <w:rFonts w:ascii="Arial" w:eastAsia="Calibri" w:hAnsi="Arial" w:cs="Arial"/>
          <w:i/>
          <w:iCs/>
          <w:sz w:val="22"/>
        </w:rPr>
        <w:t>NHS England» Dementia programme and preparation for new Alzheimer’s disease modifying treatments</w:t>
      </w:r>
      <w:r w:rsidRPr="00A208AC">
        <w:rPr>
          <w:rFonts w:ascii="Arial" w:eastAsia="Calibri" w:hAnsi="Arial" w:cs="Arial"/>
          <w:sz w:val="22"/>
        </w:rPr>
        <w:t xml:space="preserve">, </w:t>
      </w:r>
      <w:r w:rsidRPr="00A208AC">
        <w:rPr>
          <w:rFonts w:ascii="Arial" w:eastAsia="Calibri" w:hAnsi="Arial" w:cs="Arial"/>
          <w:i/>
          <w:iCs/>
          <w:sz w:val="22"/>
        </w:rPr>
        <w:t>www.england.nhs.uk</w:t>
      </w:r>
      <w:r w:rsidRPr="00A208AC">
        <w:rPr>
          <w:rFonts w:ascii="Arial" w:eastAsia="Calibri" w:hAnsi="Arial" w:cs="Arial"/>
          <w:sz w:val="22"/>
        </w:rPr>
        <w:t>. Available at: https://www.england.nhs.uk/long-read/dementia-programme-and-preparation-for-new-alzheimers-disease-modifying-treatments/ (Accessed: 16 February 2026).</w:t>
      </w:r>
    </w:p>
    <w:p w14:paraId="11FDE0FB"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NHS (2023) </w:t>
      </w:r>
      <w:r w:rsidRPr="00A208AC">
        <w:rPr>
          <w:rFonts w:ascii="Arial" w:eastAsia="Calibri" w:hAnsi="Arial" w:cs="Arial"/>
          <w:i/>
          <w:iCs/>
          <w:color w:val="000000"/>
          <w:sz w:val="22"/>
        </w:rPr>
        <w:t>The Improving Access to Psychological Therapies Manual</w:t>
      </w:r>
      <w:r w:rsidRPr="00A208AC">
        <w:rPr>
          <w:rFonts w:ascii="Arial" w:eastAsia="Calibri" w:hAnsi="Arial" w:cs="Arial"/>
          <w:color w:val="000000"/>
          <w:sz w:val="22"/>
        </w:rPr>
        <w:t>. Available at: https://www.rcpsych.ac.uk/docs/default-source/improving-care/nccmh/iapt/the-iapt-manual-v6.pdf?sfvrsn=79ece7e5_2 (Accessed: 17 February 2026).</w:t>
      </w:r>
    </w:p>
    <w:p w14:paraId="53ACC20B" w14:textId="77777777" w:rsidR="00A208AC" w:rsidRPr="00A208AC" w:rsidRDefault="00A208AC" w:rsidP="00A208AC">
      <w:pPr>
        <w:rPr>
          <w:rFonts w:ascii="Arial" w:eastAsia="Calibri" w:hAnsi="Arial" w:cs="Arial"/>
          <w:sz w:val="22"/>
        </w:rPr>
      </w:pPr>
      <w:r w:rsidRPr="00A208AC">
        <w:rPr>
          <w:rFonts w:ascii="Arial" w:eastAsia="Calibri" w:hAnsi="Arial" w:cs="Arial"/>
          <w:sz w:val="22"/>
        </w:rPr>
        <w:t xml:space="preserve">NHS (2026) </w:t>
      </w:r>
      <w:r w:rsidRPr="00A208AC">
        <w:rPr>
          <w:rFonts w:ascii="Arial" w:eastAsia="Calibri" w:hAnsi="Arial" w:cs="Arial"/>
          <w:i/>
          <w:iCs/>
          <w:sz w:val="22"/>
        </w:rPr>
        <w:t>NHS England and NHS Improvement South West» Improving Access to Psychological Therapies</w:t>
      </w:r>
      <w:r w:rsidRPr="00A208AC">
        <w:rPr>
          <w:rFonts w:ascii="Arial" w:eastAsia="Calibri" w:hAnsi="Arial" w:cs="Arial"/>
          <w:sz w:val="22"/>
        </w:rPr>
        <w:t xml:space="preserve">, </w:t>
      </w:r>
      <w:r w:rsidRPr="00A208AC">
        <w:rPr>
          <w:rFonts w:ascii="Arial" w:eastAsia="Calibri" w:hAnsi="Arial" w:cs="Arial"/>
          <w:i/>
          <w:iCs/>
          <w:sz w:val="22"/>
        </w:rPr>
        <w:t>www.england.nhs.uk</w:t>
      </w:r>
      <w:r w:rsidRPr="00A208AC">
        <w:rPr>
          <w:rFonts w:ascii="Arial" w:eastAsia="Calibri" w:hAnsi="Arial" w:cs="Arial"/>
          <w:sz w:val="22"/>
        </w:rPr>
        <w:t>. Available at: https://www.england.nhs.uk/south/our-work/mental-health/improving-access-to-psychological-therapies/ (Accessed: 16 February 2026).</w:t>
      </w:r>
    </w:p>
    <w:p w14:paraId="259CF711"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NHS England (2023) </w:t>
      </w:r>
      <w:r w:rsidRPr="00A208AC">
        <w:rPr>
          <w:rFonts w:ascii="Arial" w:eastAsia="Calibri" w:hAnsi="Arial" w:cs="Arial"/>
          <w:i/>
          <w:iCs/>
          <w:color w:val="000000"/>
          <w:sz w:val="22"/>
        </w:rPr>
        <w:t>Inclusive digital healthcare: a framework for NHS action on digital inclusion</w:t>
      </w:r>
      <w:r w:rsidRPr="00A208AC">
        <w:rPr>
          <w:rFonts w:ascii="Arial" w:eastAsia="Calibri" w:hAnsi="Arial" w:cs="Arial"/>
          <w:color w:val="000000"/>
          <w:sz w:val="22"/>
        </w:rPr>
        <w:t xml:space="preserve">, </w:t>
      </w:r>
      <w:r w:rsidRPr="00A208AC">
        <w:rPr>
          <w:rFonts w:ascii="Arial" w:eastAsia="Calibri" w:hAnsi="Arial" w:cs="Arial"/>
          <w:i/>
          <w:iCs/>
          <w:color w:val="000000"/>
          <w:sz w:val="22"/>
        </w:rPr>
        <w:t>NHS England</w:t>
      </w:r>
      <w:r w:rsidRPr="00A208AC">
        <w:rPr>
          <w:rFonts w:ascii="Arial" w:eastAsia="Calibri" w:hAnsi="Arial" w:cs="Arial"/>
          <w:color w:val="000000"/>
          <w:sz w:val="22"/>
        </w:rPr>
        <w:t>. Available at: https://www.england.nhs.uk/long-read/inclusive-digital-healthcare-a-framework-for-nhs-action-on-digital-inclusion/ (Accessed: 17 February 2026).</w:t>
      </w:r>
    </w:p>
    <w:p w14:paraId="11BEFD34"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Ni, Y. and Jia, F. (2025) ‘A Scoping Review of AI-Driven Digital Interventions in Mental Health Care: Mapping Applications Across Screening, Support, Monitoring, Prevention, and Clinical Education’, </w:t>
      </w:r>
      <w:r w:rsidRPr="00A208AC">
        <w:rPr>
          <w:rFonts w:ascii="Arial" w:eastAsia="Calibri" w:hAnsi="Arial" w:cs="Arial"/>
          <w:i/>
          <w:iCs/>
          <w:color w:val="000000"/>
          <w:sz w:val="22"/>
        </w:rPr>
        <w:t>Healthcare</w:t>
      </w:r>
      <w:r w:rsidRPr="00A208AC">
        <w:rPr>
          <w:rFonts w:ascii="Arial" w:eastAsia="Calibri" w:hAnsi="Arial" w:cs="Arial"/>
          <w:color w:val="000000"/>
          <w:sz w:val="22"/>
        </w:rPr>
        <w:t>, 13(10), p. 1205. Available at: https://doi.org/10.3390/healthcare13101205.</w:t>
      </w:r>
    </w:p>
    <w:p w14:paraId="670465F1"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lastRenderedPageBreak/>
        <w:t xml:space="preserve">Piper, S., Davenport, T.A., LaMonica, H., Ottavio, A., Iorfino, F., Cheng, V.W.S., Cross, S., Lee, G.Y., Scott, E. and Hickie, I.B. (2021) ‘Implementing a digital health model of care in Australian youth mental health services: protocol for impact evaluation’, </w:t>
      </w:r>
      <w:r w:rsidRPr="00A208AC">
        <w:rPr>
          <w:rFonts w:ascii="Arial" w:eastAsia="Calibri" w:hAnsi="Arial" w:cs="Arial"/>
          <w:i/>
          <w:iCs/>
          <w:color w:val="000000"/>
          <w:sz w:val="22"/>
        </w:rPr>
        <w:t>BMC Health Services Research</w:t>
      </w:r>
      <w:r w:rsidRPr="00A208AC">
        <w:rPr>
          <w:rFonts w:ascii="Arial" w:eastAsia="Calibri" w:hAnsi="Arial" w:cs="Arial"/>
          <w:color w:val="000000"/>
          <w:sz w:val="22"/>
        </w:rPr>
        <w:t>, 21(1). Available at: https://doi.org/10.1186/s12913-021-06394-4.</w:t>
      </w:r>
    </w:p>
    <w:p w14:paraId="2EC7B547"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Razavi, J., Dhafar, H.O. and BaHammam, A.S. (2025) ‘Transforming health care with artificial intelligence: Regulations, challenges, and future directions’, </w:t>
      </w:r>
      <w:r w:rsidRPr="00A208AC">
        <w:rPr>
          <w:rFonts w:ascii="Arial" w:eastAsia="Calibri" w:hAnsi="Arial" w:cs="Arial"/>
          <w:i/>
          <w:iCs/>
          <w:color w:val="000000"/>
          <w:sz w:val="22"/>
        </w:rPr>
        <w:t>Saudi Journal for Health Sciences</w:t>
      </w:r>
      <w:r w:rsidRPr="00A208AC">
        <w:rPr>
          <w:rFonts w:ascii="Arial" w:eastAsia="Calibri" w:hAnsi="Arial" w:cs="Arial"/>
          <w:color w:val="000000"/>
          <w:sz w:val="22"/>
        </w:rPr>
        <w:t>, 14(1), pp. 11–22. Available at: https://doi.org/10.4103/sjhs.sjhs_26_25.</w:t>
      </w:r>
    </w:p>
    <w:p w14:paraId="3E823FC2"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Sungur, M.Z., Dobson, K.S., Ashbaugh, A.R., Cohen, J.N., Macdonald, H. and Mukhtar, F. (2025) ‘Improving the State of the Science in Global Training: Promoting the World Confederation of Cognitive and Behavioural Therapies’ Training Guidelines’, </w:t>
      </w:r>
      <w:r w:rsidRPr="00A208AC">
        <w:rPr>
          <w:rFonts w:ascii="Arial" w:eastAsia="Calibri" w:hAnsi="Arial" w:cs="Arial"/>
          <w:i/>
          <w:iCs/>
          <w:color w:val="000000"/>
          <w:sz w:val="22"/>
        </w:rPr>
        <w:t>Behavior Therapy</w:t>
      </w:r>
      <w:r w:rsidRPr="00A208AC">
        <w:rPr>
          <w:rFonts w:ascii="Arial" w:eastAsia="Calibri" w:hAnsi="Arial" w:cs="Arial"/>
          <w:color w:val="000000"/>
          <w:sz w:val="22"/>
        </w:rPr>
        <w:t>, 57(1). Available at: https://doi.org/10.1016/j.beth.2025.06.002.</w:t>
      </w:r>
    </w:p>
    <w:p w14:paraId="25D4BC96"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The King's Fund (2025) </w:t>
      </w:r>
      <w:r w:rsidRPr="00A208AC">
        <w:rPr>
          <w:rFonts w:ascii="Arial" w:eastAsia="Calibri" w:hAnsi="Arial" w:cs="Arial"/>
          <w:i/>
          <w:iCs/>
          <w:color w:val="000000"/>
          <w:sz w:val="22"/>
        </w:rPr>
        <w:t>Securing the NHS workforce for the future: our recommendations for action</w:t>
      </w:r>
      <w:r w:rsidRPr="00A208AC">
        <w:rPr>
          <w:rFonts w:ascii="Arial" w:eastAsia="Calibri" w:hAnsi="Arial" w:cs="Arial"/>
          <w:color w:val="000000"/>
          <w:sz w:val="22"/>
        </w:rPr>
        <w:t xml:space="preserve">, </w:t>
      </w:r>
      <w:r w:rsidRPr="00A208AC">
        <w:rPr>
          <w:rFonts w:ascii="Arial" w:eastAsia="Calibri" w:hAnsi="Arial" w:cs="Arial"/>
          <w:i/>
          <w:iCs/>
          <w:color w:val="000000"/>
          <w:sz w:val="22"/>
        </w:rPr>
        <w:t>The King’s Fund</w:t>
      </w:r>
      <w:r w:rsidRPr="00A208AC">
        <w:rPr>
          <w:rFonts w:ascii="Arial" w:eastAsia="Calibri" w:hAnsi="Arial" w:cs="Arial"/>
          <w:color w:val="000000"/>
          <w:sz w:val="22"/>
        </w:rPr>
        <w:t>. Available at: https://www.kingsfund.org.uk/insight-and-analysis/long-reads/securing-nhs-workforce-future-recommendations-action (Accessed: 17 February 2026).</w:t>
      </w:r>
    </w:p>
    <w:p w14:paraId="6D53886D"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UK Parliament (2025) </w:t>
      </w:r>
      <w:r w:rsidRPr="00A208AC">
        <w:rPr>
          <w:rFonts w:ascii="Arial" w:eastAsia="Calibri" w:hAnsi="Arial" w:cs="Arial"/>
          <w:i/>
          <w:iCs/>
          <w:color w:val="000000"/>
          <w:sz w:val="22"/>
        </w:rPr>
        <w:t>AI and mental healthcare: opportunities and delivery considerations</w:t>
      </w:r>
      <w:r w:rsidRPr="00A208AC">
        <w:rPr>
          <w:rFonts w:ascii="Arial" w:eastAsia="Calibri" w:hAnsi="Arial" w:cs="Arial"/>
          <w:color w:val="000000"/>
          <w:sz w:val="22"/>
        </w:rPr>
        <w:t xml:space="preserve">, </w:t>
      </w:r>
      <w:r w:rsidRPr="00A208AC">
        <w:rPr>
          <w:rFonts w:ascii="Arial" w:eastAsia="Calibri" w:hAnsi="Arial" w:cs="Arial"/>
          <w:i/>
          <w:iCs/>
          <w:color w:val="000000"/>
          <w:sz w:val="22"/>
        </w:rPr>
        <w:t>UK Parliament</w:t>
      </w:r>
      <w:r w:rsidRPr="00A208AC">
        <w:rPr>
          <w:rFonts w:ascii="Arial" w:eastAsia="Calibri" w:hAnsi="Arial" w:cs="Arial"/>
          <w:color w:val="000000"/>
          <w:sz w:val="22"/>
        </w:rPr>
        <w:t>. Available at: https://researchbriefings.files.parliament.uk/documents/POST-PN-0737/POST-PN-0737.pdf (Accessed: 17 February 2026).</w:t>
      </w:r>
    </w:p>
    <w:p w14:paraId="38A5B7CE" w14:textId="77777777" w:rsidR="00A208AC" w:rsidRPr="00A208AC" w:rsidRDefault="00A208AC">
      <w:pPr>
        <w:rPr>
          <w:rFonts w:ascii="Arial" w:eastAsia="Calibri" w:hAnsi="Arial" w:cs="Arial"/>
        </w:rPr>
      </w:pPr>
      <w:r w:rsidRPr="00A208AC">
        <w:rPr>
          <w:rFonts w:ascii="Arial" w:eastAsia="Calibri" w:hAnsi="Arial" w:cs="Arial"/>
          <w:sz w:val="22"/>
        </w:rPr>
        <w:t xml:space="preserve">World Health Organization (2025) </w:t>
      </w:r>
      <w:r w:rsidRPr="00A208AC">
        <w:rPr>
          <w:rFonts w:ascii="Arial" w:eastAsia="Calibri" w:hAnsi="Arial" w:cs="Arial"/>
          <w:i/>
          <w:iCs/>
          <w:sz w:val="22"/>
        </w:rPr>
        <w:t>Dementia</w:t>
      </w:r>
      <w:r w:rsidRPr="00A208AC">
        <w:rPr>
          <w:rFonts w:ascii="Arial" w:eastAsia="Calibri" w:hAnsi="Arial" w:cs="Arial"/>
          <w:sz w:val="22"/>
        </w:rPr>
        <w:t xml:space="preserve">, </w:t>
      </w:r>
      <w:r w:rsidRPr="00A208AC">
        <w:rPr>
          <w:rFonts w:ascii="Arial" w:eastAsia="Calibri" w:hAnsi="Arial" w:cs="Arial"/>
          <w:i/>
          <w:iCs/>
          <w:sz w:val="22"/>
        </w:rPr>
        <w:t>World Health Organization</w:t>
      </w:r>
      <w:r w:rsidRPr="00A208AC">
        <w:rPr>
          <w:rFonts w:ascii="Arial" w:eastAsia="Calibri" w:hAnsi="Arial" w:cs="Arial"/>
          <w:sz w:val="22"/>
        </w:rPr>
        <w:t>. Available at: https://www.who.int/news-room/fact-sheets/detail/dementia (Accessed: 16 February 2026).</w:t>
      </w:r>
    </w:p>
    <w:p w14:paraId="48893D91" w14:textId="77777777" w:rsidR="00A208AC" w:rsidRPr="00A208AC" w:rsidRDefault="00A208AC" w:rsidP="00A208AC">
      <w:pPr>
        <w:rPr>
          <w:rFonts w:ascii="Arial" w:eastAsia="Calibri" w:hAnsi="Arial" w:cs="Arial"/>
          <w:color w:val="000000"/>
          <w:sz w:val="22"/>
        </w:rPr>
      </w:pPr>
      <w:r w:rsidRPr="00A208AC">
        <w:rPr>
          <w:rFonts w:ascii="Arial" w:eastAsia="Calibri" w:hAnsi="Arial" w:cs="Arial"/>
          <w:color w:val="000000"/>
          <w:sz w:val="22"/>
        </w:rPr>
        <w:t xml:space="preserve">Yin, J.D.-C. and Lui, J.N.-M. (2024) ‘Factors influencing risk perception during Public Health Emergencies of International Concern (PHEIC): a scoping review’, </w:t>
      </w:r>
      <w:r w:rsidRPr="00A208AC">
        <w:rPr>
          <w:rFonts w:ascii="Arial" w:eastAsia="Calibri" w:hAnsi="Arial" w:cs="Arial"/>
          <w:i/>
          <w:iCs/>
          <w:color w:val="000000"/>
          <w:sz w:val="22"/>
        </w:rPr>
        <w:t>BMC public health</w:t>
      </w:r>
      <w:r w:rsidRPr="00A208AC">
        <w:rPr>
          <w:rFonts w:ascii="Arial" w:eastAsia="Calibri" w:hAnsi="Arial" w:cs="Arial"/>
          <w:color w:val="000000"/>
          <w:sz w:val="22"/>
        </w:rPr>
        <w:t>, 24(1). Available at: https://doi.org/10.1186/s12889-024-18832-z.</w:t>
      </w:r>
    </w:p>
    <w:sectPr w:rsidR="00A208AC" w:rsidRPr="00A208AC" w:rsidSect="00A208AC">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6CB6A" w14:textId="77777777" w:rsidR="0020432D" w:rsidRDefault="0020432D" w:rsidP="00DB59DE">
      <w:pPr>
        <w:spacing w:before="0" w:after="0" w:line="240" w:lineRule="auto"/>
      </w:pPr>
      <w:r>
        <w:separator/>
      </w:r>
    </w:p>
  </w:endnote>
  <w:endnote w:type="continuationSeparator" w:id="0">
    <w:p w14:paraId="1FDAA97C" w14:textId="77777777" w:rsidR="0020432D" w:rsidRDefault="0020432D" w:rsidP="00DB59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5522322"/>
      <w:docPartObj>
        <w:docPartGallery w:val="Page Numbers (Bottom of Page)"/>
        <w:docPartUnique/>
      </w:docPartObj>
    </w:sdtPr>
    <w:sdtEndPr>
      <w:rPr>
        <w:color w:val="7F7F7F"/>
        <w:spacing w:val="60"/>
      </w:rPr>
    </w:sdtEndPr>
    <w:sdtContent>
      <w:p w14:paraId="4E3BEB9D" w14:textId="77777777" w:rsidR="00A208AC" w:rsidRDefault="00A208AC" w:rsidP="00A208AC">
        <w:pPr>
          <w:pStyle w:val="Footer"/>
          <w:pBdr>
            <w:top w:val="single" w:sz="4" w:space="1" w:color="D9D9D9"/>
          </w:pBdr>
          <w:jc w:val="right"/>
        </w:pPr>
        <w:r w:rsidRPr="006B1D24">
          <w:rPr>
            <w:sz w:val="18"/>
            <w:szCs w:val="18"/>
          </w:rPr>
          <w:fldChar w:fldCharType="begin"/>
        </w:r>
        <w:r w:rsidRPr="006B1D24">
          <w:rPr>
            <w:sz w:val="18"/>
            <w:szCs w:val="18"/>
          </w:rPr>
          <w:instrText>PAGE   \* MERGEFORMAT</w:instrText>
        </w:r>
        <w:r w:rsidRPr="006B1D24">
          <w:rPr>
            <w:sz w:val="18"/>
            <w:szCs w:val="18"/>
          </w:rPr>
          <w:fldChar w:fldCharType="separate"/>
        </w:r>
        <w:r w:rsidRPr="006B1D24">
          <w:rPr>
            <w:sz w:val="18"/>
            <w:szCs w:val="18"/>
          </w:rPr>
          <w:t>2</w:t>
        </w:r>
        <w:r w:rsidRPr="006B1D24">
          <w:rPr>
            <w:sz w:val="18"/>
            <w:szCs w:val="18"/>
          </w:rPr>
          <w:fldChar w:fldCharType="end"/>
        </w:r>
        <w:r w:rsidRPr="006B1D24">
          <w:rPr>
            <w:sz w:val="18"/>
            <w:szCs w:val="18"/>
          </w:rPr>
          <w:t xml:space="preserve"> | </w:t>
        </w:r>
        <w:r w:rsidRPr="00A208AC">
          <w:rPr>
            <w:color w:val="7F7F7F"/>
            <w:spacing w:val="60"/>
            <w:sz w:val="18"/>
            <w:szCs w:val="18"/>
          </w:rPr>
          <w:t>Page</w:t>
        </w:r>
      </w:p>
    </w:sdtContent>
  </w:sdt>
  <w:p w14:paraId="6BCAC75D" w14:textId="77777777" w:rsidR="00A208AC" w:rsidRDefault="00A20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4C0AF" w14:textId="77777777" w:rsidR="0020432D" w:rsidRDefault="0020432D" w:rsidP="00DB59DE">
      <w:pPr>
        <w:spacing w:before="0" w:after="0" w:line="240" w:lineRule="auto"/>
      </w:pPr>
      <w:r>
        <w:separator/>
      </w:r>
    </w:p>
  </w:footnote>
  <w:footnote w:type="continuationSeparator" w:id="0">
    <w:p w14:paraId="51D3F063" w14:textId="77777777" w:rsidR="0020432D" w:rsidRDefault="0020432D" w:rsidP="00DB59D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C21CC"/>
    <w:multiLevelType w:val="multilevel"/>
    <w:tmpl w:val="7EC4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D3FB5"/>
    <w:multiLevelType w:val="multilevel"/>
    <w:tmpl w:val="6CA0A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3533956">
    <w:abstractNumId w:val="0"/>
  </w:num>
  <w:num w:numId="2" w16cid:durableId="1835948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8AC"/>
    <w:rsid w:val="000435D6"/>
    <w:rsid w:val="0018111A"/>
    <w:rsid w:val="001A644E"/>
    <w:rsid w:val="001F1F07"/>
    <w:rsid w:val="0020432D"/>
    <w:rsid w:val="00250126"/>
    <w:rsid w:val="003131E9"/>
    <w:rsid w:val="00352234"/>
    <w:rsid w:val="004B5842"/>
    <w:rsid w:val="00550DF4"/>
    <w:rsid w:val="00553229"/>
    <w:rsid w:val="005A2BB1"/>
    <w:rsid w:val="008D5FD7"/>
    <w:rsid w:val="009078FD"/>
    <w:rsid w:val="009422F0"/>
    <w:rsid w:val="00964D51"/>
    <w:rsid w:val="009A3769"/>
    <w:rsid w:val="009B2B5E"/>
    <w:rsid w:val="009D3303"/>
    <w:rsid w:val="00A208AC"/>
    <w:rsid w:val="00A2635E"/>
    <w:rsid w:val="00A3178F"/>
    <w:rsid w:val="00AC2905"/>
    <w:rsid w:val="00B4311D"/>
    <w:rsid w:val="00BB7E3D"/>
    <w:rsid w:val="00C17D42"/>
    <w:rsid w:val="00C2067F"/>
    <w:rsid w:val="00C326D6"/>
    <w:rsid w:val="00CB53A3"/>
    <w:rsid w:val="00CE54AB"/>
    <w:rsid w:val="00DA3E7F"/>
    <w:rsid w:val="00DB59DE"/>
    <w:rsid w:val="00DF2F48"/>
    <w:rsid w:val="00F15A1D"/>
    <w:rsid w:val="00FD60B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58B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D6"/>
    <w:rPr>
      <w:noProof/>
    </w:rPr>
  </w:style>
  <w:style w:type="paragraph" w:styleId="Heading1">
    <w:name w:val="heading 1"/>
    <w:basedOn w:val="Normal"/>
    <w:next w:val="Normal"/>
    <w:link w:val="Heading1Char"/>
    <w:autoRedefine/>
    <w:uiPriority w:val="9"/>
    <w:qFormat/>
    <w:rsid w:val="00A208AC"/>
    <w:pPr>
      <w:keepNext/>
      <w:keepLines/>
      <w:outlineLvl w:val="0"/>
    </w:pPr>
    <w:rPr>
      <w:rFonts w:ascii="Arial" w:eastAsia="Times New Roman" w:hAnsi="Arial" w:cs="Arial"/>
      <w:b/>
      <w:color w:val="000000"/>
      <w:sz w:val="32"/>
      <w:szCs w:val="36"/>
      <w:lang w:eastAsia="zh-CN"/>
    </w:rPr>
  </w:style>
  <w:style w:type="paragraph" w:styleId="Heading2">
    <w:name w:val="heading 2"/>
    <w:basedOn w:val="Normal"/>
    <w:next w:val="Normal"/>
    <w:link w:val="Heading2Char"/>
    <w:autoRedefine/>
    <w:uiPriority w:val="9"/>
    <w:unhideWhenUsed/>
    <w:qFormat/>
    <w:rsid w:val="00A208AC"/>
    <w:pPr>
      <w:keepNext/>
      <w:keepLines/>
      <w:outlineLvl w:val="1"/>
    </w:pPr>
    <w:rPr>
      <w:rFonts w:ascii="Arial" w:eastAsia="Calibri" w:hAnsi="Arial" w:cs="Arial"/>
      <w:b/>
      <w:color w:val="000000"/>
      <w:sz w:val="28"/>
      <w:szCs w:val="28"/>
      <w:lang w:val="en-US"/>
    </w:rPr>
  </w:style>
  <w:style w:type="paragraph" w:styleId="Heading3">
    <w:name w:val="heading 3"/>
    <w:basedOn w:val="Normal"/>
    <w:next w:val="Normal"/>
    <w:link w:val="Heading3Char"/>
    <w:uiPriority w:val="9"/>
    <w:unhideWhenUsed/>
    <w:qFormat/>
    <w:rsid w:val="00A208AC"/>
    <w:pPr>
      <w:keepNext/>
      <w:keepLines/>
      <w:outlineLvl w:val="2"/>
    </w:pPr>
    <w:rPr>
      <w:rFonts w:ascii="Arial" w:eastAsia="Calibri" w:hAnsi="Arial" w:cs="Arial"/>
      <w:b/>
      <w:color w:val="000000"/>
      <w:szCs w:val="28"/>
      <w:lang w:val="en-US"/>
    </w:rPr>
  </w:style>
  <w:style w:type="paragraph" w:styleId="Heading4">
    <w:name w:val="heading 4"/>
    <w:basedOn w:val="Normal"/>
    <w:next w:val="Normal"/>
    <w:link w:val="Heading4Char"/>
    <w:uiPriority w:val="9"/>
    <w:semiHidden/>
    <w:unhideWhenUsed/>
    <w:qFormat/>
    <w:rsid w:val="00A208A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08A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208A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08A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08A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08A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8AC"/>
    <w:rPr>
      <w:rFonts w:ascii="Arial" w:eastAsia="Times New Roman" w:hAnsi="Arial" w:cs="Arial"/>
      <w:b/>
      <w:noProof/>
      <w:color w:val="000000"/>
      <w:sz w:val="32"/>
      <w:szCs w:val="36"/>
      <w:lang w:eastAsia="zh-CN"/>
    </w:rPr>
  </w:style>
  <w:style w:type="character" w:customStyle="1" w:styleId="Heading2Char">
    <w:name w:val="Heading 2 Char"/>
    <w:basedOn w:val="DefaultParagraphFont"/>
    <w:link w:val="Heading2"/>
    <w:uiPriority w:val="9"/>
    <w:rsid w:val="00A208AC"/>
    <w:rPr>
      <w:rFonts w:ascii="Arial" w:eastAsia="Calibri" w:hAnsi="Arial" w:cs="Arial"/>
      <w:b/>
      <w:noProof/>
      <w:color w:val="000000"/>
      <w:sz w:val="28"/>
      <w:szCs w:val="28"/>
      <w:lang w:val="en-US"/>
    </w:rPr>
  </w:style>
  <w:style w:type="paragraph" w:styleId="Title">
    <w:name w:val="Title"/>
    <w:basedOn w:val="Normal"/>
    <w:next w:val="Normal"/>
    <w:link w:val="TitleChar"/>
    <w:autoRedefine/>
    <w:uiPriority w:val="10"/>
    <w:qFormat/>
    <w:rsid w:val="00964D51"/>
    <w:pPr>
      <w:keepNext/>
      <w:keepLines/>
      <w:pBdr>
        <w:bottom w:val="single" w:sz="4" w:space="1" w:color="auto"/>
      </w:pBdr>
      <w:jc w:val="center"/>
    </w:pPr>
    <w:rPr>
      <w:b/>
      <w:caps/>
      <w:sz w:val="36"/>
      <w:szCs w:val="52"/>
    </w:rPr>
  </w:style>
  <w:style w:type="character" w:customStyle="1" w:styleId="TitleChar">
    <w:name w:val="Title Char"/>
    <w:basedOn w:val="DefaultParagraphFont"/>
    <w:link w:val="Title"/>
    <w:uiPriority w:val="10"/>
    <w:rsid w:val="00964D51"/>
    <w:rPr>
      <w:b/>
      <w:caps/>
      <w:color w:val="auto"/>
      <w:kern w:val="0"/>
      <w:sz w:val="36"/>
      <w:szCs w:val="52"/>
      <w:lang w:val="en" w:eastAsia="en-IN"/>
      <w14:ligatures w14:val="none"/>
    </w:rPr>
  </w:style>
  <w:style w:type="character" w:customStyle="1" w:styleId="Heading3Char">
    <w:name w:val="Heading 3 Char"/>
    <w:basedOn w:val="DefaultParagraphFont"/>
    <w:link w:val="Heading3"/>
    <w:uiPriority w:val="9"/>
    <w:rsid w:val="00A208AC"/>
    <w:rPr>
      <w:rFonts w:ascii="Arial" w:eastAsia="Calibri" w:hAnsi="Arial" w:cs="Arial"/>
      <w:b/>
      <w:noProof/>
      <w:color w:val="000000"/>
      <w:szCs w:val="28"/>
      <w:lang w:val="en-US"/>
    </w:rPr>
  </w:style>
  <w:style w:type="character" w:customStyle="1" w:styleId="Heading4Char">
    <w:name w:val="Heading 4 Char"/>
    <w:basedOn w:val="DefaultParagraphFont"/>
    <w:link w:val="Heading4"/>
    <w:uiPriority w:val="9"/>
    <w:semiHidden/>
    <w:rsid w:val="00A208AC"/>
    <w:rPr>
      <w:rFonts w:asciiTheme="minorHAnsi" w:eastAsiaTheme="majorEastAsia" w:hAnsiTheme="minorHAnsi" w:cstheme="majorBidi"/>
      <w:i/>
      <w:iCs/>
      <w:noProof/>
      <w:color w:val="2F5496" w:themeColor="accent1" w:themeShade="BF"/>
    </w:rPr>
  </w:style>
  <w:style w:type="character" w:customStyle="1" w:styleId="Heading5Char">
    <w:name w:val="Heading 5 Char"/>
    <w:basedOn w:val="DefaultParagraphFont"/>
    <w:link w:val="Heading5"/>
    <w:uiPriority w:val="9"/>
    <w:semiHidden/>
    <w:rsid w:val="00A208AC"/>
    <w:rPr>
      <w:rFonts w:asciiTheme="minorHAnsi" w:eastAsiaTheme="majorEastAsia" w:hAnsiTheme="minorHAnsi" w:cstheme="majorBidi"/>
      <w:noProof/>
      <w:color w:val="2F5496" w:themeColor="accent1" w:themeShade="BF"/>
    </w:rPr>
  </w:style>
  <w:style w:type="character" w:customStyle="1" w:styleId="Heading6Char">
    <w:name w:val="Heading 6 Char"/>
    <w:basedOn w:val="DefaultParagraphFont"/>
    <w:link w:val="Heading6"/>
    <w:uiPriority w:val="9"/>
    <w:semiHidden/>
    <w:rsid w:val="00A208AC"/>
    <w:rPr>
      <w:rFonts w:asciiTheme="minorHAnsi" w:eastAsiaTheme="majorEastAsia" w:hAnsiTheme="minorHAnsi" w:cstheme="majorBidi"/>
      <w:i/>
      <w:iCs/>
      <w:noProof/>
      <w:color w:val="595959" w:themeColor="text1" w:themeTint="A6"/>
    </w:rPr>
  </w:style>
  <w:style w:type="character" w:customStyle="1" w:styleId="Heading7Char">
    <w:name w:val="Heading 7 Char"/>
    <w:basedOn w:val="DefaultParagraphFont"/>
    <w:link w:val="Heading7"/>
    <w:uiPriority w:val="9"/>
    <w:semiHidden/>
    <w:rsid w:val="00A208AC"/>
    <w:rPr>
      <w:rFonts w:asciiTheme="minorHAnsi" w:eastAsiaTheme="majorEastAsia" w:hAnsiTheme="minorHAnsi" w:cstheme="majorBidi"/>
      <w:noProof/>
      <w:color w:val="595959" w:themeColor="text1" w:themeTint="A6"/>
    </w:rPr>
  </w:style>
  <w:style w:type="character" w:customStyle="1" w:styleId="Heading8Char">
    <w:name w:val="Heading 8 Char"/>
    <w:basedOn w:val="DefaultParagraphFont"/>
    <w:link w:val="Heading8"/>
    <w:uiPriority w:val="9"/>
    <w:semiHidden/>
    <w:rsid w:val="00A208AC"/>
    <w:rPr>
      <w:rFonts w:asciiTheme="minorHAnsi" w:eastAsiaTheme="majorEastAsia" w:hAnsiTheme="minorHAnsi" w:cstheme="majorBidi"/>
      <w:i/>
      <w:iCs/>
      <w:noProof/>
      <w:color w:val="272727" w:themeColor="text1" w:themeTint="D8"/>
    </w:rPr>
  </w:style>
  <w:style w:type="character" w:customStyle="1" w:styleId="Heading9Char">
    <w:name w:val="Heading 9 Char"/>
    <w:basedOn w:val="DefaultParagraphFont"/>
    <w:link w:val="Heading9"/>
    <w:uiPriority w:val="9"/>
    <w:semiHidden/>
    <w:rsid w:val="00A208AC"/>
    <w:rPr>
      <w:rFonts w:asciiTheme="minorHAnsi" w:eastAsiaTheme="majorEastAsia" w:hAnsiTheme="minorHAnsi" w:cstheme="majorBidi"/>
      <w:noProof/>
      <w:color w:val="272727" w:themeColor="text1" w:themeTint="D8"/>
    </w:rPr>
  </w:style>
  <w:style w:type="paragraph" w:styleId="Subtitle">
    <w:name w:val="Subtitle"/>
    <w:basedOn w:val="Normal"/>
    <w:next w:val="Normal"/>
    <w:link w:val="SubtitleChar"/>
    <w:uiPriority w:val="11"/>
    <w:qFormat/>
    <w:rsid w:val="00A208A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08AC"/>
    <w:rPr>
      <w:rFonts w:asciiTheme="minorHAnsi" w:eastAsiaTheme="majorEastAsia" w:hAnsiTheme="minorHAnsi" w:cstheme="majorBidi"/>
      <w:noProof/>
      <w:color w:val="595959" w:themeColor="text1" w:themeTint="A6"/>
      <w:spacing w:val="15"/>
      <w:sz w:val="28"/>
      <w:szCs w:val="28"/>
    </w:rPr>
  </w:style>
  <w:style w:type="paragraph" w:styleId="Quote">
    <w:name w:val="Quote"/>
    <w:basedOn w:val="Normal"/>
    <w:next w:val="Normal"/>
    <w:link w:val="QuoteChar"/>
    <w:uiPriority w:val="29"/>
    <w:qFormat/>
    <w:rsid w:val="00A208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08AC"/>
    <w:rPr>
      <w:i/>
      <w:iCs/>
      <w:noProof/>
      <w:color w:val="404040" w:themeColor="text1" w:themeTint="BF"/>
    </w:rPr>
  </w:style>
  <w:style w:type="paragraph" w:styleId="ListParagraph">
    <w:name w:val="List Paragraph"/>
    <w:basedOn w:val="Normal"/>
    <w:uiPriority w:val="34"/>
    <w:qFormat/>
    <w:rsid w:val="00A208AC"/>
    <w:pPr>
      <w:ind w:left="720"/>
      <w:contextualSpacing/>
    </w:pPr>
  </w:style>
  <w:style w:type="character" w:styleId="IntenseEmphasis">
    <w:name w:val="Intense Emphasis"/>
    <w:basedOn w:val="DefaultParagraphFont"/>
    <w:uiPriority w:val="21"/>
    <w:qFormat/>
    <w:rsid w:val="00A208AC"/>
    <w:rPr>
      <w:i/>
      <w:iCs/>
      <w:color w:val="2F5496" w:themeColor="accent1" w:themeShade="BF"/>
    </w:rPr>
  </w:style>
  <w:style w:type="paragraph" w:styleId="IntenseQuote">
    <w:name w:val="Intense Quote"/>
    <w:basedOn w:val="Normal"/>
    <w:next w:val="Normal"/>
    <w:link w:val="IntenseQuoteChar"/>
    <w:uiPriority w:val="30"/>
    <w:qFormat/>
    <w:rsid w:val="00A208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08AC"/>
    <w:rPr>
      <w:i/>
      <w:iCs/>
      <w:noProof/>
      <w:color w:val="2F5496" w:themeColor="accent1" w:themeShade="BF"/>
    </w:rPr>
  </w:style>
  <w:style w:type="character" w:styleId="IntenseReference">
    <w:name w:val="Intense Reference"/>
    <w:basedOn w:val="DefaultParagraphFont"/>
    <w:uiPriority w:val="32"/>
    <w:qFormat/>
    <w:rsid w:val="00A208AC"/>
    <w:rPr>
      <w:b/>
      <w:bCs/>
      <w:smallCaps/>
      <w:color w:val="2F5496" w:themeColor="accent1" w:themeShade="BF"/>
      <w:spacing w:val="5"/>
    </w:rPr>
  </w:style>
  <w:style w:type="paragraph" w:styleId="Header">
    <w:name w:val="header"/>
    <w:basedOn w:val="Normal"/>
    <w:link w:val="HeaderChar"/>
    <w:uiPriority w:val="99"/>
    <w:unhideWhenUsed/>
    <w:rsid w:val="00A208AC"/>
    <w:pPr>
      <w:tabs>
        <w:tab w:val="center" w:pos="4513"/>
        <w:tab w:val="right" w:pos="9026"/>
      </w:tabs>
      <w:spacing w:before="0" w:after="0" w:line="240" w:lineRule="auto"/>
    </w:pPr>
    <w:rPr>
      <w:rFonts w:ascii="Arial" w:hAnsi="Arial" w:cs="Arial"/>
      <w:sz w:val="22"/>
    </w:rPr>
  </w:style>
  <w:style w:type="character" w:customStyle="1" w:styleId="HeaderChar">
    <w:name w:val="Header Char"/>
    <w:basedOn w:val="DefaultParagraphFont"/>
    <w:link w:val="Header"/>
    <w:uiPriority w:val="99"/>
    <w:rsid w:val="00A208AC"/>
    <w:rPr>
      <w:rFonts w:ascii="Arial" w:hAnsi="Arial" w:cs="Arial"/>
      <w:noProof/>
      <w:sz w:val="22"/>
    </w:rPr>
  </w:style>
  <w:style w:type="paragraph" w:styleId="Footer">
    <w:name w:val="footer"/>
    <w:basedOn w:val="Normal"/>
    <w:link w:val="FooterChar"/>
    <w:uiPriority w:val="99"/>
    <w:unhideWhenUsed/>
    <w:rsid w:val="00A208AC"/>
    <w:pPr>
      <w:tabs>
        <w:tab w:val="center" w:pos="4513"/>
        <w:tab w:val="right" w:pos="9026"/>
      </w:tabs>
      <w:spacing w:before="0" w:after="0" w:line="240" w:lineRule="auto"/>
    </w:pPr>
    <w:rPr>
      <w:rFonts w:ascii="Arial" w:hAnsi="Arial" w:cs="Arial"/>
      <w:sz w:val="22"/>
    </w:rPr>
  </w:style>
  <w:style w:type="character" w:customStyle="1" w:styleId="FooterChar">
    <w:name w:val="Footer Char"/>
    <w:basedOn w:val="DefaultParagraphFont"/>
    <w:link w:val="Footer"/>
    <w:uiPriority w:val="99"/>
    <w:rsid w:val="00A208AC"/>
    <w:rPr>
      <w:rFonts w:ascii="Arial" w:hAnsi="Arial" w:cs="Arial"/>
      <w:noProof/>
      <w:sz w:val="22"/>
    </w:rPr>
  </w:style>
  <w:style w:type="paragraph" w:styleId="TOC1">
    <w:name w:val="toc 1"/>
    <w:basedOn w:val="Normal"/>
    <w:next w:val="Normal"/>
    <w:autoRedefine/>
    <w:uiPriority w:val="39"/>
    <w:unhideWhenUsed/>
    <w:rsid w:val="00A208AC"/>
  </w:style>
  <w:style w:type="paragraph" w:styleId="TOC2">
    <w:name w:val="toc 2"/>
    <w:basedOn w:val="Normal"/>
    <w:next w:val="Normal"/>
    <w:autoRedefine/>
    <w:uiPriority w:val="39"/>
    <w:unhideWhenUsed/>
    <w:rsid w:val="00A208AC"/>
    <w:pPr>
      <w:ind w:left="240"/>
    </w:pPr>
  </w:style>
  <w:style w:type="paragraph" w:styleId="TOC3">
    <w:name w:val="toc 3"/>
    <w:basedOn w:val="Normal"/>
    <w:next w:val="Normal"/>
    <w:autoRedefine/>
    <w:uiPriority w:val="39"/>
    <w:unhideWhenUsed/>
    <w:rsid w:val="00A208AC"/>
    <w:pPr>
      <w:ind w:left="480"/>
    </w:pPr>
  </w:style>
  <w:style w:type="character" w:styleId="Hyperlink">
    <w:name w:val="Hyperlink"/>
    <w:basedOn w:val="DefaultParagraphFont"/>
    <w:uiPriority w:val="99"/>
    <w:unhideWhenUsed/>
    <w:rsid w:val="00A208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8E13A-9E31-4E1F-B83F-87957C259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5898</Words>
  <Characters>33625</Characters>
  <Application>Microsoft Office Word</Application>
  <DocSecurity>0</DocSecurity>
  <Lines>280</Lines>
  <Paragraphs>78</Paragraphs>
  <ScaleCrop>false</ScaleCrop>
  <Company/>
  <LinksUpToDate>false</LinksUpToDate>
  <CharactersWithSpaces>39445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2026-03-29T19:51:00Z</dcterms:created>
  <dcterms:modified xsi:type="dcterms:W3CDTF">2026-03-29T19:51:00Z</dcterms:modified>
</cp:coreProperties>
</file>