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before="0" w:lineRule="auto"/>
        <w:jc w:val="center"/>
        <w:rPr>
          <w:b w:val="1"/>
          <w:bCs w:val="1"/>
          <w:sz w:val="40"/>
          <w:szCs w:val="40"/>
        </w:rPr>
      </w:pPr>
      <w:r w:rsidDel="00000000" w:rsidR="00000000" w:rsidRPr="00000000">
        <w:rPr>
          <w:b w:val="1"/>
          <w:bCs w:val="1"/>
          <w:sz w:val="40"/>
          <w:szCs w:val="40"/>
        </w:rPr>
        <w:drawing>
          <wp:inline distB="114300" distT="114300" distL="114300" distR="114300">
            <wp:extent cx="2540000" cy="10160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540000" cy="1016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3">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4">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5">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6">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7">
      <w:pPr>
        <w:spacing w:after="0" w:before="0" w:lineRule="auto"/>
        <w:jc w:val="center"/>
        <w:rPr>
          <w:b w:val="1"/>
          <w:bCs w:val="1"/>
        </w:rPr>
      </w:pPr>
      <w:r w:rsidDel="00000000" w:rsidR="00000000" w:rsidRPr="00000000">
        <w:rPr>
          <w:b w:val="1"/>
          <w:bCs w:val="1"/>
          <w:rtl w:val="0"/>
        </w:rPr>
        <w:t xml:space="preserve">Student Name: Md Mehedi Hasan</w:t>
      </w:r>
    </w:p>
    <w:p w:rsidR="00000000" w:rsidDel="00000000" w:rsidP="00000000" w:rsidRDefault="00000000" w:rsidRPr="00000000" w14:paraId="00000008">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9">
      <w:pPr>
        <w:spacing w:after="0" w:before="0" w:lineRule="auto"/>
        <w:jc w:val="center"/>
        <w:rPr>
          <w:b w:val="1"/>
          <w:bCs w:val="1"/>
        </w:rPr>
      </w:pPr>
      <w:r w:rsidDel="00000000" w:rsidR="00000000" w:rsidRPr="00000000">
        <w:rPr>
          <w:b w:val="1"/>
          <w:bCs w:val="1"/>
          <w:rtl w:val="0"/>
        </w:rPr>
        <w:t xml:space="preserve">Student ID: 2506709</w:t>
      </w:r>
    </w:p>
    <w:p w:rsidR="00000000" w:rsidDel="00000000" w:rsidP="00000000" w:rsidRDefault="00000000" w:rsidRPr="00000000" w14:paraId="0000000A">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B">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C">
      <w:pPr>
        <w:spacing w:after="0" w:before="0" w:lineRule="auto"/>
        <w:jc w:val="center"/>
        <w:rPr>
          <w:b w:val="1"/>
          <w:bCs w:val="1"/>
        </w:rPr>
      </w:pPr>
      <w:r w:rsidDel="00000000" w:rsidR="00000000" w:rsidRPr="00000000">
        <w:rPr>
          <w:b w:val="1"/>
          <w:bCs w:val="1"/>
          <w:rtl w:val="0"/>
        </w:rPr>
        <w:t xml:space="preserve">Module Name: Marketing Management</w:t>
      </w:r>
    </w:p>
    <w:p w:rsidR="00000000" w:rsidDel="00000000" w:rsidP="00000000" w:rsidRDefault="00000000" w:rsidRPr="00000000" w14:paraId="0000000D">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0E">
      <w:pPr>
        <w:spacing w:after="0" w:before="0" w:lineRule="auto"/>
        <w:jc w:val="center"/>
        <w:rPr>
          <w:b w:val="1"/>
          <w:bCs w:val="1"/>
        </w:rPr>
      </w:pPr>
      <w:r w:rsidDel="00000000" w:rsidR="00000000" w:rsidRPr="00000000">
        <w:rPr>
          <w:b w:val="1"/>
          <w:bCs w:val="1"/>
          <w:rtl w:val="0"/>
        </w:rPr>
        <w:t xml:space="preserve">Module Code: LCMB7024 </w:t>
      </w:r>
    </w:p>
    <w:p w:rsidR="00000000" w:rsidDel="00000000" w:rsidP="00000000" w:rsidRDefault="00000000" w:rsidRPr="00000000" w14:paraId="0000000F">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10">
      <w:pPr>
        <w:spacing w:after="0" w:before="0" w:lineRule="auto"/>
        <w:jc w:val="center"/>
        <w:rPr>
          <w:b w:val="1"/>
          <w:bCs w:val="1"/>
        </w:rPr>
      </w:pPr>
      <w:r w:rsidDel="00000000" w:rsidR="00000000" w:rsidRPr="00000000">
        <w:rPr>
          <w:b w:val="1"/>
          <w:bCs w:val="1"/>
          <w:rtl w:val="0"/>
        </w:rPr>
        <w:t xml:space="preserve">Lecturer’s Name: Dr Laila Maazouz (London) </w:t>
      </w:r>
    </w:p>
    <w:p w:rsidR="00000000" w:rsidDel="00000000" w:rsidP="00000000" w:rsidRDefault="00000000" w:rsidRPr="00000000" w14:paraId="00000011">
      <w:pPr>
        <w:spacing w:after="0" w:before="0" w:lineRule="auto"/>
        <w:jc w:val="left"/>
        <w:rPr>
          <w:b w:val="1"/>
          <w:bCs w:val="1"/>
        </w:rPr>
      </w:pPr>
      <w:r w:rsidDel="00000000" w:rsidR="00000000" w:rsidRPr="00000000">
        <w:rPr>
          <w:b w:val="1"/>
          <w:bCs w:val="1"/>
          <w:rtl w:val="0"/>
        </w:rPr>
        <w:t xml:space="preserve"> </w:t>
      </w:r>
    </w:p>
    <w:p w:rsidR="00000000" w:rsidDel="00000000" w:rsidP="00000000" w:rsidRDefault="00000000" w:rsidRPr="00000000" w14:paraId="00000012">
      <w:pPr>
        <w:spacing w:after="0" w:before="0" w:lineRule="auto"/>
        <w:jc w:val="center"/>
        <w:rPr>
          <w:b w:val="1"/>
          <w:bCs w:val="1"/>
        </w:rPr>
      </w:pPr>
      <w:r w:rsidDel="00000000" w:rsidR="00000000" w:rsidRPr="00000000">
        <w:rPr>
          <w:b w:val="1"/>
          <w:bCs w:val="1"/>
          <w:rtl w:val="0"/>
        </w:rPr>
        <w:t xml:space="preserve">Work Count: 2735</w:t>
      </w:r>
    </w:p>
    <w:p w:rsidR="00000000" w:rsidDel="00000000" w:rsidP="00000000" w:rsidRDefault="00000000" w:rsidRPr="00000000" w14:paraId="00000013">
      <w:pPr>
        <w:spacing w:after="0" w:before="0" w:lineRule="auto"/>
        <w:jc w:val="center"/>
        <w:rPr>
          <w:b w:val="1"/>
          <w:bCs w:val="1"/>
        </w:rPr>
      </w:pPr>
      <w:r w:rsidDel="00000000" w:rsidR="00000000" w:rsidRPr="00000000">
        <w:rPr>
          <w:b w:val="1"/>
          <w:bCs w:val="1"/>
          <w:rtl w:val="0"/>
        </w:rPr>
        <w:t xml:space="preserve"> </w:t>
      </w:r>
    </w:p>
    <w:p w:rsidR="00000000" w:rsidDel="00000000" w:rsidP="00000000" w:rsidRDefault="00000000" w:rsidRPr="00000000" w14:paraId="00000014">
      <w:pPr>
        <w:spacing w:after="0" w:before="0" w:lineRule="auto"/>
        <w:jc w:val="center"/>
        <w:rPr>
          <w:b w:val="1"/>
          <w:bCs w:val="1"/>
          <w:sz w:val="40"/>
          <w:szCs w:val="40"/>
        </w:rPr>
      </w:pPr>
      <w:r w:rsidDel="00000000" w:rsidR="00000000" w:rsidRPr="00000000">
        <w:rPr>
          <w:b w:val="1"/>
          <w:bCs w:val="1"/>
          <w:rtl w:val="0"/>
        </w:rPr>
        <w:t xml:space="preserve">Term 1</w:t>
      </w:r>
      <w:r w:rsidDel="00000000" w:rsidR="00000000" w:rsidRPr="00000000">
        <w:rPr>
          <w:rtl w:val="0"/>
        </w:rPr>
      </w:r>
    </w:p>
    <w:p w:rsidR="00000000" w:rsidDel="00000000" w:rsidP="00000000" w:rsidRDefault="00000000" w:rsidRPr="00000000" w14:paraId="00000015">
      <w:pPr>
        <w:spacing w:after="160" w:before="0" w:line="278.00000000000006" w:lineRule="auto"/>
        <w:jc w:val="left"/>
        <w:rPr>
          <w:b w:val="1"/>
          <w:bCs w:val="1"/>
          <w:sz w:val="44"/>
          <w:szCs w:val="44"/>
        </w:rPr>
      </w:pPr>
      <w:bookmarkStart w:colFirst="0" w:colLast="0" w:name="_8fq7f0lnzu88" w:id="0"/>
      <w:bookmarkEnd w:id="0"/>
      <w:r w:rsidDel="00000000" w:rsidR="00000000" w:rsidRPr="00000000">
        <w:br w:type="page"/>
      </w:r>
      <w:r w:rsidDel="00000000" w:rsidR="00000000" w:rsidRPr="00000000">
        <w:rPr>
          <w:rtl w:val="0"/>
        </w:rPr>
      </w:r>
    </w:p>
    <w:p w:rsidR="00000000" w:rsidDel="00000000" w:rsidP="00000000" w:rsidRDefault="00000000" w:rsidRPr="00000000" w14:paraId="00000016">
      <w:pPr>
        <w:spacing w:line="360" w:lineRule="auto"/>
        <w:rPr>
          <w:b w:val="1"/>
          <w:bCs w:val="1"/>
          <w:sz w:val="34"/>
          <w:szCs w:val="34"/>
        </w:rPr>
      </w:pPr>
      <w:r w:rsidDel="00000000" w:rsidR="00000000" w:rsidRPr="00000000">
        <w:rPr>
          <w:b w:val="1"/>
          <w:bCs w:val="1"/>
          <w:sz w:val="34"/>
          <w:szCs w:val="34"/>
          <w:rtl w:val="0"/>
        </w:rPr>
        <w:t xml:space="preserve">Table of Content</w:t>
      </w:r>
    </w:p>
    <w:sdt>
      <w:sdtPr>
        <w:id w:val="1395631541"/>
        <w:docPartObj>
          <w:docPartGallery w:val="Table of Contents"/>
          <w:docPartUnique w:val="1"/>
        </w:docPartObj>
      </w:sdtPr>
      <w:sdtContent>
        <w:p w:rsidR="00000000" w:rsidDel="00000000" w:rsidP="00000000" w:rsidRDefault="00000000" w:rsidRPr="00000000" w14:paraId="00000017">
          <w:pPr>
            <w:widowControl w:val="0"/>
            <w:tabs>
              <w:tab w:val="right" w:leader="dot" w:pos="9360"/>
            </w:tabs>
            <w:spacing w:after="0" w:before="60" w:line="360" w:lineRule="auto"/>
            <w:jc w:val="left"/>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
            <w:r w:rsidDel="00000000" w:rsidR="00000000" w:rsidRPr="00000000">
              <w:rPr>
                <w:b w:val="1"/>
                <w:bCs w:val="1"/>
                <w:color w:val="000000"/>
                <w:u w:val="none"/>
                <w:rtl w:val="0"/>
              </w:rPr>
              <w:t xml:space="preserve">1.0 Introduction</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dot" w:pos="9360"/>
            </w:tabs>
            <w:spacing w:after="0" w:before="60" w:line="360" w:lineRule="auto"/>
            <w:ind w:left="360" w:firstLine="0"/>
            <w:jc w:val="left"/>
            <w:rPr>
              <w:color w:val="000000"/>
              <w:u w:val="none"/>
            </w:rPr>
          </w:pPr>
          <w:hyperlink w:anchor="">
            <w:r w:rsidDel="00000000" w:rsidR="00000000" w:rsidRPr="00000000">
              <w:rPr>
                <w:color w:val="000000"/>
                <w:u w:val="none"/>
                <w:rtl w:val="0"/>
              </w:rPr>
              <w:t xml:space="preserve">2.0 Task 1 — How are Legal and Social Factors reshaping the market?</w:t>
              <w:tab/>
            </w:r>
          </w:hyperlink>
          <w:r w:rsidDel="00000000" w:rsidR="00000000" w:rsidRPr="00000000">
            <w:fldChar w:fldCharType="begin"/>
            <w:instrText xml:space="preserve"> PAGEREF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dot" w:pos="9360"/>
            </w:tabs>
            <w:spacing w:after="0" w:before="60" w:line="360" w:lineRule="auto"/>
            <w:ind w:left="720" w:firstLine="0"/>
            <w:jc w:val="left"/>
            <w:rPr>
              <w:color w:val="000000"/>
              <w:u w:val="none"/>
            </w:rPr>
          </w:pPr>
          <w:hyperlink w:anchor="_f57bc1x5wv69">
            <w:r w:rsidDel="00000000" w:rsidR="00000000" w:rsidRPr="00000000">
              <w:rPr>
                <w:color w:val="000000"/>
                <w:u w:val="none"/>
                <w:rtl w:val="0"/>
              </w:rPr>
              <w:t xml:space="preserve">2.1 What is changing in the legal landscape?</w:t>
              <w:tab/>
            </w:r>
          </w:hyperlink>
          <w:r w:rsidDel="00000000" w:rsidR="00000000" w:rsidRPr="00000000">
            <w:fldChar w:fldCharType="begin"/>
            <w:instrText xml:space="preserve"> PAGEREF _f57bc1x5wv69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dot" w:pos="9360"/>
            </w:tabs>
            <w:spacing w:after="0" w:before="60" w:line="360" w:lineRule="auto"/>
            <w:ind w:left="720" w:firstLine="0"/>
            <w:jc w:val="left"/>
            <w:rPr>
              <w:color w:val="000000"/>
              <w:u w:val="none"/>
            </w:rPr>
          </w:pPr>
          <w:hyperlink w:anchor="">
            <w:r w:rsidDel="00000000" w:rsidR="00000000" w:rsidRPr="00000000">
              <w:rPr>
                <w:color w:val="000000"/>
                <w:u w:val="none"/>
                <w:rtl w:val="0"/>
              </w:rPr>
              <w:t xml:space="preserve">2.2 What social dynamics are most material?</w:t>
              <w:tab/>
            </w:r>
          </w:hyperlink>
          <w:r w:rsidDel="00000000" w:rsidR="00000000" w:rsidRPr="00000000">
            <w:fldChar w:fldCharType="begin"/>
            <w:instrText xml:space="preserve"> PAGEREF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dot" w:pos="9360"/>
            </w:tabs>
            <w:spacing w:after="0" w:before="60" w:line="360" w:lineRule="auto"/>
            <w:ind w:left="360" w:firstLine="0"/>
            <w:jc w:val="left"/>
            <w:rPr>
              <w:color w:val="000000"/>
              <w:u w:val="none"/>
            </w:rPr>
          </w:pPr>
          <w:hyperlink w:anchor="">
            <w:r w:rsidDel="00000000" w:rsidR="00000000" w:rsidRPr="00000000">
              <w:rPr>
                <w:color w:val="000000"/>
                <w:u w:val="none"/>
                <w:rtl w:val="0"/>
              </w:rPr>
              <w:t xml:space="preserve">3.0 Task 2 — How are the platforms strategically responding?</w:t>
              <w:tab/>
            </w:r>
          </w:hyperlink>
          <w:r w:rsidDel="00000000" w:rsidR="00000000" w:rsidRPr="00000000">
            <w:fldChar w:fldCharType="begin"/>
            <w:instrText xml:space="preserve"> PAGEREF  \h </w:instrText>
            <w:fldChar w:fldCharType="separate"/>
          </w:r>
          <w:r w:rsidDel="00000000" w:rsidR="00000000" w:rsidRPr="00000000">
            <w:rPr>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dot" w:pos="9360"/>
            </w:tabs>
            <w:spacing w:after="0" w:before="60" w:line="360" w:lineRule="auto"/>
            <w:ind w:left="720" w:firstLine="0"/>
            <w:jc w:val="left"/>
            <w:rPr>
              <w:color w:val="000000"/>
              <w:u w:val="none"/>
            </w:rPr>
          </w:pPr>
          <w:hyperlink w:anchor="_d9ybvomzasfj">
            <w:r w:rsidDel="00000000" w:rsidR="00000000" w:rsidRPr="00000000">
              <w:rPr>
                <w:color w:val="000000"/>
                <w:u w:val="none"/>
                <w:rtl w:val="0"/>
              </w:rPr>
              <w:t xml:space="preserve">3.1 Uber’s response</w:t>
              <w:tab/>
            </w:r>
          </w:hyperlink>
          <w:r w:rsidDel="00000000" w:rsidR="00000000" w:rsidRPr="00000000">
            <w:fldChar w:fldCharType="begin"/>
            <w:instrText xml:space="preserve"> PAGEREF _d9ybvomzasfj \h </w:instrText>
            <w:fldChar w:fldCharType="separate"/>
          </w:r>
          <w:r w:rsidDel="00000000" w:rsidR="00000000" w:rsidRPr="00000000">
            <w:rPr>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dot" w:pos="9360"/>
            </w:tabs>
            <w:spacing w:after="0" w:before="60" w:line="360" w:lineRule="auto"/>
            <w:ind w:left="720" w:firstLine="0"/>
            <w:jc w:val="left"/>
            <w:rPr>
              <w:color w:val="000000"/>
              <w:u w:val="none"/>
            </w:rPr>
          </w:pPr>
          <w:hyperlink w:anchor="_i8d9ysywqtai">
            <w:r w:rsidDel="00000000" w:rsidR="00000000" w:rsidRPr="00000000">
              <w:rPr>
                <w:color w:val="000000"/>
                <w:u w:val="none"/>
                <w:rtl w:val="0"/>
              </w:rPr>
              <w:t xml:space="preserve">3.2 Lyft’s response — Does a focused transportation thesis still win?</w:t>
              <w:tab/>
            </w:r>
          </w:hyperlink>
          <w:r w:rsidDel="00000000" w:rsidR="00000000" w:rsidRPr="00000000">
            <w:fldChar w:fldCharType="begin"/>
            <w:instrText xml:space="preserve"> PAGEREF _i8d9ysywqtai \h </w:instrText>
            <w:fldChar w:fldCharType="separate"/>
          </w:r>
          <w:r w:rsidDel="00000000" w:rsidR="00000000" w:rsidRPr="00000000">
            <w:rPr>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1E">
          <w:pPr>
            <w:widowControl w:val="0"/>
            <w:tabs>
              <w:tab w:val="right" w:leader="dot" w:pos="9360"/>
            </w:tabs>
            <w:spacing w:after="0" w:before="60" w:line="360" w:lineRule="auto"/>
            <w:ind w:left="360" w:firstLine="0"/>
            <w:jc w:val="left"/>
            <w:rPr>
              <w:color w:val="000000"/>
              <w:u w:val="none"/>
            </w:rPr>
          </w:pPr>
          <w:hyperlink w:anchor="">
            <w:r w:rsidDel="00000000" w:rsidR="00000000" w:rsidRPr="00000000">
              <w:rPr>
                <w:color w:val="000000"/>
                <w:u w:val="none"/>
                <w:rtl w:val="0"/>
              </w:rPr>
              <w:t xml:space="preserve">4.0 Conclusion</w:t>
              <w:tab/>
            </w:r>
          </w:hyperlink>
          <w:r w:rsidDel="00000000" w:rsidR="00000000" w:rsidRPr="00000000">
            <w:fldChar w:fldCharType="begin"/>
            <w:instrText xml:space="preserve"> PAGEREF  \h </w:instrText>
            <w:fldChar w:fldCharType="separate"/>
          </w:r>
          <w:r w:rsidDel="00000000" w:rsidR="00000000" w:rsidRPr="00000000">
            <w:rPr>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1F">
          <w:pPr>
            <w:widowControl w:val="0"/>
            <w:tabs>
              <w:tab w:val="right" w:leader="dot" w:pos="9360"/>
            </w:tabs>
            <w:spacing w:after="0" w:before="60" w:line="360" w:lineRule="auto"/>
            <w:jc w:val="left"/>
            <w:rPr>
              <w:b w:val="1"/>
              <w:bCs w:val="1"/>
              <w:color w:val="000000"/>
              <w:u w:val="none"/>
            </w:rPr>
          </w:pPr>
          <w:hyperlink w:anchor="">
            <w:r w:rsidDel="00000000" w:rsidR="00000000" w:rsidRPr="00000000">
              <w:rPr>
                <w:b w:val="1"/>
                <w:bCs w:val="1"/>
                <w:color w:val="000000"/>
                <w:u w:val="none"/>
                <w:rtl w:val="0"/>
              </w:rPr>
              <w:t xml:space="preserve">References</w:t>
              <w:tab/>
            </w:r>
          </w:hyperlink>
          <w:r w:rsidDel="00000000" w:rsidR="00000000" w:rsidRPr="00000000">
            <w:fldChar w:fldCharType="begin"/>
            <w:instrText xml:space="preserve"> PAGEREF  \h </w:instrText>
            <w:fldChar w:fldCharType="separate"/>
          </w:r>
          <w:r w:rsidDel="00000000" w:rsidR="00000000" w:rsidRPr="00000000">
            <w:rPr>
              <w:b w:val="1"/>
              <w:bCs w:val="1"/>
              <w:rtl w:val="0"/>
            </w:rPr>
            <w:t xml:space="preserve">15</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spacing w:line="360" w:lineRule="auto"/>
        <w:rPr>
          <w:b w:val="1"/>
          <w:bCs w:val="1"/>
          <w:sz w:val="34"/>
          <w:szCs w:val="34"/>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r w:rsidDel="00000000" w:rsidR="00000000" w:rsidRPr="00000000">
        <w:rPr>
          <w:rtl w:val="0"/>
        </w:rPr>
        <w:t xml:space="preserve">1.0 </w:t>
      </w:r>
      <w:r w:rsidDel="00000000" w:rsidR="00000000" w:rsidRPr="00000000">
        <w:rPr>
          <w:rFonts w:ascii="Arial" w:cs="Arial" w:eastAsia="Arial" w:hAnsi="Arial"/>
          <w:rtl w:val="0"/>
        </w:rPr>
        <w:t xml:space="preserve">Introduction</w:t>
      </w:r>
      <w:r w:rsidDel="00000000" w:rsidR="00000000" w:rsidRPr="00000000">
        <w:rPr>
          <w:rtl w:val="0"/>
        </w:rPr>
        <w:t xml:space="preserve"> </w:t>
      </w:r>
    </w:p>
    <w:p w:rsidR="00000000" w:rsidDel="00000000" w:rsidP="00000000" w:rsidRDefault="00000000" w:rsidRPr="00000000" w14:paraId="00000022">
      <w:pPr>
        <w:rPr/>
      </w:pPr>
      <w:r w:rsidDel="00000000" w:rsidR="00000000" w:rsidRPr="00000000">
        <w:rPr>
          <w:rtl w:val="0"/>
        </w:rPr>
        <w:t xml:space="preserve">The ride-sharing trend is booming because of modern technologies and plays a significant role in transitioning to sustainable transportation methods. Digital platforms rapidly created two-sided markets linking drivers to riders, then scaled via dynamic pricing, venture funding and aggressive market entry. Yet, unlike pure software categories, the product touches labour markets, road safety, local congestion, and public transit—drawing legal and social scrutiny that can make or break the model (Schor et al., 2020). Uber is a prominent ride-sharing service that connects drivers with passengers through a mobile app, first launched in San Francisco in 2010. Lyft was a fast follower, Uber and Lyft launched in hundreds of cities across the United States. During that decade, these transportation network companies (TNCs) frequently asserted that their ridesourcing services brought increased jobs, wages and economic growth to the cities they served.  Against this backdrop, Uber is framed here as the global pioneer—a firm that prioritised blitz-scaling and later diversified into delivery and logistics—while Lyft is treated as the US-focused follower, initially leaning on a friendlier community brand and a more focused transportation thesis (Risher, 2025; TIME, 2024). The purpose of this briefing is to analyse how Legal and Social forces shape opportunities and threats for both firms, and to evaluate their evolving strategic (marketing and business) responses.</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after="160" w:before="0" w:line="278.00000000000006" w:lineRule="auto"/>
        <w:jc w:val="left"/>
        <w:rPr>
          <w:b w:val="1"/>
          <w:bCs w:val="1"/>
          <w:color w:val="000000"/>
          <w:sz w:val="28"/>
          <w:szCs w:val="28"/>
        </w:rPr>
      </w:pPr>
      <w:bookmarkStart w:colFirst="0" w:colLast="0" w:name="_vq7pvfzbjct5" w:id="1"/>
      <w:bookmarkEnd w:id="1"/>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2"/>
        <w:rPr/>
      </w:pPr>
      <w:r w:rsidDel="00000000" w:rsidR="00000000" w:rsidRPr="00000000">
        <w:rPr>
          <w:rtl w:val="0"/>
        </w:rPr>
        <w:t xml:space="preserve">2.0 Task 1 — How are Legal and Social Factors reshaping the market?</w:t>
      </w:r>
    </w:p>
    <w:p w:rsidR="00000000" w:rsidDel="00000000" w:rsidP="00000000" w:rsidRDefault="00000000" w:rsidRPr="00000000" w14:paraId="00000026">
      <w:pPr>
        <w:rPr/>
      </w:pPr>
      <w:bookmarkStart w:colFirst="0" w:colLast="0" w:name="_zdqw0fz4nddj" w:id="2"/>
      <w:bookmarkEnd w:id="2"/>
      <w:r w:rsidDel="00000000" w:rsidR="00000000" w:rsidRPr="00000000">
        <w:rPr/>
        <w:drawing>
          <wp:inline distB="0" distT="0" distL="0" distR="0">
            <wp:extent cx="5943600" cy="3497580"/>
            <wp:effectExtent b="0" l="0" r="0" t="0"/>
            <wp:docPr descr="Car-sharing company stakeholder groups map (source: own elaboration) |  Download Scientific Diagram" id="2" name="image2.png"/>
            <a:graphic>
              <a:graphicData uri="http://schemas.openxmlformats.org/drawingml/2006/picture">
                <pic:pic>
                  <pic:nvPicPr>
                    <pic:cNvPr descr="Car-sharing company stakeholder groups map (source: own elaboration) |  Download Scientific Diagram" id="0" name="image2.png"/>
                    <pic:cNvPicPr preferRelativeResize="0"/>
                  </pic:nvPicPr>
                  <pic:blipFill>
                    <a:blip r:embed="rId7"/>
                    <a:srcRect b="0" l="0" r="0" t="0"/>
                    <a:stretch>
                      <a:fillRect/>
                    </a:stretch>
                  </pic:blipFill>
                  <pic:spPr>
                    <a:xfrm>
                      <a:off x="0" y="0"/>
                      <a:ext cx="5943600" cy="349758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jc w:val="center"/>
        <w:rPr>
          <w:b w:val="1"/>
          <w:bCs w:val="1"/>
        </w:rPr>
      </w:pPr>
      <w:r w:rsidDel="00000000" w:rsidR="00000000" w:rsidRPr="00000000">
        <w:rPr>
          <w:b w:val="1"/>
          <w:bCs w:val="1"/>
          <w:rtl w:val="0"/>
        </w:rPr>
        <w:t xml:space="preserve">Image 1: Ride-Sharing Stakeholder Map</w:t>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t xml:space="preserve">The stakeholder map shows how a ride-sharing platform operates within layered stakeholder expectations. Core relationships with drivers, riders and employees shape daily service delivery, while influential groups—cities, regulators, suppliers, investors, media and financial institutions—affect legitimacy, pricing, compliance and public trust. Balancing these interests is essential for sustainable growth and competitive advantage.</w:t>
      </w:r>
      <w:r w:rsidDel="00000000" w:rsidR="00000000" w:rsidRPr="00000000">
        <w:rPr>
          <w:rtl w:val="0"/>
        </w:rPr>
      </w:r>
    </w:p>
    <w:p w:rsidR="00000000" w:rsidDel="00000000" w:rsidP="00000000" w:rsidRDefault="00000000" w:rsidRPr="00000000" w14:paraId="00000029">
      <w:pPr>
        <w:pStyle w:val="Heading3"/>
        <w:keepNext w:val="0"/>
        <w:keepLines w:val="0"/>
        <w:spacing w:before="280" w:lineRule="auto"/>
        <w:rPr>
          <w:b w:val="1"/>
          <w:bCs w:val="1"/>
          <w:color w:val="000000"/>
          <w:sz w:val="26"/>
          <w:szCs w:val="26"/>
        </w:rPr>
      </w:pPr>
      <w:bookmarkStart w:colFirst="0" w:colLast="0" w:name="_f57bc1x5wv69" w:id="3"/>
      <w:bookmarkEnd w:id="3"/>
      <w:r w:rsidDel="00000000" w:rsidR="00000000" w:rsidRPr="00000000">
        <w:rPr>
          <w:b w:val="1"/>
          <w:bCs w:val="1"/>
          <w:color w:val="000000"/>
          <w:sz w:val="26"/>
          <w:szCs w:val="26"/>
          <w:rtl w:val="0"/>
        </w:rPr>
        <w:t xml:space="preserve">2.1 What is changing in the legal landscape?</w:t>
      </w:r>
    </w:p>
    <w:p w:rsidR="00000000" w:rsidDel="00000000" w:rsidP="00000000" w:rsidRDefault="00000000" w:rsidRPr="00000000" w14:paraId="0000002A">
      <w:pPr>
        <w:rPr/>
      </w:pPr>
      <w:r w:rsidDel="00000000" w:rsidR="00000000" w:rsidRPr="00000000">
        <w:rPr>
          <w:rtl w:val="0"/>
        </w:rPr>
        <w:t xml:space="preserve">legal forces create an environment in which ride-sharing companies operate more directly compared to other digital sectors, since ride-sharing companies interact with labor markets, street traffic and local congestion and urban transportation systems. The most critical legal factor facing Uber and Lyft has been how jurisdictions categorize drivers — as independent contractors or as workers/employees. The difference between these two categories is significant, as the categorization of drivers determines the cost structure, price elasticity, supply elasticity, and the marketing narrative platform can truthfully claim concerning fairness and flexibility.</w:t>
      </w:r>
    </w:p>
    <w:p w:rsidR="00000000" w:rsidDel="00000000" w:rsidP="00000000" w:rsidRDefault="00000000" w:rsidRPr="00000000" w14:paraId="0000002B">
      <w:pPr>
        <w:rPr>
          <w:b w:val="1"/>
          <w:bCs w:val="1"/>
          <w:color w:val="000000"/>
        </w:rPr>
      </w:pPr>
      <w:r w:rsidDel="00000000" w:rsidR="00000000" w:rsidRPr="00000000">
        <w:rPr>
          <w:b w:val="1"/>
          <w:bCs w:val="1"/>
          <w:color w:val="000000"/>
          <w:rtl w:val="0"/>
        </w:rPr>
        <w:t xml:space="preserve">Driver status and employment classification.</w:t>
      </w:r>
    </w:p>
    <w:p w:rsidR="00000000" w:rsidDel="00000000" w:rsidP="00000000" w:rsidRDefault="00000000" w:rsidRPr="00000000" w14:paraId="0000002C">
      <w:pPr>
        <w:rPr/>
      </w:pPr>
      <w:r w:rsidDel="00000000" w:rsidR="00000000" w:rsidRPr="00000000">
        <w:rPr>
          <w:rtl w:val="0"/>
        </w:rPr>
        <w:t xml:space="preserve">In the U.S., the major legal challenge to date has occurred in California, one of the largest and most profitable markets for both Uber and Lyft. A 2024 California Supreme Court case (Castellanos v. State of California) resulted in a temporary resolution, with the court upholding Proposition 22. The ruling allows ride-sharing services to maintain the use of driver contractors, but also establishes "benefit floors" including a minimum level of earnings per hour engaged and health-related benefits for all riders (Perkins Coie, 2024; California Supreme Court, 2024). The use of Proposition 22 stabilizes the California marketplace for both companies, permitting them to promote flexibility as a key competitive advantage while promoting a revised minimum standard in communication to regulators and drivers.</w:t>
      </w:r>
    </w:p>
    <w:p w:rsidR="00000000" w:rsidDel="00000000" w:rsidP="00000000" w:rsidRDefault="00000000" w:rsidRPr="00000000" w14:paraId="0000002D">
      <w:pPr>
        <w:rPr/>
      </w:pPr>
      <w:r w:rsidDel="00000000" w:rsidR="00000000" w:rsidRPr="00000000">
        <w:rPr>
          <w:rtl w:val="0"/>
        </w:rPr>
        <w:t xml:space="preserve">In contrast, the U.K. concluded differently. In Uber BV v Aslam, the Employment Tribunal held in favour of the claimants, finding that although the drivers were not working pursuant to a contract of employment they nevertheless were properly classified as "workers" within the meaning of section 230(3)(b). entitling them to minimum wage and holiday pay (U.K. Supreme Court, 2021). Worker status adds cost obligations to ride-sharing platforms, mandates greater transparency in scheduling and tracking of time, and requires platforms to substantiate their claims about safety, pay, and fairness through compliant employment practices. Therefore, communications in the U.K. emphasize responsible compliance and improved working conditions.</w:t>
      </w:r>
    </w:p>
    <w:p w:rsidR="00000000" w:rsidDel="00000000" w:rsidP="00000000" w:rsidRDefault="00000000" w:rsidRPr="00000000" w14:paraId="0000002E">
      <w:pPr>
        <w:rPr>
          <w:b w:val="1"/>
          <w:bCs w:val="1"/>
          <w:color w:val="000000"/>
        </w:rPr>
      </w:pPr>
      <w:r w:rsidDel="00000000" w:rsidR="00000000" w:rsidRPr="00000000">
        <w:rPr>
          <w:rtl w:val="0"/>
        </w:rPr>
        <w:t xml:space="preserve">A third category has developed in the form of the European Union's proposed Platform Work Directive (Directive [EU] 2024/2831). The Directive includes a presumption of employee status if a platform exerts a certain amount of control over its workers, and mandates transparency in how algorithms manage workers (European Union, 2024). Although the process of transposing the Directive into national law will occur in varying degrees throughout the Member States of the EU, the trend is toward increased Human Resource, compliance, and documentation requirements. Marketers are affected by the increasing regulation of data-driven features, incentive programs, and automated decision-making processes — as transparency is no longer merely a brand option, but a regulatory obligation.</w:t>
      </w:r>
      <w:r w:rsidDel="00000000" w:rsidR="00000000" w:rsidRPr="00000000">
        <w:rPr>
          <w:rtl w:val="0"/>
        </w:rPr>
      </w:r>
    </w:p>
    <w:p w:rsidR="00000000" w:rsidDel="00000000" w:rsidP="00000000" w:rsidRDefault="00000000" w:rsidRPr="00000000" w14:paraId="0000002F">
      <w:pPr>
        <w:rPr/>
      </w:pPr>
      <w:r w:rsidDel="00000000" w:rsidR="00000000" w:rsidRPr="00000000">
        <w:rPr>
          <w:b w:val="1"/>
          <w:bCs w:val="1"/>
          <w:color w:val="000000"/>
          <w:rtl w:val="0"/>
        </w:rPr>
        <w:t xml:space="preserve">Local pay floors and operational rules.</w:t>
      </w:r>
      <w:r w:rsidDel="00000000" w:rsidR="00000000" w:rsidRPr="00000000">
        <w:rPr>
          <w:rtl w:val="0"/>
        </w:rPr>
      </w:r>
    </w:p>
    <w:p w:rsidR="00000000" w:rsidDel="00000000" w:rsidP="00000000" w:rsidRDefault="00000000" w:rsidRPr="00000000" w14:paraId="00000030">
      <w:pPr>
        <w:rPr/>
      </w:pPr>
      <w:r w:rsidDel="00000000" w:rsidR="00000000" w:rsidRPr="00000000">
        <w:rPr>
          <w:color w:val="111827"/>
          <w:highlight w:val="white"/>
          <w:rtl w:val="0"/>
        </w:rPr>
        <w:t xml:space="preserve">In addition to legal frameworks at the federal level, cities are becoming an important source of law that determines the economics of ride-sharing. In 2019 the Taxi &amp; Limousine Commission for New York City established a minimum payment standard based on miles travelled and minutes spent, and in 2025 that policy was updated (New York City Taxi &amp; Limousine Commission, 2025). The city of Seattle also established its own protection through the Transportation Network Company Minimum Compensation Ordinance (Seattle Office of Labor Standards, 2020), which will help raise driver incomes but at the same time raise fare levels, thus impacting demand elasticity and trip mix and competitive positioning of ride-sharing companies. Thus, platforms have to be very careful in their communication: they must clearly explain to riders why prices are higher, and show drivers that these pay protections are being honored.</w:t>
      </w:r>
      <w:r w:rsidDel="00000000" w:rsidR="00000000" w:rsidRPr="00000000">
        <w:rPr>
          <w:rtl w:val="0"/>
        </w:rPr>
      </w:r>
    </w:p>
    <w:p w:rsidR="00000000" w:rsidDel="00000000" w:rsidP="00000000" w:rsidRDefault="00000000" w:rsidRPr="00000000" w14:paraId="00000031">
      <w:pPr>
        <w:rPr/>
      </w:pPr>
      <w:r w:rsidDel="00000000" w:rsidR="00000000" w:rsidRPr="00000000">
        <w:rPr>
          <w:color w:val="111827"/>
          <w:highlight w:val="white"/>
          <w:rtl w:val="0"/>
        </w:rPr>
        <w:t xml:space="preserve">Operational constraints add even greater complexity to deploying ride-sharing services locally. The city of New York City has implemented caps on the number of TNC vehicles operating within its borders to control traffic congestion and increase driver income (Welch, 2018). Such caps directly constrain growth and require strategic prioritisation of high-value trips. Airports introduce additional frictions: LAX applies a US$4 access fee for each TNC pick-up, which increases trip prices and narrows margins (Los Angeles World Airports, 2018). These regulations determine both the rider experience and the messages used by ride-sharing companies to justify the added costs and/or suggest alternative options like designated pickup zones or shared rides.</w:t>
      </w:r>
      <w:r w:rsidDel="00000000" w:rsidR="00000000" w:rsidRPr="00000000">
        <w:rPr>
          <w:rtl w:val="0"/>
        </w:rPr>
      </w:r>
    </w:p>
    <w:p w:rsidR="00000000" w:rsidDel="00000000" w:rsidP="00000000" w:rsidRDefault="00000000" w:rsidRPr="00000000" w14:paraId="00000032">
      <w:pPr>
        <w:rPr/>
      </w:pPr>
      <w:r w:rsidDel="00000000" w:rsidR="00000000" w:rsidRPr="00000000">
        <w:rPr>
          <w:b w:val="1"/>
          <w:bCs w:val="1"/>
          <w:color w:val="000000"/>
          <w:rtl w:val="0"/>
        </w:rPr>
        <w:t xml:space="preserve">Algorithmic and antitrust scrutiny.</w:t>
      </w:r>
      <w:r w:rsidDel="00000000" w:rsidR="00000000" w:rsidRPr="00000000">
        <w:rPr>
          <w:rtl w:val="0"/>
        </w:rPr>
      </w:r>
    </w:p>
    <w:p w:rsidR="00000000" w:rsidDel="00000000" w:rsidP="00000000" w:rsidRDefault="00000000" w:rsidRPr="00000000" w14:paraId="00000033">
      <w:pPr>
        <w:rPr/>
      </w:pPr>
      <w:r w:rsidDel="00000000" w:rsidR="00000000" w:rsidRPr="00000000">
        <w:rPr>
          <w:color w:val="111827"/>
          <w:highlight w:val="white"/>
          <w:rtl w:val="0"/>
        </w:rPr>
        <w:t xml:space="preserve">An emerging concern regarding local regulation of ride-sharing services is the application of algorithmic governance. Enforcement bodies of the United States government have identified several issues related to algorithmic price fixing, transparency of surge pricing, and deceptive interfaces for subscription-based programs (US Department of Justice, 2024). This creates challenges for Uber and Lyft when creating promotional programs, surge multipliers, membership programs, and loyalty mechanisms. Thus, transparency and fairness messaging are no longer just marketing and branding decisions; they represent regulatory compliance requirements.</w:t>
      </w:r>
      <w:r w:rsidDel="00000000" w:rsidR="00000000" w:rsidRPr="00000000">
        <w:rPr>
          <w:rtl w:val="0"/>
        </w:rPr>
      </w:r>
    </w:p>
    <w:p w:rsidR="00000000" w:rsidDel="00000000" w:rsidP="00000000" w:rsidRDefault="00000000" w:rsidRPr="00000000" w14:paraId="00000034">
      <w:pPr>
        <w:rPr/>
      </w:pPr>
      <w:r w:rsidDel="00000000" w:rsidR="00000000" w:rsidRPr="00000000">
        <w:rPr>
          <w:b w:val="1"/>
          <w:bCs w:val="1"/>
          <w:color w:val="000000"/>
          <w:rtl w:val="0"/>
        </w:rPr>
        <w:t xml:space="preserve">Overall implications.</w:t>
      </w:r>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The legal environment for ride-sharing is fragmenting. Some jurisdictions protect the contractor model (e.g., California), others enforce worker-like standards (UK/EU), and cities add layers of operational and economic regulation. For marketing teams, this requires region-specific positioning: flexibility and entrepreneurialism where contractor status persists; responsibility, fairness and compliance where worker models are mandated; and transparent communication around fees, pay floors and surge pricing in regulated cities. Ultimately, legal conditions directly influence brand trust, price architecture, availability, and the emotional tone of platform–driver–rider relationships.</w:t>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158"/>
        <w:gridCol w:w="3229"/>
        <w:gridCol w:w="2963"/>
        <w:tblGridChange w:id="0">
          <w:tblGrid>
            <w:gridCol w:w="3158"/>
            <w:gridCol w:w="3229"/>
            <w:gridCol w:w="2963"/>
          </w:tblGrid>
        </w:tblGridChange>
      </w:tblGrid>
      <w:tr>
        <w:trPr>
          <w:cantSplit w:val="0"/>
          <w:tblHeader w:val="0"/>
        </w:trPr>
        <w:tc>
          <w:tcPr/>
          <w:p w:rsidR="00000000" w:rsidDel="00000000" w:rsidP="00000000" w:rsidRDefault="00000000" w:rsidRPr="00000000" w14:paraId="00000036">
            <w:pPr>
              <w:jc w:val="center"/>
              <w:rPr>
                <w:b w:val="1"/>
                <w:bCs w:val="1"/>
              </w:rPr>
            </w:pPr>
            <w:r w:rsidDel="00000000" w:rsidR="00000000" w:rsidRPr="00000000">
              <w:rPr>
                <w:b w:val="1"/>
                <w:bCs w:val="1"/>
                <w:rtl w:val="0"/>
              </w:rPr>
              <w:t xml:space="preserve">Legal Factor</w:t>
            </w:r>
          </w:p>
        </w:tc>
        <w:tc>
          <w:tcPr/>
          <w:p w:rsidR="00000000" w:rsidDel="00000000" w:rsidP="00000000" w:rsidRDefault="00000000" w:rsidRPr="00000000" w14:paraId="00000037">
            <w:pPr>
              <w:jc w:val="center"/>
              <w:rPr>
                <w:b w:val="1"/>
                <w:bCs w:val="1"/>
              </w:rPr>
            </w:pPr>
            <w:r w:rsidDel="00000000" w:rsidR="00000000" w:rsidRPr="00000000">
              <w:rPr>
                <w:b w:val="1"/>
                <w:bCs w:val="1"/>
                <w:rtl w:val="0"/>
              </w:rPr>
              <w:t xml:space="preserve">Opportunity</w:t>
            </w:r>
          </w:p>
        </w:tc>
        <w:tc>
          <w:tcPr/>
          <w:p w:rsidR="00000000" w:rsidDel="00000000" w:rsidP="00000000" w:rsidRDefault="00000000" w:rsidRPr="00000000" w14:paraId="00000038">
            <w:pPr>
              <w:jc w:val="center"/>
              <w:rPr>
                <w:b w:val="1"/>
                <w:bCs w:val="1"/>
              </w:rPr>
            </w:pPr>
            <w:r w:rsidDel="00000000" w:rsidR="00000000" w:rsidRPr="00000000">
              <w:rPr>
                <w:b w:val="1"/>
                <w:bCs w:val="1"/>
                <w:rtl w:val="0"/>
              </w:rPr>
              <w:t xml:space="preserve">Threat</w:t>
            </w:r>
          </w:p>
        </w:tc>
      </w:tr>
      <w:tr>
        <w:trPr>
          <w:cantSplit w:val="0"/>
          <w:tblHeader w:val="0"/>
        </w:trPr>
        <w:tc>
          <w:tcPr/>
          <w:p w:rsidR="00000000" w:rsidDel="00000000" w:rsidP="00000000" w:rsidRDefault="00000000" w:rsidRPr="00000000" w14:paraId="00000039">
            <w:pPr>
              <w:rPr/>
            </w:pPr>
            <w:r w:rsidDel="00000000" w:rsidR="00000000" w:rsidRPr="00000000">
              <w:rPr>
                <w:rtl w:val="0"/>
              </w:rPr>
              <w:t xml:space="preserve">Employment classification (Prop 22, UK worker status, EU Directive)</w:t>
            </w:r>
          </w:p>
        </w:tc>
        <w:tc>
          <w:tcPr/>
          <w:p w:rsidR="00000000" w:rsidDel="00000000" w:rsidP="00000000" w:rsidRDefault="00000000" w:rsidRPr="00000000" w14:paraId="0000003A">
            <w:pPr>
              <w:rPr/>
            </w:pPr>
            <w:r w:rsidDel="00000000" w:rsidR="00000000" w:rsidRPr="00000000">
              <w:rPr>
                <w:rtl w:val="0"/>
              </w:rPr>
              <w:t xml:space="preserve">Tailor narratives: “flexibility + protections” in contractor markets; “fair, compliant employer” in worker markets</w:t>
            </w:r>
          </w:p>
        </w:tc>
        <w:tc>
          <w:tcPr/>
          <w:p w:rsidR="00000000" w:rsidDel="00000000" w:rsidP="00000000" w:rsidRDefault="00000000" w:rsidRPr="00000000" w14:paraId="0000003B">
            <w:pPr>
              <w:rPr/>
            </w:pPr>
            <w:r w:rsidDel="00000000" w:rsidR="00000000" w:rsidRPr="00000000">
              <w:rPr>
                <w:rtl w:val="0"/>
              </w:rPr>
              <w:t xml:space="preserve">Rising labour costs, HR complexity, inconsistent models across jurisdictions</w:t>
            </w:r>
          </w:p>
        </w:tc>
      </w:tr>
      <w:tr>
        <w:trPr>
          <w:cantSplit w:val="0"/>
          <w:tblHeader w:val="0"/>
        </w:trPr>
        <w:tc>
          <w:tcPr/>
          <w:p w:rsidR="00000000" w:rsidDel="00000000" w:rsidP="00000000" w:rsidRDefault="00000000" w:rsidRPr="00000000" w14:paraId="0000003C">
            <w:pPr>
              <w:rPr/>
            </w:pPr>
            <w:r w:rsidDel="00000000" w:rsidR="00000000" w:rsidRPr="00000000">
              <w:rPr>
                <w:rtl w:val="0"/>
              </w:rPr>
              <w:t xml:space="preserve">City pay floors (NYC, Seattle)</w:t>
            </w:r>
          </w:p>
        </w:tc>
        <w:tc>
          <w:tcPr/>
          <w:p w:rsidR="00000000" w:rsidDel="00000000" w:rsidP="00000000" w:rsidRDefault="00000000" w:rsidRPr="00000000" w14:paraId="0000003D">
            <w:pPr>
              <w:rPr/>
            </w:pPr>
            <w:r w:rsidDel="00000000" w:rsidR="00000000" w:rsidRPr="00000000">
              <w:rPr>
                <w:rtl w:val="0"/>
              </w:rPr>
              <w:t xml:space="preserve">Stronger driver trust; improved retention messaging</w:t>
            </w:r>
          </w:p>
        </w:tc>
        <w:tc>
          <w:tcPr/>
          <w:p w:rsidR="00000000" w:rsidDel="00000000" w:rsidP="00000000" w:rsidRDefault="00000000" w:rsidRPr="00000000" w14:paraId="0000003E">
            <w:pPr>
              <w:rPr/>
            </w:pPr>
            <w:r w:rsidDel="00000000" w:rsidR="00000000" w:rsidRPr="00000000">
              <w:rPr>
                <w:rtl w:val="0"/>
              </w:rPr>
              <w:t xml:space="preserve">Higher fares reduce price competitiveness and demand elasticity</w:t>
            </w:r>
          </w:p>
        </w:tc>
      </w:tr>
      <w:tr>
        <w:trPr>
          <w:cantSplit w:val="0"/>
          <w:tblHeader w:val="0"/>
        </w:trPr>
        <w:tc>
          <w:tcPr/>
          <w:p w:rsidR="00000000" w:rsidDel="00000000" w:rsidP="00000000" w:rsidRDefault="00000000" w:rsidRPr="00000000" w14:paraId="0000003F">
            <w:pPr>
              <w:rPr/>
            </w:pPr>
            <w:r w:rsidDel="00000000" w:rsidR="00000000" w:rsidRPr="00000000">
              <w:rPr>
                <w:rtl w:val="0"/>
              </w:rPr>
              <w:t xml:space="preserve">Operational constraints (vehicle caps, airport fees)</w:t>
            </w:r>
          </w:p>
        </w:tc>
        <w:tc>
          <w:tcPr/>
          <w:p w:rsidR="00000000" w:rsidDel="00000000" w:rsidP="00000000" w:rsidRDefault="00000000" w:rsidRPr="00000000" w14:paraId="00000040">
            <w:pPr>
              <w:rPr/>
            </w:pPr>
            <w:r w:rsidDel="00000000" w:rsidR="00000000" w:rsidRPr="00000000">
              <w:rPr>
                <w:rtl w:val="0"/>
              </w:rPr>
              <w:t xml:space="preserve">Chance to promote shared rides, transit links, or premium options</w:t>
            </w:r>
          </w:p>
        </w:tc>
        <w:tc>
          <w:tcPr/>
          <w:p w:rsidR="00000000" w:rsidDel="00000000" w:rsidP="00000000" w:rsidRDefault="00000000" w:rsidRPr="00000000" w14:paraId="00000041">
            <w:pPr>
              <w:rPr/>
            </w:pPr>
            <w:r w:rsidDel="00000000" w:rsidR="00000000" w:rsidRPr="00000000">
              <w:rPr>
                <w:rtl w:val="0"/>
              </w:rPr>
              <w:t xml:space="preserve">Capacity limits, lower utilisation, higher per-trip costs</w:t>
            </w:r>
          </w:p>
        </w:tc>
      </w:tr>
      <w:tr>
        <w:trPr>
          <w:cantSplit w:val="0"/>
          <w:tblHeader w:val="0"/>
        </w:trPr>
        <w:tc>
          <w:tcPr/>
          <w:p w:rsidR="00000000" w:rsidDel="00000000" w:rsidP="00000000" w:rsidRDefault="00000000" w:rsidRPr="00000000" w14:paraId="00000042">
            <w:pPr>
              <w:rPr/>
            </w:pPr>
            <w:r w:rsidDel="00000000" w:rsidR="00000000" w:rsidRPr="00000000">
              <w:rPr>
                <w:rtl w:val="0"/>
              </w:rPr>
              <w:t xml:space="preserve">Algorithmic/antitrust scrutiny</w:t>
            </w:r>
          </w:p>
        </w:tc>
        <w:tc>
          <w:tcPr/>
          <w:p w:rsidR="00000000" w:rsidDel="00000000" w:rsidP="00000000" w:rsidRDefault="00000000" w:rsidRPr="00000000" w14:paraId="00000043">
            <w:pPr>
              <w:rPr/>
            </w:pPr>
            <w:r w:rsidDel="00000000" w:rsidR="00000000" w:rsidRPr="00000000">
              <w:rPr>
                <w:rtl w:val="0"/>
              </w:rPr>
              <w:t xml:space="preserve">Opportunity to differentiate through transparent pricing and ethical design</w:t>
            </w:r>
          </w:p>
        </w:tc>
        <w:tc>
          <w:tcPr/>
          <w:p w:rsidR="00000000" w:rsidDel="00000000" w:rsidP="00000000" w:rsidRDefault="00000000" w:rsidRPr="00000000" w14:paraId="00000044">
            <w:pPr>
              <w:rPr/>
            </w:pPr>
            <w:r w:rsidDel="00000000" w:rsidR="00000000" w:rsidRPr="00000000">
              <w:rPr>
                <w:rtl w:val="0"/>
              </w:rPr>
              <w:t xml:space="preserve">Limits to surge pricing and subscription structures; regulatory penalties</w:t>
            </w:r>
          </w:p>
        </w:tc>
      </w:tr>
    </w:tbl>
    <w:p w:rsidR="00000000" w:rsidDel="00000000" w:rsidP="00000000" w:rsidRDefault="00000000" w:rsidRPr="00000000" w14:paraId="00000045">
      <w:pPr>
        <w:jc w:val="center"/>
        <w:rPr>
          <w:b w:val="1"/>
          <w:bCs w:val="1"/>
          <w:color w:val="000000"/>
          <w:sz w:val="26"/>
          <w:szCs w:val="26"/>
        </w:rPr>
      </w:pPr>
      <w:r w:rsidDel="00000000" w:rsidR="00000000" w:rsidRPr="00000000">
        <w:rPr>
          <w:b w:val="1"/>
          <w:bCs w:val="1"/>
          <w:rtl w:val="0"/>
        </w:rPr>
        <w:t xml:space="preserve">Table 1. Legal Factors: Opportunities and Threats for Uber and Lyft</w:t>
      </w:r>
      <w:r w:rsidDel="00000000" w:rsidR="00000000" w:rsidRPr="00000000">
        <w:rPr>
          <w:rtl w:val="0"/>
        </w:rPr>
      </w:r>
    </w:p>
    <w:p w:rsidR="00000000" w:rsidDel="00000000" w:rsidP="00000000" w:rsidRDefault="00000000" w:rsidRPr="00000000" w14:paraId="00000046">
      <w:pPr>
        <w:pStyle w:val="Heading3"/>
        <w:keepNext w:val="0"/>
        <w:keepLines w:val="0"/>
        <w:spacing w:before="280" w:lineRule="auto"/>
        <w:rPr>
          <w:b w:val="1"/>
          <w:bCs w:val="1"/>
          <w:color w:val="000000"/>
          <w:sz w:val="26"/>
          <w:szCs w:val="26"/>
        </w:rPr>
      </w:pPr>
      <w:r w:rsidDel="00000000" w:rsidR="00000000" w:rsidRPr="00000000">
        <w:rPr>
          <w:b w:val="1"/>
          <w:bCs w:val="1"/>
          <w:color w:val="000000"/>
          <w:sz w:val="26"/>
          <w:szCs w:val="26"/>
          <w:rtl w:val="0"/>
        </w:rPr>
        <w:t xml:space="preserve">2.2 What social dynamics are most material?</w:t>
      </w:r>
    </w:p>
    <w:p w:rsidR="00000000" w:rsidDel="00000000" w:rsidP="00000000" w:rsidRDefault="00000000" w:rsidRPr="00000000" w14:paraId="00000047">
      <w:pPr>
        <w:rPr/>
      </w:pPr>
      <w:r w:rsidDel="00000000" w:rsidR="00000000" w:rsidRPr="00000000">
        <w:rPr>
          <w:b w:val="1"/>
          <w:bCs w:val="1"/>
          <w:rtl w:val="0"/>
        </w:rPr>
        <w:t xml:space="preserve">Public safety and trust.</w:t>
      </w:r>
      <w:r w:rsidDel="00000000" w:rsidR="00000000" w:rsidRPr="00000000">
        <w:rPr>
          <w:rtl w:val="0"/>
        </w:rPr>
        <w:t xml:space="preserve"> </w:t>
      </w:r>
    </w:p>
    <w:p w:rsidR="00000000" w:rsidDel="00000000" w:rsidP="00000000" w:rsidRDefault="00000000" w:rsidRPr="00000000" w14:paraId="00000048">
      <w:pPr>
        <w:rPr/>
      </w:pPr>
      <w:r w:rsidDel="00000000" w:rsidR="00000000" w:rsidRPr="00000000">
        <w:rPr>
          <w:rtl w:val="0"/>
        </w:rPr>
        <w:t xml:space="preserve">Incidents categorized in company transparency reports are serious and could lead to loss of brand trust if mishandled. In this regard, the 2019-20 U.S. Safety Report issued by Uber documented both sexual assaults and traffic fatalities, along with new safety features and third party audits which set the standard for disclosure within the category (Uber, 2022). Lyft has likewise implemented a number of safety features and communications, most notably Women+ Connect—a national rollout in the United States in 2024 to match women and non-binary riders and drivers more frequently (Lyft, 2024).</w:t>
      </w:r>
      <w:r w:rsidDel="00000000" w:rsidR="00000000" w:rsidRPr="00000000">
        <w:rPr>
          <w:rtl w:val="0"/>
        </w:rPr>
      </w:r>
    </w:p>
    <w:p w:rsidR="00000000" w:rsidDel="00000000" w:rsidP="00000000" w:rsidRDefault="00000000" w:rsidRPr="00000000" w14:paraId="00000049">
      <w:pPr>
        <w:rPr/>
      </w:pPr>
      <w:r w:rsidDel="00000000" w:rsidR="00000000" w:rsidRPr="00000000">
        <w:rPr>
          <w:b w:val="1"/>
          <w:bCs w:val="1"/>
          <w:rtl w:val="0"/>
        </w:rPr>
        <w:t xml:space="preserve">Labour activism and public opinion.</w:t>
      </w:r>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color w:val="111827"/>
          <w:highlight w:val="white"/>
          <w:rtl w:val="0"/>
        </w:rPr>
        <w:t xml:space="preserve">The campaigns for better wages, benefits, and due process continue at the large metropolitan level in the U.S. (i.e., NYC, Seattle), and in other cities as well, with driver organizations and unions using legal victories such as </w:t>
      </w:r>
      <w:r w:rsidDel="00000000" w:rsidR="00000000" w:rsidRPr="00000000">
        <w:rPr>
          <w:i w:val="1"/>
          <w:iCs w:val="1"/>
          <w:color w:val="111827"/>
          <w:highlight w:val="white"/>
          <w:rtl w:val="0"/>
        </w:rPr>
        <w:t xml:space="preserve">Uber BV v Aslam</w:t>
      </w:r>
      <w:r w:rsidDel="00000000" w:rsidR="00000000" w:rsidRPr="00000000">
        <w:rPr>
          <w:color w:val="111827"/>
          <w:highlight w:val="white"/>
          <w:rtl w:val="0"/>
        </w:rPr>
        <w:t xml:space="preserve"> in the U.K. to leverage bargaining and collective action to create reputational narratives around fairness that platforms will have to respond to through their product choices and PR efforts (Seattle Office of Labor Standards, 2020; New York City Taxi &amp; Limousine Commission, 2025).</w:t>
      </w:r>
      <w:r w:rsidDel="00000000" w:rsidR="00000000" w:rsidRPr="00000000">
        <w:rPr>
          <w:rtl w:val="0"/>
        </w:rPr>
      </w:r>
    </w:p>
    <w:p w:rsidR="00000000" w:rsidDel="00000000" w:rsidP="00000000" w:rsidRDefault="00000000" w:rsidRPr="00000000" w14:paraId="0000004B">
      <w:pPr>
        <w:rPr/>
      </w:pPr>
      <w:r w:rsidDel="00000000" w:rsidR="00000000" w:rsidRPr="00000000">
        <w:rPr>
          <w:b w:val="1"/>
          <w:bCs w:val="1"/>
          <w:rtl w:val="0"/>
        </w:rPr>
        <w:t xml:space="preserve">Urban systems and congestion.</w:t>
      </w:r>
      <w:r w:rsidDel="00000000" w:rsidR="00000000" w:rsidRPr="00000000">
        <w:rPr>
          <w:rtl w:val="0"/>
        </w:rPr>
        <w:t xml:space="preserve"> </w:t>
      </w:r>
    </w:p>
    <w:p w:rsidR="00000000" w:rsidDel="00000000" w:rsidP="00000000" w:rsidRDefault="00000000" w:rsidRPr="00000000" w14:paraId="0000004C">
      <w:pPr>
        <w:rPr/>
      </w:pPr>
      <w:r w:rsidDel="00000000" w:rsidR="00000000" w:rsidRPr="00000000">
        <w:rPr>
          <w:color w:val="111827"/>
          <w:highlight w:val="white"/>
          <w:rtl w:val="0"/>
        </w:rPr>
        <w:t xml:space="preserve">A widely cited study conducted in San Francisco found that ride-sharing accounted for approximately one-half of the increase in congestion from 2010 to 2016 after accounting for all other variables (San Francisco County Transportation Authority, 2019). Academic evidence on public transit is mixed: Hall, Palsson and Price (2018) find cases where Uber can complement public transport, while other work documents substitution and ridership declines, with recent literature reviews emphasising context-specific outcomes. The debate surrounding these findings influences how cities form partnerships with ride-sharing companies, establish caps, and frame ride-sharing as either a problem or a partner.</w:t>
      </w:r>
      <w:r w:rsidDel="00000000" w:rsidR="00000000" w:rsidRPr="00000000">
        <w:rPr>
          <w:rtl w:val="0"/>
        </w:rPr>
      </w:r>
    </w:p>
    <w:p w:rsidR="00000000" w:rsidDel="00000000" w:rsidP="00000000" w:rsidRDefault="00000000" w:rsidRPr="00000000" w14:paraId="0000004D">
      <w:pPr>
        <w:rPr/>
      </w:pPr>
      <w:r w:rsidDel="00000000" w:rsidR="00000000" w:rsidRPr="00000000">
        <w:rPr>
          <w:b w:val="1"/>
          <w:bCs w:val="1"/>
          <w:rtl w:val="0"/>
        </w:rPr>
        <w:t xml:space="preserve">Evolving expectations of “platform responsibility”.</w:t>
      </w:r>
      <w:r w:rsidDel="00000000" w:rsidR="00000000" w:rsidRPr="00000000">
        <w:rPr>
          <w:rtl w:val="0"/>
        </w:rPr>
        <w:t xml:space="preserve"> </w:t>
      </w:r>
    </w:p>
    <w:p w:rsidR="00000000" w:rsidDel="00000000" w:rsidP="00000000" w:rsidRDefault="00000000" w:rsidRPr="00000000" w14:paraId="0000004E">
      <w:pPr>
        <w:rPr/>
      </w:pPr>
      <w:bookmarkStart w:colFirst="0" w:colLast="0" w:name="_uu7o7jr899le" w:id="4"/>
      <w:bookmarkEnd w:id="4"/>
      <w:r w:rsidDel="00000000" w:rsidR="00000000" w:rsidRPr="00000000">
        <w:rPr>
          <w:color w:val="111827"/>
          <w:highlight w:val="white"/>
          <w:rtl w:val="0"/>
        </w:rPr>
        <w:t xml:space="preserve">Riders expect to see robust in-app safety features, ethical surge practices, and responsiveness to vulnerable populations; communities expect ride-sharing companies to collaborate with them to improve public transportation systems; and drivers expect ride-sharing companies to provide transparent algorithms and appeals processes—the latter of which are now codified in the European Union's Platform Work Directive (European Union, 2024). Therefore, these expectations are translated into marketing claims that must be substantiated by operational credibility.</w:t>
      </w:r>
      <w:r w:rsidDel="00000000" w:rsidR="00000000" w:rsidRPr="00000000">
        <w:rPr>
          <w:rtl w:val="0"/>
        </w:rPr>
      </w:r>
    </w:p>
    <w:tbl>
      <w:tblPr>
        <w:tblStyle w:val="Table2"/>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781"/>
        <w:gridCol w:w="3775"/>
        <w:gridCol w:w="3804"/>
        <w:tblGridChange w:id="0">
          <w:tblGrid>
            <w:gridCol w:w="1781"/>
            <w:gridCol w:w="3775"/>
            <w:gridCol w:w="3804"/>
          </w:tblGrid>
        </w:tblGridChange>
      </w:tblGrid>
      <w:tr>
        <w:trPr>
          <w:cantSplit w:val="0"/>
          <w:trHeight w:val="500" w:hRule="atLeast"/>
          <w:tblHeader w:val="0"/>
        </w:trPr>
        <w:tc>
          <w:tcPr/>
          <w:p w:rsidR="00000000" w:rsidDel="00000000" w:rsidP="00000000" w:rsidRDefault="00000000" w:rsidRPr="00000000" w14:paraId="0000004F">
            <w:pPr>
              <w:jc w:val="center"/>
              <w:rPr>
                <w:b w:val="1"/>
                <w:bCs w:val="1"/>
              </w:rPr>
            </w:pPr>
            <w:r w:rsidDel="00000000" w:rsidR="00000000" w:rsidRPr="00000000">
              <w:rPr>
                <w:b w:val="1"/>
                <w:bCs w:val="1"/>
                <w:rtl w:val="0"/>
              </w:rPr>
              <w:t xml:space="preserve">Social factor</w:t>
            </w:r>
          </w:p>
        </w:tc>
        <w:tc>
          <w:tcPr/>
          <w:p w:rsidR="00000000" w:rsidDel="00000000" w:rsidP="00000000" w:rsidRDefault="00000000" w:rsidRPr="00000000" w14:paraId="00000050">
            <w:pPr>
              <w:jc w:val="center"/>
              <w:rPr>
                <w:b w:val="1"/>
                <w:bCs w:val="1"/>
              </w:rPr>
            </w:pPr>
            <w:r w:rsidDel="00000000" w:rsidR="00000000" w:rsidRPr="00000000">
              <w:rPr>
                <w:b w:val="1"/>
                <w:bCs w:val="1"/>
                <w:rtl w:val="0"/>
              </w:rPr>
              <w:t xml:space="preserve">Opportunity</w:t>
            </w:r>
          </w:p>
        </w:tc>
        <w:tc>
          <w:tcPr/>
          <w:p w:rsidR="00000000" w:rsidDel="00000000" w:rsidP="00000000" w:rsidRDefault="00000000" w:rsidRPr="00000000" w14:paraId="00000051">
            <w:pPr>
              <w:jc w:val="center"/>
              <w:rPr>
                <w:b w:val="1"/>
                <w:bCs w:val="1"/>
              </w:rPr>
            </w:pPr>
            <w:r w:rsidDel="00000000" w:rsidR="00000000" w:rsidRPr="00000000">
              <w:rPr>
                <w:b w:val="1"/>
                <w:bCs w:val="1"/>
                <w:rtl w:val="0"/>
              </w:rPr>
              <w:t xml:space="preserve">Threat</w:t>
            </w:r>
          </w:p>
        </w:tc>
      </w:tr>
      <w:tr>
        <w:trPr>
          <w:cantSplit w:val="0"/>
          <w:trHeight w:val="1610" w:hRule="atLeast"/>
          <w:tblHeader w:val="0"/>
        </w:trPr>
        <w:tc>
          <w:tcPr/>
          <w:p w:rsidR="00000000" w:rsidDel="00000000" w:rsidP="00000000" w:rsidRDefault="00000000" w:rsidRPr="00000000" w14:paraId="00000052">
            <w:pPr>
              <w:rPr/>
            </w:pPr>
            <w:r w:rsidDel="00000000" w:rsidR="00000000" w:rsidRPr="00000000">
              <w:rPr>
                <w:rtl w:val="0"/>
              </w:rPr>
              <w:t xml:space="preserve">Safety expectations</w:t>
            </w:r>
          </w:p>
        </w:tc>
        <w:tc>
          <w:tcPr/>
          <w:p w:rsidR="00000000" w:rsidDel="00000000" w:rsidP="00000000" w:rsidRDefault="00000000" w:rsidRPr="00000000" w14:paraId="00000053">
            <w:pPr>
              <w:rPr/>
            </w:pPr>
            <w:r w:rsidDel="00000000" w:rsidR="00000000" w:rsidRPr="00000000">
              <w:rPr>
                <w:rtl w:val="0"/>
              </w:rPr>
              <w:t xml:space="preserve">Differentiate on safety technology (e.g., in-app 911, PIN/verification, trip-sharing, audio recording, Women+ Connect) and transparent reporting.</w:t>
            </w:r>
          </w:p>
        </w:tc>
        <w:tc>
          <w:tcPr/>
          <w:p w:rsidR="00000000" w:rsidDel="00000000" w:rsidP="00000000" w:rsidRDefault="00000000" w:rsidRPr="00000000" w14:paraId="00000054">
            <w:pPr>
              <w:rPr/>
            </w:pPr>
            <w:r w:rsidDel="00000000" w:rsidR="00000000" w:rsidRPr="00000000">
              <w:rPr>
                <w:rtl w:val="0"/>
              </w:rPr>
              <w:t xml:space="preserve">Incidents erode trust; litigation and hostile media cycles; platforms must prove efficacy, not just messaging (Uber, 2022; Lyft, 2024).</w:t>
            </w:r>
          </w:p>
        </w:tc>
      </w:tr>
      <w:tr>
        <w:trPr>
          <w:cantSplit w:val="0"/>
          <w:trHeight w:val="1325" w:hRule="atLeast"/>
          <w:tblHeader w:val="0"/>
        </w:trPr>
        <w:tc>
          <w:tcPr/>
          <w:p w:rsidR="00000000" w:rsidDel="00000000" w:rsidP="00000000" w:rsidRDefault="00000000" w:rsidRPr="00000000" w14:paraId="00000055">
            <w:pPr>
              <w:rPr/>
            </w:pPr>
            <w:r w:rsidDel="00000000" w:rsidR="00000000" w:rsidRPr="00000000">
              <w:rPr>
                <w:rtl w:val="0"/>
              </w:rPr>
              <w:t xml:space="preserve">Labour activism</w:t>
            </w:r>
          </w:p>
        </w:tc>
        <w:tc>
          <w:tcPr/>
          <w:p w:rsidR="00000000" w:rsidDel="00000000" w:rsidP="00000000" w:rsidRDefault="00000000" w:rsidRPr="00000000" w14:paraId="00000056">
            <w:pPr>
              <w:rPr/>
            </w:pPr>
            <w:r w:rsidDel="00000000" w:rsidR="00000000" w:rsidRPr="00000000">
              <w:rPr>
                <w:rtl w:val="0"/>
              </w:rPr>
              <w:t xml:space="preserve">Proactive benefits floors and recognition mechanisms can bolster brand legitimacy and driver retention.</w:t>
            </w:r>
          </w:p>
        </w:tc>
        <w:tc>
          <w:tcPr/>
          <w:p w:rsidR="00000000" w:rsidDel="00000000" w:rsidP="00000000" w:rsidRDefault="00000000" w:rsidRPr="00000000" w14:paraId="00000057">
            <w:pPr>
              <w:rPr/>
            </w:pPr>
            <w:r w:rsidDel="00000000" w:rsidR="00000000" w:rsidRPr="00000000">
              <w:rPr>
                <w:rtl w:val="0"/>
              </w:rPr>
              <w:t xml:space="preserve">Work stoppages, legal actions and higher costs; negative sentiment can influence regulators and policy (Schor et al., 2020).</w:t>
            </w:r>
          </w:p>
        </w:tc>
      </w:tr>
      <w:tr>
        <w:trPr>
          <w:cantSplit w:val="0"/>
          <w:trHeight w:val="1610" w:hRule="atLeast"/>
          <w:tblHeader w:val="0"/>
        </w:trPr>
        <w:tc>
          <w:tcPr/>
          <w:p w:rsidR="00000000" w:rsidDel="00000000" w:rsidP="00000000" w:rsidRDefault="00000000" w:rsidRPr="00000000" w14:paraId="00000058">
            <w:pPr>
              <w:rPr/>
            </w:pPr>
            <w:r w:rsidDel="00000000" w:rsidR="00000000" w:rsidRPr="00000000">
              <w:rPr>
                <w:rtl w:val="0"/>
              </w:rPr>
              <w:t xml:space="preserve">Urban congestion and transit</w:t>
            </w:r>
          </w:p>
        </w:tc>
        <w:tc>
          <w:tcPr/>
          <w:p w:rsidR="00000000" w:rsidDel="00000000" w:rsidP="00000000" w:rsidRDefault="00000000" w:rsidRPr="00000000" w14:paraId="00000059">
            <w:pPr>
              <w:rPr/>
            </w:pPr>
            <w:r w:rsidDel="00000000" w:rsidR="00000000" w:rsidRPr="00000000">
              <w:rPr>
                <w:rtl w:val="0"/>
              </w:rPr>
              <w:t xml:space="preserve">Partnerships with transit and micromobility can position platforms as complements (first/last-mile, late-night gaps).</w:t>
            </w:r>
          </w:p>
        </w:tc>
        <w:tc>
          <w:tcPr/>
          <w:p w:rsidR="00000000" w:rsidDel="00000000" w:rsidP="00000000" w:rsidRDefault="00000000" w:rsidRPr="00000000" w14:paraId="0000005A">
            <w:pPr>
              <w:rPr/>
            </w:pPr>
            <w:r w:rsidDel="00000000" w:rsidR="00000000" w:rsidRPr="00000000">
              <w:rPr>
                <w:rtl w:val="0"/>
              </w:rPr>
              <w:t xml:space="preserve">Studies linking TNCs to congestion and transit ridership decline legitimise caps, fees and restrictions (San Francisco County Transportation Authority, 2019).</w:t>
            </w:r>
          </w:p>
        </w:tc>
      </w:tr>
      <w:tr>
        <w:trPr>
          <w:cantSplit w:val="0"/>
          <w:trHeight w:val="1325" w:hRule="atLeast"/>
          <w:tblHeader w:val="0"/>
        </w:trPr>
        <w:tc>
          <w:tcPr/>
          <w:p w:rsidR="00000000" w:rsidDel="00000000" w:rsidP="00000000" w:rsidRDefault="00000000" w:rsidRPr="00000000" w14:paraId="0000005B">
            <w:pPr>
              <w:rPr/>
            </w:pPr>
            <w:r w:rsidDel="00000000" w:rsidR="00000000" w:rsidRPr="00000000">
              <w:rPr>
                <w:rtl w:val="0"/>
              </w:rPr>
              <w:t xml:space="preserve">Inclusivity and vulnerable users</w:t>
            </w:r>
          </w:p>
        </w:tc>
        <w:tc>
          <w:tcPr/>
          <w:p w:rsidR="00000000" w:rsidDel="00000000" w:rsidP="00000000" w:rsidRDefault="00000000" w:rsidRPr="00000000" w14:paraId="0000005C">
            <w:pPr>
              <w:rPr/>
            </w:pPr>
            <w:r w:rsidDel="00000000" w:rsidR="00000000" w:rsidRPr="00000000">
              <w:rPr>
                <w:rtl w:val="0"/>
              </w:rPr>
              <w:t xml:space="preserve">Targeted features such as Women+ Connect widen the addressable market and address societal concerns about safety.</w:t>
            </w:r>
          </w:p>
        </w:tc>
        <w:tc>
          <w:tcPr/>
          <w:p w:rsidR="00000000" w:rsidDel="00000000" w:rsidP="00000000" w:rsidRDefault="00000000" w:rsidRPr="00000000" w14:paraId="0000005D">
            <w:pPr>
              <w:rPr/>
            </w:pPr>
            <w:r w:rsidDel="00000000" w:rsidR="00000000" w:rsidRPr="00000000">
              <w:rPr>
                <w:rtl w:val="0"/>
              </w:rPr>
              <w:t xml:space="preserve">If features under-deliver, accusations of “safety theatre” and reputational blowback can follow (Lyft, 2024).</w:t>
            </w:r>
          </w:p>
        </w:tc>
      </w:tr>
    </w:tbl>
    <w:p w:rsidR="00000000" w:rsidDel="00000000" w:rsidP="00000000" w:rsidRDefault="00000000" w:rsidRPr="00000000" w14:paraId="0000005E">
      <w:pPr>
        <w:jc w:val="center"/>
        <w:rPr>
          <w:sz w:val="34"/>
          <w:szCs w:val="34"/>
        </w:rPr>
      </w:pPr>
      <w:r w:rsidDel="00000000" w:rsidR="00000000" w:rsidRPr="00000000">
        <w:rPr>
          <w:b w:val="1"/>
          <w:bCs w:val="1"/>
          <w:color w:val="000000"/>
          <w:sz w:val="22"/>
          <w:szCs w:val="22"/>
          <w:rtl w:val="0"/>
        </w:rPr>
        <w:t xml:space="preserve">Table 2. Social factors: opportunities and threats (Uber and Lyft)</w:t>
      </w:r>
      <w:r w:rsidDel="00000000" w:rsidR="00000000" w:rsidRPr="00000000">
        <w:rPr>
          <w:rtl w:val="0"/>
        </w:rPr>
      </w:r>
    </w:p>
    <w:p w:rsidR="00000000" w:rsidDel="00000000" w:rsidP="00000000" w:rsidRDefault="00000000" w:rsidRPr="00000000" w14:paraId="0000005F">
      <w:pPr>
        <w:pStyle w:val="Heading2"/>
        <w:keepNext w:val="0"/>
        <w:keepLines w:val="0"/>
        <w:spacing w:before="360" w:lineRule="auto"/>
        <w:rPr>
          <w:sz w:val="34"/>
          <w:szCs w:val="34"/>
        </w:rPr>
      </w:pPr>
      <w:r w:rsidDel="00000000" w:rsidR="00000000" w:rsidRPr="00000000">
        <w:rPr>
          <w:sz w:val="34"/>
          <w:szCs w:val="34"/>
          <w:rtl w:val="0"/>
        </w:rPr>
        <w:t xml:space="preserve">3.0 Task 2 — How are the platforms strategically responding?</w:t>
      </w:r>
    </w:p>
    <w:p w:rsidR="00000000" w:rsidDel="00000000" w:rsidP="00000000" w:rsidRDefault="00000000" w:rsidRPr="00000000" w14:paraId="00000060">
      <w:pPr>
        <w:jc w:val="center"/>
        <w:rPr/>
      </w:pPr>
      <w:r w:rsidDel="00000000" w:rsidR="00000000" w:rsidRPr="00000000">
        <w:rPr/>
        <w:drawing>
          <wp:inline distB="0" distT="0" distL="0" distR="0">
            <wp:extent cx="4447922" cy="3802117"/>
            <wp:effectExtent b="0" l="0" r="0" t="0"/>
            <wp:docPr descr="Output image" id="3" name="image3.png"/>
            <a:graphic>
              <a:graphicData uri="http://schemas.openxmlformats.org/drawingml/2006/picture">
                <pic:pic>
                  <pic:nvPicPr>
                    <pic:cNvPr descr="Output image" id="0" name="image3.png"/>
                    <pic:cNvPicPr preferRelativeResize="0"/>
                  </pic:nvPicPr>
                  <pic:blipFill>
                    <a:blip r:embed="rId8"/>
                    <a:srcRect b="0" l="0" r="0" t="0"/>
                    <a:stretch>
                      <a:fillRect/>
                    </a:stretch>
                  </pic:blipFill>
                  <pic:spPr>
                    <a:xfrm>
                      <a:off x="0" y="0"/>
                      <a:ext cx="4447922" cy="3802117"/>
                    </a:xfrm>
                    <a:prstGeom prst="rect"/>
                    <a:ln/>
                  </pic:spPr>
                </pic:pic>
              </a:graphicData>
            </a:graphic>
          </wp:inline>
        </w:drawing>
      </w: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This map positions Uber and Lyft along two strategic dimensions: business model diversification and exposure to legal and social risk. Uber’s multi-segment model places it in a lower-risk, high-diversification zone, while Lyft’s focused strategy increases concentration risk despite offering clearer brand differentiation.</w:t>
      </w:r>
    </w:p>
    <w:p w:rsidR="00000000" w:rsidDel="00000000" w:rsidP="00000000" w:rsidRDefault="00000000" w:rsidRPr="00000000" w14:paraId="00000062">
      <w:pPr>
        <w:pStyle w:val="Heading3"/>
        <w:keepNext w:val="0"/>
        <w:keepLines w:val="0"/>
        <w:spacing w:before="280" w:lineRule="auto"/>
        <w:rPr>
          <w:b w:val="1"/>
          <w:bCs w:val="1"/>
          <w:color w:val="000000"/>
          <w:sz w:val="26"/>
          <w:szCs w:val="26"/>
        </w:rPr>
      </w:pPr>
      <w:bookmarkStart w:colFirst="0" w:colLast="0" w:name="_d9ybvomzasfj" w:id="5"/>
      <w:bookmarkEnd w:id="5"/>
      <w:r w:rsidDel="00000000" w:rsidR="00000000" w:rsidRPr="00000000">
        <w:rPr>
          <w:b w:val="1"/>
          <w:bCs w:val="1"/>
          <w:color w:val="000000"/>
          <w:sz w:val="26"/>
          <w:szCs w:val="26"/>
          <w:rtl w:val="0"/>
        </w:rPr>
        <w:t xml:space="preserve">3.1 Uber’s response </w:t>
      </w:r>
    </w:p>
    <w:p w:rsidR="00000000" w:rsidDel="00000000" w:rsidP="00000000" w:rsidRDefault="00000000" w:rsidRPr="00000000" w14:paraId="00000063">
      <w:pPr>
        <w:rPr/>
      </w:pPr>
      <w:r w:rsidDel="00000000" w:rsidR="00000000" w:rsidRPr="00000000">
        <w:rPr>
          <w:b w:val="1"/>
          <w:bCs w:val="1"/>
          <w:rtl w:val="0"/>
        </w:rPr>
        <w:t xml:space="preserve">Business model diversification.</w:t>
      </w:r>
      <w:r w:rsidDel="00000000" w:rsidR="00000000" w:rsidRPr="00000000">
        <w:rPr>
          <w:rtl w:val="0"/>
        </w:rPr>
        <w:t xml:space="preserve"> </w:t>
      </w:r>
      <w:r w:rsidDel="00000000" w:rsidR="00000000" w:rsidRPr="00000000">
        <w:rPr>
          <w:color w:val="111827"/>
          <w:highlight w:val="white"/>
          <w:rtl w:val="0"/>
        </w:rPr>
        <w:t xml:space="preserve">As Uber continues to scale its food delivery service (Eats), freight service and increasingly larger advertising division, it is diversifying away from high-risk concentrated platform exposure. Uber's second quarter 2025 earnings report reflected a profit from operations of over $1.5 Billion and adjusted EBITDA of about $2.1 Billion, along with an approved share repurchase authorization for $20 billion (Uber, 2025). This suggests that multi-segment synergies can sustain profitability even when Mobility faces regulatory friction. The diversified messaging narrative allows Uber to position itself as a multi-modal utility which will soften the "only ride hailing" regulatory target, and provide opportunities for cross promotion (e.g., from Eats to Mobility).</w:t>
      </w:r>
      <w:r w:rsidDel="00000000" w:rsidR="00000000" w:rsidRPr="00000000">
        <w:rPr>
          <w:rtl w:val="0"/>
        </w:rPr>
      </w:r>
    </w:p>
    <w:p w:rsidR="00000000" w:rsidDel="00000000" w:rsidP="00000000" w:rsidRDefault="00000000" w:rsidRPr="00000000" w14:paraId="00000064">
      <w:pPr>
        <w:rPr/>
      </w:pPr>
      <w:r w:rsidDel="00000000" w:rsidR="00000000" w:rsidRPr="00000000">
        <w:rPr>
          <w:b w:val="1"/>
          <w:bCs w:val="1"/>
          <w:rtl w:val="0"/>
        </w:rPr>
        <w:t xml:space="preserve">Partnership posture with cities and transit.</w:t>
      </w:r>
      <w:r w:rsidDel="00000000" w:rsidR="00000000" w:rsidRPr="00000000">
        <w:rPr>
          <w:rtl w:val="0"/>
        </w:rPr>
        <w:t xml:space="preserve"> Under the Uber Transit programme, the company integrates real-time information and ticketing with agencies such as Denver’s RTD, allowing Uber to claim complementarity with public transit and to co-market “complete journeys” (RTD Denver, 2023; American Public Transportation Association, n.d.). This repositioning—from disruptor to collaborator—directly addresses urban social concerns.</w:t>
      </w:r>
    </w:p>
    <w:p w:rsidR="00000000" w:rsidDel="00000000" w:rsidP="00000000" w:rsidRDefault="00000000" w:rsidRPr="00000000" w14:paraId="00000065">
      <w:pPr>
        <w:rPr/>
      </w:pPr>
      <w:r w:rsidDel="00000000" w:rsidR="00000000" w:rsidRPr="00000000">
        <w:rPr>
          <w:b w:val="1"/>
          <w:bCs w:val="1"/>
          <w:rtl w:val="0"/>
        </w:rPr>
        <w:t xml:space="preserve">Safety and communications.</w:t>
      </w:r>
      <w:r w:rsidDel="00000000" w:rsidR="00000000" w:rsidRPr="00000000">
        <w:rPr>
          <w:rtl w:val="0"/>
        </w:rPr>
        <w:t xml:space="preserve"> </w:t>
      </w:r>
      <w:r w:rsidDel="00000000" w:rsidR="00000000" w:rsidRPr="00000000">
        <w:rPr>
          <w:color w:val="111827"/>
          <w:highlight w:val="white"/>
          <w:rtl w:val="0"/>
        </w:rPr>
        <w:t xml:space="preserve">The marketing communications for Uber's in-app safety stack - RideCheck anomaly detection, PIN verification, 911 integration and audio recording pilots - are based on periodic Safety Reports (Uber, 2022). The message architecture emphasizes transparency and tools, aimed at rebuilding trust after previous scandals, and in anticipation of potential future legislative requirements.</w:t>
      </w:r>
      <w:r w:rsidDel="00000000" w:rsidR="00000000" w:rsidRPr="00000000">
        <w:rPr>
          <w:rtl w:val="0"/>
        </w:rPr>
      </w:r>
    </w:p>
    <w:p w:rsidR="00000000" w:rsidDel="00000000" w:rsidP="00000000" w:rsidRDefault="00000000" w:rsidRPr="00000000" w14:paraId="00000066">
      <w:pPr>
        <w:rPr/>
      </w:pPr>
      <w:r w:rsidDel="00000000" w:rsidR="00000000" w:rsidRPr="00000000">
        <w:rPr>
          <w:b w:val="1"/>
          <w:bCs w:val="1"/>
          <w:rtl w:val="0"/>
        </w:rPr>
        <w:t xml:space="preserve">Legal strategy.</w:t>
      </w:r>
      <w:r w:rsidDel="00000000" w:rsidR="00000000" w:rsidRPr="00000000">
        <w:rPr>
          <w:rtl w:val="0"/>
        </w:rPr>
        <w:t xml:space="preserve"> </w:t>
      </w:r>
      <w:r w:rsidDel="00000000" w:rsidR="00000000" w:rsidRPr="00000000">
        <w:rPr>
          <w:color w:val="111827"/>
          <w:highlight w:val="white"/>
          <w:rtl w:val="0"/>
        </w:rPr>
        <w:t xml:space="preserve">Uber’s legal strategy blends defensive and adaptive approaches. Uber has supported ballot initiatives to create legislation (e.g., Proposition 22 in California) and formed alliances with other delivery companies. Additionally, Uber redesigned their benefit structure to support flexible work arrangements, but still meet minimum state and local worker protection standards (California Supreme Court, 2024; Perkins Coie, 2024). When necessary, Uber adjusts its compensation and working conditions for drivers in jurisdictions where they have been subject to judicial review (e.g., the UK) (UK Supreme Court, 2021)</w:t>
      </w:r>
      <w:r w:rsidDel="00000000" w:rsidR="00000000" w:rsidRPr="00000000">
        <w:rPr>
          <w:rtl w:val="0"/>
        </w:rPr>
        <w:t xml:space="preserve">.</w:t>
      </w:r>
    </w:p>
    <w:p w:rsidR="00000000" w:rsidDel="00000000" w:rsidP="00000000" w:rsidRDefault="00000000" w:rsidRPr="00000000" w14:paraId="00000067">
      <w:pPr>
        <w:pStyle w:val="Heading3"/>
        <w:keepNext w:val="0"/>
        <w:keepLines w:val="0"/>
        <w:spacing w:before="280" w:lineRule="auto"/>
        <w:rPr>
          <w:b w:val="1"/>
          <w:bCs w:val="1"/>
          <w:color w:val="000000"/>
          <w:sz w:val="26"/>
          <w:szCs w:val="26"/>
        </w:rPr>
      </w:pPr>
      <w:bookmarkStart w:colFirst="0" w:colLast="0" w:name="_i8d9ysywqtai" w:id="6"/>
      <w:bookmarkEnd w:id="6"/>
      <w:r w:rsidDel="00000000" w:rsidR="00000000" w:rsidRPr="00000000">
        <w:rPr>
          <w:b w:val="1"/>
          <w:bCs w:val="1"/>
          <w:color w:val="000000"/>
          <w:sz w:val="26"/>
          <w:szCs w:val="26"/>
          <w:rtl w:val="0"/>
        </w:rPr>
        <w:t xml:space="preserve">3.2 Lyft’s response — Does a focused transportation thesis still win?</w:t>
      </w:r>
    </w:p>
    <w:p w:rsidR="00000000" w:rsidDel="00000000" w:rsidP="00000000" w:rsidRDefault="00000000" w:rsidRPr="00000000" w14:paraId="00000068">
      <w:pPr>
        <w:rPr/>
      </w:pPr>
      <w:r w:rsidDel="00000000" w:rsidR="00000000" w:rsidRPr="00000000">
        <w:rPr>
          <w:b w:val="1"/>
          <w:bCs w:val="1"/>
          <w:rtl w:val="0"/>
        </w:rPr>
        <w:t xml:space="preserve">Focus on North American transportation.</w:t>
      </w:r>
      <w:r w:rsidDel="00000000" w:rsidR="00000000" w:rsidRPr="00000000">
        <w:rPr>
          <w:rtl w:val="0"/>
        </w:rPr>
        <w:t xml:space="preserve"> Under CEO David Risher (since 2023), Lyft has doubled down on core rides and micromobility, avoiding food delivery to sharpen positioning and unit economics (Lyft, 2025; TIME, 2024). The 2025 shareholder letter highlights product simplification, reduced price shocks, improved pickup times and a stronger emphasis on trust and experience as brand pillars. Media coverage underscores this focus, alongside cost-cutting and selective pricing changes—an alternative to Uber’s diversified approach.</w:t>
      </w:r>
    </w:p>
    <w:p w:rsidR="00000000" w:rsidDel="00000000" w:rsidP="00000000" w:rsidRDefault="00000000" w:rsidRPr="00000000" w14:paraId="00000069">
      <w:pPr>
        <w:rPr/>
      </w:pPr>
      <w:r w:rsidDel="00000000" w:rsidR="00000000" w:rsidRPr="00000000">
        <w:rPr>
          <w:b w:val="1"/>
          <w:bCs w:val="1"/>
          <w:rtl w:val="0"/>
        </w:rPr>
        <w:t xml:space="preserve">Transit partnerships and micromobility.</w:t>
      </w:r>
      <w:r w:rsidDel="00000000" w:rsidR="00000000" w:rsidRPr="00000000">
        <w:rPr>
          <w:rtl w:val="0"/>
        </w:rPr>
        <w:t xml:space="preserve"> Lyft owns or operates major bike-share systems—notably Citi Bike in New York—through its acquisition of Motivate, and partners with transit agencies for first/last-mile services (Lyft, 2018; American Public Transportation Association, n.d.). This allows Lyft to market a “sustainable mobility” narrative and multi-modal convenience without entering adjacent sectors such as food delivery.</w:t>
      </w:r>
    </w:p>
    <w:p w:rsidR="00000000" w:rsidDel="00000000" w:rsidP="00000000" w:rsidRDefault="00000000" w:rsidRPr="00000000" w14:paraId="0000006A">
      <w:pPr>
        <w:rPr/>
      </w:pPr>
      <w:r w:rsidDel="00000000" w:rsidR="00000000" w:rsidRPr="00000000">
        <w:rPr>
          <w:b w:val="1"/>
          <w:bCs w:val="1"/>
          <w:rtl w:val="0"/>
        </w:rPr>
        <w:t xml:space="preserve">Safety and inclusive design.</w:t>
      </w:r>
      <w:r w:rsidDel="00000000" w:rsidR="00000000" w:rsidRPr="00000000">
        <w:rPr>
          <w:rtl w:val="0"/>
        </w:rPr>
        <w:t xml:space="preserve"> </w:t>
      </w:r>
      <w:r w:rsidDel="00000000" w:rsidR="00000000" w:rsidRPr="00000000">
        <w:rPr>
          <w:color w:val="111827"/>
          <w:rtl w:val="0"/>
        </w:rPr>
        <w:t xml:space="preserve">In August 2024, Lyft released its "Women+ Connect" program nationally, which promotes Lyft as being socially conscious of the needs of women and non-binary riders when it comes to safety and comfort (Lyft, 2024). Lyft's marketing efforts and campaigns are promoting the program as a way to differentiate the company from competitors and link the program to the company's ability to establish trust with its customers, including providing lower cancellation rates and higher conversion rates.</w:t>
      </w:r>
      <w:r w:rsidDel="00000000" w:rsidR="00000000" w:rsidRPr="00000000">
        <w:rPr>
          <w:rtl w:val="0"/>
        </w:rPr>
      </w:r>
    </w:p>
    <w:p w:rsidR="00000000" w:rsidDel="00000000" w:rsidP="00000000" w:rsidRDefault="00000000" w:rsidRPr="00000000" w14:paraId="0000006B">
      <w:pPr>
        <w:rPr/>
      </w:pPr>
      <w:r w:rsidDel="00000000" w:rsidR="00000000" w:rsidRPr="00000000">
        <w:rPr>
          <w:b w:val="1"/>
          <w:bCs w:val="1"/>
          <w:rtl w:val="0"/>
        </w:rPr>
        <w:t xml:space="preserve">Legal posture.</w:t>
      </w:r>
      <w:r w:rsidDel="00000000" w:rsidR="00000000" w:rsidRPr="00000000">
        <w:rPr>
          <w:rtl w:val="0"/>
        </w:rPr>
        <w:t xml:space="preserve"> Lyft benefits where </w:t>
      </w:r>
      <w:r w:rsidDel="00000000" w:rsidR="00000000" w:rsidRPr="00000000">
        <w:rPr>
          <w:b w:val="1"/>
          <w:bCs w:val="1"/>
          <w:rtl w:val="0"/>
        </w:rPr>
        <w:t xml:space="preserve">contractor status</w:t>
      </w:r>
      <w:r w:rsidDel="00000000" w:rsidR="00000000" w:rsidRPr="00000000">
        <w:rPr>
          <w:rtl w:val="0"/>
        </w:rPr>
        <w:t xml:space="preserve"> remains intact (e.g., under Proposition 22 in California), but—being less diversified—faces </w:t>
      </w:r>
      <w:r w:rsidDel="00000000" w:rsidR="00000000" w:rsidRPr="00000000">
        <w:rPr>
          <w:b w:val="1"/>
          <w:bCs w:val="1"/>
          <w:rtl w:val="0"/>
        </w:rPr>
        <w:t xml:space="preserve">higher exposure</w:t>
      </w:r>
      <w:r w:rsidDel="00000000" w:rsidR="00000000" w:rsidRPr="00000000">
        <w:rPr>
          <w:rtl w:val="0"/>
        </w:rPr>
        <w:t xml:space="preserve"> to ride-hailing-specific regulation such as pay floors and caps (California Supreme Court, 2024). Its response emphasises </w:t>
      </w:r>
      <w:r w:rsidDel="00000000" w:rsidR="00000000" w:rsidRPr="00000000">
        <w:rPr>
          <w:b w:val="1"/>
          <w:bCs w:val="1"/>
          <w:rtl w:val="0"/>
        </w:rPr>
        <w:t xml:space="preserve">fairness within flexibility</w:t>
      </w:r>
      <w:r w:rsidDel="00000000" w:rsidR="00000000" w:rsidRPr="00000000">
        <w:rPr>
          <w:rtl w:val="0"/>
        </w:rPr>
        <w:t xml:space="preserve"> narratives and collaboration with city programmes, including transit integration. In markets where worker status is mandated (UK/EU), Lyft would face similar adaptations to Uber, but with fewer adjacent segment buffers.</w:t>
      </w:r>
      <w:r w:rsidDel="00000000" w:rsidR="00000000" w:rsidRPr="00000000">
        <w:rPr>
          <w:rtl w:val="0"/>
        </w:rPr>
      </w:r>
    </w:p>
    <w:tbl>
      <w:tblPr>
        <w:tblStyle w:val="Table3"/>
        <w:tblW w:w="936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885"/>
        <w:gridCol w:w="2135"/>
        <w:gridCol w:w="2527"/>
        <w:gridCol w:w="2813"/>
        <w:tblGridChange w:id="0">
          <w:tblGrid>
            <w:gridCol w:w="1885"/>
            <w:gridCol w:w="2135"/>
            <w:gridCol w:w="2527"/>
            <w:gridCol w:w="2813"/>
          </w:tblGrid>
        </w:tblGridChange>
      </w:tblGrid>
      <w:tr>
        <w:trPr>
          <w:cantSplit w:val="0"/>
          <w:trHeight w:val="500" w:hRule="atLeast"/>
          <w:tblHeader w:val="0"/>
        </w:trPr>
        <w:tc>
          <w:tcPr/>
          <w:p w:rsidR="00000000" w:rsidDel="00000000" w:rsidP="00000000" w:rsidRDefault="00000000" w:rsidRPr="00000000" w14:paraId="0000006C">
            <w:pPr>
              <w:rPr/>
            </w:pPr>
            <w:r w:rsidDel="00000000" w:rsidR="00000000" w:rsidRPr="00000000">
              <w:rPr>
                <w:rtl w:val="0"/>
              </w:rPr>
              <w:t xml:space="preserve">Feature theme</w:t>
            </w:r>
          </w:p>
        </w:tc>
        <w:tc>
          <w:tcPr/>
          <w:p w:rsidR="00000000" w:rsidDel="00000000" w:rsidP="00000000" w:rsidRDefault="00000000" w:rsidRPr="00000000" w14:paraId="0000006D">
            <w:pPr>
              <w:rPr/>
            </w:pPr>
            <w:r w:rsidDel="00000000" w:rsidR="00000000" w:rsidRPr="00000000">
              <w:rPr>
                <w:rtl w:val="0"/>
              </w:rPr>
              <w:t xml:space="preserve">Uber (positioning)</w:t>
            </w:r>
          </w:p>
        </w:tc>
        <w:tc>
          <w:tcPr/>
          <w:p w:rsidR="00000000" w:rsidDel="00000000" w:rsidP="00000000" w:rsidRDefault="00000000" w:rsidRPr="00000000" w14:paraId="0000006E">
            <w:pPr>
              <w:rPr/>
            </w:pPr>
            <w:r w:rsidDel="00000000" w:rsidR="00000000" w:rsidRPr="00000000">
              <w:rPr>
                <w:rtl w:val="0"/>
              </w:rPr>
              <w:t xml:space="preserve">Lyft (positioning)</w:t>
            </w:r>
          </w:p>
        </w:tc>
        <w:tc>
          <w:tcPr/>
          <w:p w:rsidR="00000000" w:rsidDel="00000000" w:rsidP="00000000" w:rsidRDefault="00000000" w:rsidRPr="00000000" w14:paraId="0000006F">
            <w:pPr>
              <w:rPr/>
            </w:pPr>
            <w:r w:rsidDel="00000000" w:rsidR="00000000" w:rsidRPr="00000000">
              <w:rPr>
                <w:rtl w:val="0"/>
              </w:rPr>
              <w:t xml:space="preserve">Likely marketing impact</w:t>
            </w:r>
          </w:p>
        </w:tc>
      </w:tr>
      <w:tr>
        <w:trPr>
          <w:cantSplit w:val="0"/>
          <w:trHeight w:val="1610" w:hRule="atLeast"/>
          <w:tblHeader w:val="0"/>
        </w:trPr>
        <w:tc>
          <w:tcPr/>
          <w:p w:rsidR="00000000" w:rsidDel="00000000" w:rsidP="00000000" w:rsidRDefault="00000000" w:rsidRPr="00000000" w14:paraId="00000070">
            <w:pPr>
              <w:rPr/>
            </w:pPr>
            <w:r w:rsidDel="00000000" w:rsidR="00000000" w:rsidRPr="00000000">
              <w:rPr>
                <w:rtl w:val="0"/>
              </w:rPr>
              <w:t xml:space="preserve">Real-time safety and verification</w:t>
            </w:r>
          </w:p>
        </w:tc>
        <w:tc>
          <w:tcPr/>
          <w:p w:rsidR="00000000" w:rsidDel="00000000" w:rsidP="00000000" w:rsidRDefault="00000000" w:rsidRPr="00000000" w14:paraId="00000071">
            <w:pPr>
              <w:rPr/>
            </w:pPr>
            <w:r w:rsidDel="00000000" w:rsidR="00000000" w:rsidRPr="00000000">
              <w:rPr>
                <w:rtl w:val="0"/>
              </w:rPr>
              <w:t xml:space="preserve">RideCheck anomaly detection, PIN verification, in-app 911 and audio-recording pilots.</w:t>
            </w:r>
          </w:p>
        </w:tc>
        <w:tc>
          <w:tcPr/>
          <w:p w:rsidR="00000000" w:rsidDel="00000000" w:rsidP="00000000" w:rsidRDefault="00000000" w:rsidRPr="00000000" w14:paraId="00000072">
            <w:pPr>
              <w:rPr/>
            </w:pPr>
            <w:r w:rsidDel="00000000" w:rsidR="00000000" w:rsidRPr="00000000">
              <w:rPr>
                <w:rtl w:val="0"/>
              </w:rPr>
              <w:t xml:space="preserve">In-app 911 and proactive communications about safe, respectful rides.</w:t>
            </w:r>
          </w:p>
        </w:tc>
        <w:tc>
          <w:tcPr/>
          <w:p w:rsidR="00000000" w:rsidDel="00000000" w:rsidP="00000000" w:rsidRDefault="00000000" w:rsidRPr="00000000" w14:paraId="00000073">
            <w:pPr>
              <w:rPr/>
            </w:pPr>
            <w:r w:rsidDel="00000000" w:rsidR="00000000" w:rsidRPr="00000000">
              <w:rPr>
                <w:rtl w:val="0"/>
              </w:rPr>
              <w:t xml:space="preserve">Signals tooling-led safety to rebuild trust and supports regulator dialogues (Uber, 2022).</w:t>
            </w:r>
          </w:p>
        </w:tc>
      </w:tr>
      <w:tr>
        <w:trPr>
          <w:cantSplit w:val="0"/>
          <w:trHeight w:val="1880" w:hRule="atLeast"/>
          <w:tblHeader w:val="0"/>
        </w:trPr>
        <w:tc>
          <w:tcPr/>
          <w:p w:rsidR="00000000" w:rsidDel="00000000" w:rsidP="00000000" w:rsidRDefault="00000000" w:rsidRPr="00000000" w14:paraId="00000074">
            <w:pPr>
              <w:rPr/>
            </w:pPr>
            <w:r w:rsidDel="00000000" w:rsidR="00000000" w:rsidRPr="00000000">
              <w:rPr>
                <w:rtl w:val="0"/>
              </w:rPr>
              <w:t xml:space="preserve">Gender-responsive options</w:t>
            </w:r>
          </w:p>
        </w:tc>
        <w:tc>
          <w:tcPr/>
          <w:p w:rsidR="00000000" w:rsidDel="00000000" w:rsidP="00000000" w:rsidRDefault="00000000" w:rsidRPr="00000000" w14:paraId="00000075">
            <w:pPr>
              <w:rPr/>
            </w:pPr>
            <w:r w:rsidDel="00000000" w:rsidR="00000000" w:rsidRPr="00000000">
              <w:rPr>
                <w:rtl w:val="0"/>
              </w:rPr>
              <w:t xml:space="preserve">Pilots of women-driver preference features in selected markets.</w:t>
            </w:r>
          </w:p>
        </w:tc>
        <w:tc>
          <w:tcPr/>
          <w:p w:rsidR="00000000" w:rsidDel="00000000" w:rsidP="00000000" w:rsidRDefault="00000000" w:rsidRPr="00000000" w14:paraId="00000076">
            <w:pPr>
              <w:rPr/>
            </w:pPr>
            <w:r w:rsidDel="00000000" w:rsidR="00000000" w:rsidRPr="00000000">
              <w:rPr>
                <w:rtl w:val="0"/>
              </w:rPr>
              <w:t xml:space="preserve">Women+ Connect nationwide in the US from 2024, heavily marketed via digital and OOH.</w:t>
            </w:r>
          </w:p>
        </w:tc>
        <w:tc>
          <w:tcPr/>
          <w:p w:rsidR="00000000" w:rsidDel="00000000" w:rsidP="00000000" w:rsidRDefault="00000000" w:rsidRPr="00000000" w14:paraId="00000077">
            <w:pPr>
              <w:rPr/>
            </w:pPr>
            <w:r w:rsidDel="00000000" w:rsidR="00000000" w:rsidRPr="00000000">
              <w:rPr>
                <w:rtl w:val="0"/>
              </w:rPr>
              <w:t xml:space="preserve">Appeals to safety-sensitive segments; offers positioning advantages for Lyft in the US (Lyft, 2024; Barron’s, 2024). </w:t>
            </w:r>
            <w:r w:rsidDel="00000000" w:rsidR="00000000" w:rsidRPr="00000000">
              <w:rPr>
                <w:rtl w:val="0"/>
              </w:rPr>
            </w:r>
          </w:p>
        </w:tc>
      </w:tr>
      <w:tr>
        <w:trPr>
          <w:cantSplit w:val="0"/>
          <w:trHeight w:val="1610" w:hRule="atLeast"/>
          <w:tblHeader w:val="0"/>
        </w:trPr>
        <w:tc>
          <w:tcPr/>
          <w:p w:rsidR="00000000" w:rsidDel="00000000" w:rsidP="00000000" w:rsidRDefault="00000000" w:rsidRPr="00000000" w14:paraId="00000078">
            <w:pPr>
              <w:rPr/>
            </w:pPr>
            <w:r w:rsidDel="00000000" w:rsidR="00000000" w:rsidRPr="00000000">
              <w:rPr>
                <w:rtl w:val="0"/>
              </w:rPr>
              <w:t xml:space="preserve">Transparency reporting</w:t>
            </w:r>
          </w:p>
        </w:tc>
        <w:tc>
          <w:tcPr/>
          <w:p w:rsidR="00000000" w:rsidDel="00000000" w:rsidP="00000000" w:rsidRDefault="00000000" w:rsidRPr="00000000" w14:paraId="00000079">
            <w:pPr>
              <w:rPr/>
            </w:pPr>
            <w:r w:rsidDel="00000000" w:rsidR="00000000" w:rsidRPr="00000000">
              <w:rPr>
                <w:rtl w:val="0"/>
              </w:rPr>
              <w:t xml:space="preserve">Periodic U.S. Safety Reports with external expert review.</w:t>
            </w:r>
          </w:p>
        </w:tc>
        <w:tc>
          <w:tcPr/>
          <w:p w:rsidR="00000000" w:rsidDel="00000000" w:rsidP="00000000" w:rsidRDefault="00000000" w:rsidRPr="00000000" w14:paraId="0000007A">
            <w:pPr>
              <w:rPr/>
            </w:pPr>
            <w:r w:rsidDel="00000000" w:rsidR="00000000" w:rsidRPr="00000000">
              <w:rPr>
                <w:rtl w:val="0"/>
              </w:rPr>
              <w:t xml:space="preserve">Safety communications and feature spotlights, with increasing transparency over time.</w:t>
            </w:r>
          </w:p>
        </w:tc>
        <w:tc>
          <w:tcPr/>
          <w:p w:rsidR="00000000" w:rsidDel="00000000" w:rsidP="00000000" w:rsidRDefault="00000000" w:rsidRPr="00000000" w14:paraId="0000007B">
            <w:pPr>
              <w:rPr/>
            </w:pPr>
            <w:r w:rsidDel="00000000" w:rsidR="00000000" w:rsidRPr="00000000">
              <w:rPr>
                <w:rtl w:val="0"/>
              </w:rPr>
              <w:t xml:space="preserve">Builds institutional credibility and reframes incident discussions around continuous improvement (Uber, 2022).</w:t>
            </w:r>
          </w:p>
        </w:tc>
      </w:tr>
    </w:tbl>
    <w:p w:rsidR="00000000" w:rsidDel="00000000" w:rsidP="00000000" w:rsidRDefault="00000000" w:rsidRPr="00000000" w14:paraId="0000007C">
      <w:pPr>
        <w:jc w:val="center"/>
        <w:rPr/>
      </w:pPr>
      <w:r w:rsidDel="00000000" w:rsidR="00000000" w:rsidRPr="00000000">
        <w:rPr>
          <w:rtl w:val="0"/>
        </w:rPr>
        <w:t xml:space="preserve">Table 3. How do they market safety features?</w:t>
      </w:r>
    </w:p>
    <w:p w:rsidR="00000000" w:rsidDel="00000000" w:rsidP="00000000" w:rsidRDefault="00000000" w:rsidRPr="00000000" w14:paraId="0000007D">
      <w:pPr>
        <w:spacing w:after="160" w:before="0" w:line="278.00000000000006" w:lineRule="auto"/>
        <w:jc w:val="left"/>
        <w:rPr>
          <w:b w:val="1"/>
          <w:bCs w:val="1"/>
          <w:sz w:val="34"/>
          <w:szCs w:val="34"/>
        </w:rPr>
      </w:pPr>
      <w:bookmarkStart w:colFirst="0" w:colLast="0" w:name="_lz7ynnqv2amt" w:id="7"/>
      <w:bookmarkEnd w:id="7"/>
      <w:r w:rsidDel="00000000" w:rsidR="00000000" w:rsidRPr="00000000">
        <w:rPr>
          <w:rtl w:val="0"/>
        </w:rPr>
      </w:r>
    </w:p>
    <w:p w:rsidR="00000000" w:rsidDel="00000000" w:rsidP="00000000" w:rsidRDefault="00000000" w:rsidRPr="00000000" w14:paraId="0000007E">
      <w:pPr>
        <w:pStyle w:val="Heading2"/>
        <w:keepNext w:val="0"/>
        <w:keepLines w:val="0"/>
        <w:spacing w:before="360" w:lineRule="auto"/>
        <w:rPr>
          <w:sz w:val="34"/>
          <w:szCs w:val="34"/>
        </w:rPr>
      </w:pPr>
      <w:r w:rsidDel="00000000" w:rsidR="00000000" w:rsidRPr="00000000">
        <w:br w:type="page"/>
      </w:r>
      <w:r w:rsidDel="00000000" w:rsidR="00000000" w:rsidRPr="00000000">
        <w:rPr>
          <w:rtl w:val="0"/>
        </w:rPr>
      </w:r>
    </w:p>
    <w:p w:rsidR="00000000" w:rsidDel="00000000" w:rsidP="00000000" w:rsidRDefault="00000000" w:rsidRPr="00000000" w14:paraId="0000007F">
      <w:pPr>
        <w:pStyle w:val="Heading2"/>
        <w:keepNext w:val="0"/>
        <w:keepLines w:val="0"/>
        <w:spacing w:before="360" w:lineRule="auto"/>
        <w:rPr>
          <w:sz w:val="34"/>
          <w:szCs w:val="34"/>
        </w:rPr>
      </w:pPr>
      <w:r w:rsidDel="00000000" w:rsidR="00000000" w:rsidRPr="00000000">
        <w:rPr>
          <w:sz w:val="34"/>
          <w:szCs w:val="34"/>
          <w:rtl w:val="0"/>
        </w:rPr>
        <w:t xml:space="preserve">4.0 Conclusion </w:t>
      </w:r>
    </w:p>
    <w:p w:rsidR="00000000" w:rsidDel="00000000" w:rsidP="00000000" w:rsidRDefault="00000000" w:rsidRPr="00000000" w14:paraId="00000080">
      <w:pPr>
        <w:rPr/>
      </w:pPr>
      <w:r w:rsidDel="00000000" w:rsidR="00000000" w:rsidRPr="00000000">
        <w:rPr>
          <w:rtl w:val="0"/>
        </w:rPr>
        <w:t xml:space="preserve">The competitive advantage in ride sharing is now more often based upon a company's legal and social legitimacy as opposed to its technological innovation. Markets differ sharply: some protect contractor flexibility, others impose worker-style standards, and many cities add pay floors, caps, and airport fees that reshape pricing and margins. As the pioneer in this market, Uber has developed an adaptable business model and collaborated with local transit organizations to demonstrate resiliency and support its "Mobility Platform" position. As a second-mover in the market, Lyft has a more focused approach to North America's transportation needs, which has created clarity around brand identity; however, this clarity also places Lyft at greater risk of being impacted by future regulatory changes specific to ride hailing. Across the sector, credible safety measures, fair compensation, transparent pricing and proactive transit partnerships are essential to building trust. Strategic responses must adapt locally while reinforcing reliability, inclusion and responsible platform behaviour.</w:t>
      </w:r>
    </w:p>
    <w:p w:rsidR="00000000" w:rsidDel="00000000" w:rsidP="00000000" w:rsidRDefault="00000000" w:rsidRPr="00000000" w14:paraId="00000081">
      <w:pPr>
        <w:spacing w:after="160" w:before="0"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1"/>
        <w:rPr/>
      </w:pPr>
      <w:r w:rsidDel="00000000" w:rsidR="00000000" w:rsidRPr="00000000">
        <w:rPr>
          <w:rtl w:val="0"/>
        </w:rPr>
        <w:t xml:space="preserve">References</w:t>
      </w:r>
    </w:p>
    <w:p w:rsidR="00000000" w:rsidDel="00000000" w:rsidP="00000000" w:rsidRDefault="00000000" w:rsidRPr="00000000" w14:paraId="00000083">
      <w:pPr>
        <w:rPr>
          <w:color w:val="000000"/>
          <w:u w:val="single"/>
        </w:rPr>
      </w:pPr>
      <w:r w:rsidDel="00000000" w:rsidR="00000000" w:rsidRPr="00000000">
        <w:rPr>
          <w:color w:val="000000"/>
          <w:rtl w:val="0"/>
        </w:rPr>
        <w:t xml:space="preserve">American Public Transportation Association (n.d.) </w:t>
      </w:r>
      <w:r w:rsidDel="00000000" w:rsidR="00000000" w:rsidRPr="00000000">
        <w:rPr>
          <w:i w:val="1"/>
          <w:iCs w:val="1"/>
          <w:color w:val="000000"/>
          <w:rtl w:val="0"/>
        </w:rPr>
        <w:t xml:space="preserve">Transit and TNC partnerships.</w:t>
      </w:r>
      <w:r w:rsidDel="00000000" w:rsidR="00000000" w:rsidRPr="00000000">
        <w:rPr>
          <w:color w:val="000000"/>
          <w:rtl w:val="0"/>
        </w:rPr>
        <w:t xml:space="preserve"> Available at: https://www.apta.com/research-technical-resources/mobility-innovation-hub/transit-and-tnc-partnerships/ (Accessed: 17 November 2025). </w:t>
      </w:r>
      <w:r w:rsidDel="00000000" w:rsidR="00000000" w:rsidRPr="00000000">
        <w:rPr>
          <w:rtl w:val="0"/>
        </w:rPr>
      </w:r>
    </w:p>
    <w:p w:rsidR="00000000" w:rsidDel="00000000" w:rsidP="00000000" w:rsidRDefault="00000000" w:rsidRPr="00000000" w14:paraId="00000084">
      <w:pPr>
        <w:rPr>
          <w:color w:val="000000"/>
        </w:rPr>
      </w:pPr>
      <w:r w:rsidDel="00000000" w:rsidR="00000000" w:rsidRPr="00000000">
        <w:rPr>
          <w:color w:val="000000"/>
          <w:rtl w:val="0"/>
        </w:rPr>
        <w:t xml:space="preserve">California Supreme Court (2024) </w:t>
      </w:r>
      <w:r w:rsidDel="00000000" w:rsidR="00000000" w:rsidRPr="00000000">
        <w:rPr>
          <w:i w:val="1"/>
          <w:iCs w:val="1"/>
          <w:color w:val="000000"/>
          <w:rtl w:val="0"/>
        </w:rPr>
        <w:t xml:space="preserve">Castellanos v. State of California, 16 Cal.5th 588 (Prop 22).</w:t>
      </w:r>
      <w:r w:rsidDel="00000000" w:rsidR="00000000" w:rsidRPr="00000000">
        <w:rPr>
          <w:color w:val="000000"/>
          <w:rtl w:val="0"/>
        </w:rPr>
        <w:t xml:space="preserve"> Press summary and opinion. Available via: https://lerachapter.org/ (Accessed: 17 November 2025).</w:t>
      </w:r>
    </w:p>
    <w:p w:rsidR="00000000" w:rsidDel="00000000" w:rsidP="00000000" w:rsidRDefault="00000000" w:rsidRPr="00000000" w14:paraId="00000085">
      <w:pPr>
        <w:rPr>
          <w:color w:val="000000"/>
          <w:u w:val="single"/>
        </w:rPr>
      </w:pPr>
      <w:r w:rsidDel="00000000" w:rsidR="00000000" w:rsidRPr="00000000">
        <w:rPr>
          <w:color w:val="000000"/>
          <w:rtl w:val="0"/>
        </w:rPr>
        <w:t xml:space="preserve">European Union (2024) </w:t>
      </w:r>
      <w:r w:rsidDel="00000000" w:rsidR="00000000" w:rsidRPr="00000000">
        <w:rPr>
          <w:i w:val="1"/>
          <w:iCs w:val="1"/>
          <w:color w:val="000000"/>
          <w:rtl w:val="0"/>
        </w:rPr>
        <w:t xml:space="preserve">Directive (EU) 2024/2831 of the European Parliament and of the Council of 23 October 2024 on improving working conditions in platform work.</w:t>
      </w:r>
      <w:r w:rsidDel="00000000" w:rsidR="00000000" w:rsidRPr="00000000">
        <w:rPr>
          <w:color w:val="000000"/>
          <w:rtl w:val="0"/>
        </w:rPr>
        <w:t xml:space="preserve"> Official Journal of the European Union. Available at: https://eur-lex.europa.eu/eli/dir/2024/2831/eng (Accessed: 17 November 2025). </w:t>
      </w:r>
      <w:r w:rsidDel="00000000" w:rsidR="00000000" w:rsidRPr="00000000">
        <w:rPr>
          <w:rtl w:val="0"/>
        </w:rPr>
      </w:r>
    </w:p>
    <w:p w:rsidR="00000000" w:rsidDel="00000000" w:rsidP="00000000" w:rsidRDefault="00000000" w:rsidRPr="00000000" w14:paraId="00000086">
      <w:pPr>
        <w:rPr>
          <w:color w:val="000000"/>
          <w:u w:val="single"/>
        </w:rPr>
      </w:pPr>
      <w:r w:rsidDel="00000000" w:rsidR="00000000" w:rsidRPr="00000000">
        <w:rPr>
          <w:color w:val="000000"/>
          <w:rtl w:val="0"/>
        </w:rPr>
        <w:t xml:space="preserve">Hall, J.D., Palsson, C. and Price, J. (2018) ‘Is Uber a substitute or complement for public transit?’, </w:t>
      </w:r>
      <w:r w:rsidDel="00000000" w:rsidR="00000000" w:rsidRPr="00000000">
        <w:rPr>
          <w:i w:val="1"/>
          <w:iCs w:val="1"/>
          <w:color w:val="000000"/>
          <w:rtl w:val="0"/>
        </w:rPr>
        <w:t xml:space="preserve">Journal of Urban Economics</w:t>
      </w:r>
      <w:r w:rsidDel="00000000" w:rsidR="00000000" w:rsidRPr="00000000">
        <w:rPr>
          <w:color w:val="000000"/>
          <w:rtl w:val="0"/>
        </w:rPr>
        <w:t xml:space="preserve">, 108, pp. 36–50. Open-access version available at: https://digitalcommons.usu.edu/econ_facpubs/940/ (Accessed: 17 November 2025). </w:t>
      </w:r>
      <w:r w:rsidDel="00000000" w:rsidR="00000000" w:rsidRPr="00000000">
        <w:rPr>
          <w:rtl w:val="0"/>
        </w:rPr>
      </w:r>
    </w:p>
    <w:p w:rsidR="00000000" w:rsidDel="00000000" w:rsidP="00000000" w:rsidRDefault="00000000" w:rsidRPr="00000000" w14:paraId="00000087">
      <w:pPr>
        <w:rPr>
          <w:color w:val="000000"/>
          <w:u w:val="single"/>
        </w:rPr>
      </w:pPr>
      <w:r w:rsidDel="00000000" w:rsidR="00000000" w:rsidRPr="00000000">
        <w:rPr>
          <w:color w:val="000000"/>
          <w:rtl w:val="0"/>
        </w:rPr>
        <w:t xml:space="preserve">Lyft (2018) ‘Introducing Lyft Bikes: Agreement to acquire Motivate.’ </w:t>
      </w:r>
      <w:r w:rsidDel="00000000" w:rsidR="00000000" w:rsidRPr="00000000">
        <w:rPr>
          <w:i w:val="1"/>
          <w:iCs w:val="1"/>
          <w:color w:val="000000"/>
          <w:rtl w:val="0"/>
        </w:rPr>
        <w:t xml:space="preserve">Lyft News</w:t>
      </w:r>
      <w:r w:rsidDel="00000000" w:rsidR="00000000" w:rsidRPr="00000000">
        <w:rPr>
          <w:color w:val="000000"/>
          <w:rtl w:val="0"/>
        </w:rPr>
        <w:t xml:space="preserve">, 2 July. Available at: https://www.lyft.com/blog/posts/lyft-to-acquire-us-bikeshare-leader (Accessed: 17 November 2025). </w:t>
      </w:r>
      <w:r w:rsidDel="00000000" w:rsidR="00000000" w:rsidRPr="00000000">
        <w:rPr>
          <w:rtl w:val="0"/>
        </w:rPr>
      </w:r>
    </w:p>
    <w:p w:rsidR="00000000" w:rsidDel="00000000" w:rsidP="00000000" w:rsidRDefault="00000000" w:rsidRPr="00000000" w14:paraId="00000088">
      <w:pPr>
        <w:rPr>
          <w:color w:val="000000"/>
          <w:u w:val="single"/>
        </w:rPr>
      </w:pPr>
      <w:r w:rsidDel="00000000" w:rsidR="00000000" w:rsidRPr="00000000">
        <w:rPr>
          <w:color w:val="000000"/>
          <w:rtl w:val="0"/>
        </w:rPr>
        <w:t xml:space="preserve">Lyft (2024) ‘Lyft’s Women+ Connect is now available nationwide.’ </w:t>
      </w:r>
      <w:r w:rsidDel="00000000" w:rsidR="00000000" w:rsidRPr="00000000">
        <w:rPr>
          <w:i w:val="1"/>
          <w:iCs w:val="1"/>
          <w:color w:val="000000"/>
          <w:rtl w:val="0"/>
        </w:rPr>
        <w:t xml:space="preserve">Lyft News</w:t>
      </w:r>
      <w:r w:rsidDel="00000000" w:rsidR="00000000" w:rsidRPr="00000000">
        <w:rPr>
          <w:color w:val="000000"/>
          <w:rtl w:val="0"/>
        </w:rPr>
        <w:t xml:space="preserve">, 13 February. Available at: https://www.lyft.com/blog/posts/lyfts-popular-women-connect-feature-is-now-available-nationwide (Accessed: 17 November 2025). </w:t>
      </w:r>
      <w:r w:rsidDel="00000000" w:rsidR="00000000" w:rsidRPr="00000000">
        <w:rPr>
          <w:rtl w:val="0"/>
        </w:rPr>
      </w:r>
    </w:p>
    <w:p w:rsidR="00000000" w:rsidDel="00000000" w:rsidP="00000000" w:rsidRDefault="00000000" w:rsidRPr="00000000" w14:paraId="00000089">
      <w:pPr>
        <w:rPr>
          <w:color w:val="000000"/>
          <w:u w:val="single"/>
        </w:rPr>
      </w:pPr>
      <w:r w:rsidDel="00000000" w:rsidR="00000000" w:rsidRPr="00000000">
        <w:rPr>
          <w:color w:val="000000"/>
          <w:rtl w:val="0"/>
        </w:rPr>
        <w:t xml:space="preserve">Lyft (2025) ‘CEO David Risher’s annual letter to shareholders.’ </w:t>
      </w:r>
      <w:r w:rsidDel="00000000" w:rsidR="00000000" w:rsidRPr="00000000">
        <w:rPr>
          <w:i w:val="1"/>
          <w:iCs w:val="1"/>
          <w:color w:val="000000"/>
          <w:rtl w:val="0"/>
        </w:rPr>
        <w:t xml:space="preserve">Lyft News.</w:t>
      </w:r>
      <w:r w:rsidDel="00000000" w:rsidR="00000000" w:rsidRPr="00000000">
        <w:rPr>
          <w:color w:val="000000"/>
          <w:rtl w:val="0"/>
        </w:rPr>
        <w:t xml:space="preserve"> Available at: https://www.lyft.com/blog/posts/letter-to-shareholders (Accessed: 17 November 2025). </w:t>
      </w:r>
      <w:r w:rsidDel="00000000" w:rsidR="00000000" w:rsidRPr="00000000">
        <w:rPr>
          <w:rtl w:val="0"/>
        </w:rPr>
      </w:r>
    </w:p>
    <w:p w:rsidR="00000000" w:rsidDel="00000000" w:rsidP="00000000" w:rsidRDefault="00000000" w:rsidRPr="00000000" w14:paraId="0000008A">
      <w:pPr>
        <w:rPr>
          <w:color w:val="000000"/>
          <w:u w:val="single"/>
        </w:rPr>
      </w:pPr>
      <w:r w:rsidDel="00000000" w:rsidR="00000000" w:rsidRPr="00000000">
        <w:rPr>
          <w:color w:val="000000"/>
          <w:rtl w:val="0"/>
        </w:rPr>
        <w:t xml:space="preserve">New York City Taxi &amp; Limousine Commission (2025) </w:t>
      </w:r>
      <w:r w:rsidDel="00000000" w:rsidR="00000000" w:rsidRPr="00000000">
        <w:rPr>
          <w:i w:val="1"/>
          <w:iCs w:val="1"/>
          <w:color w:val="000000"/>
          <w:rtl w:val="0"/>
        </w:rPr>
        <w:t xml:space="preserve">Driver pay – high-volume for-hire services.</w:t>
      </w:r>
      <w:r w:rsidDel="00000000" w:rsidR="00000000" w:rsidRPr="00000000">
        <w:rPr>
          <w:color w:val="000000"/>
          <w:rtl w:val="0"/>
        </w:rPr>
        <w:t xml:space="preserve"> New York City Government. Available at: https://www.nyc.gov/site/tlc/about/driver-pay.page (Accessed: 17 November 2025). </w:t>
      </w:r>
      <w:r w:rsidDel="00000000" w:rsidR="00000000" w:rsidRPr="00000000">
        <w:rPr>
          <w:rtl w:val="0"/>
        </w:rPr>
      </w:r>
    </w:p>
    <w:p w:rsidR="00000000" w:rsidDel="00000000" w:rsidP="00000000" w:rsidRDefault="00000000" w:rsidRPr="00000000" w14:paraId="0000008B">
      <w:pPr>
        <w:rPr>
          <w:color w:val="000000"/>
          <w:u w:val="single"/>
        </w:rPr>
      </w:pPr>
      <w:r w:rsidDel="00000000" w:rsidR="00000000" w:rsidRPr="00000000">
        <w:rPr>
          <w:color w:val="000000"/>
          <w:rtl w:val="0"/>
        </w:rPr>
        <w:t xml:space="preserve">San Francisco County Transportation Authority (2019) </w:t>
      </w:r>
      <w:r w:rsidDel="00000000" w:rsidR="00000000" w:rsidRPr="00000000">
        <w:rPr>
          <w:i w:val="1"/>
          <w:iCs w:val="1"/>
          <w:color w:val="000000"/>
          <w:rtl w:val="0"/>
        </w:rPr>
        <w:t xml:space="preserve">TNCs &amp; congestion.</w:t>
      </w:r>
      <w:r w:rsidDel="00000000" w:rsidR="00000000" w:rsidRPr="00000000">
        <w:rPr>
          <w:color w:val="000000"/>
          <w:rtl w:val="0"/>
        </w:rPr>
        <w:t xml:space="preserve"> San Francisco: SFCTA. Available at: https://www.sfcta.org/projects/tncs-and-congestion (Accessed: 17 November 2025).</w:t>
      </w:r>
      <w:r w:rsidDel="00000000" w:rsidR="00000000" w:rsidRPr="00000000">
        <w:rPr>
          <w:rtl w:val="0"/>
        </w:rPr>
      </w:r>
    </w:p>
    <w:p w:rsidR="00000000" w:rsidDel="00000000" w:rsidP="00000000" w:rsidRDefault="00000000" w:rsidRPr="00000000" w14:paraId="0000008C">
      <w:pPr>
        <w:rPr>
          <w:color w:val="000000"/>
          <w:u w:val="single"/>
        </w:rPr>
      </w:pPr>
      <w:r w:rsidDel="00000000" w:rsidR="00000000" w:rsidRPr="00000000">
        <w:rPr>
          <w:color w:val="000000"/>
          <w:rtl w:val="0"/>
        </w:rPr>
        <w:t xml:space="preserve">Schor, J.B. et al. (2020) ‘Dependence and precarity in the platform economy’, </w:t>
      </w:r>
      <w:r w:rsidDel="00000000" w:rsidR="00000000" w:rsidRPr="00000000">
        <w:rPr>
          <w:i w:val="1"/>
          <w:iCs w:val="1"/>
          <w:color w:val="000000"/>
          <w:rtl w:val="0"/>
        </w:rPr>
        <w:t xml:space="preserve">Theory and Society</w:t>
      </w:r>
      <w:r w:rsidDel="00000000" w:rsidR="00000000" w:rsidRPr="00000000">
        <w:rPr>
          <w:color w:val="000000"/>
          <w:rtl w:val="0"/>
        </w:rPr>
        <w:t xml:space="preserve">, 49(5–6), pp. 833–861.</w:t>
      </w:r>
      <w:r w:rsidDel="00000000" w:rsidR="00000000" w:rsidRPr="00000000">
        <w:rPr>
          <w:rtl w:val="0"/>
        </w:rPr>
      </w:r>
    </w:p>
    <w:p w:rsidR="00000000" w:rsidDel="00000000" w:rsidP="00000000" w:rsidRDefault="00000000" w:rsidRPr="00000000" w14:paraId="0000008D">
      <w:pPr>
        <w:rPr>
          <w:color w:val="000000"/>
          <w:u w:val="single"/>
        </w:rPr>
      </w:pPr>
      <w:r w:rsidDel="00000000" w:rsidR="00000000" w:rsidRPr="00000000">
        <w:rPr>
          <w:color w:val="000000"/>
          <w:rtl w:val="0"/>
        </w:rPr>
        <w:t xml:space="preserve">Seattle Office of Labor Standards (2020) </w:t>
      </w:r>
      <w:r w:rsidDel="00000000" w:rsidR="00000000" w:rsidRPr="00000000">
        <w:rPr>
          <w:i w:val="1"/>
          <w:iCs w:val="1"/>
          <w:color w:val="000000"/>
          <w:rtl w:val="0"/>
        </w:rPr>
        <w:t xml:space="preserve">Transportation Network Company Minimum Compensation Ordinance.</w:t>
      </w:r>
      <w:r w:rsidDel="00000000" w:rsidR="00000000" w:rsidRPr="00000000">
        <w:rPr>
          <w:color w:val="000000"/>
          <w:rtl w:val="0"/>
        </w:rPr>
        <w:t xml:space="preserve"> City of Seattle. Available at: https://www.seattle.gov/laborstandards/ordinances/tnc-legislation/minimum-compensation-ordinance (Accessed: 17 November 2025).</w:t>
      </w:r>
      <w:r w:rsidDel="00000000" w:rsidR="00000000" w:rsidRPr="00000000">
        <w:rPr>
          <w:rtl w:val="0"/>
        </w:rPr>
      </w:r>
    </w:p>
    <w:p w:rsidR="00000000" w:rsidDel="00000000" w:rsidP="00000000" w:rsidRDefault="00000000" w:rsidRPr="00000000" w14:paraId="0000008E">
      <w:pPr>
        <w:rPr>
          <w:color w:val="000000"/>
          <w:u w:val="single"/>
        </w:rPr>
      </w:pPr>
      <w:r w:rsidDel="00000000" w:rsidR="00000000" w:rsidRPr="00000000">
        <w:rPr>
          <w:color w:val="000000"/>
          <w:rtl w:val="0"/>
        </w:rPr>
        <w:t xml:space="preserve">TIME (2024) ‘Lyft’s CEO on layoffs, leading with purpose and the future of ride-sharing.’ </w:t>
      </w:r>
      <w:r w:rsidDel="00000000" w:rsidR="00000000" w:rsidRPr="00000000">
        <w:rPr>
          <w:i w:val="1"/>
          <w:iCs w:val="1"/>
          <w:color w:val="000000"/>
          <w:rtl w:val="0"/>
        </w:rPr>
        <w:t xml:space="preserve">TIME</w:t>
      </w:r>
      <w:r w:rsidDel="00000000" w:rsidR="00000000" w:rsidRPr="00000000">
        <w:rPr>
          <w:color w:val="000000"/>
          <w:rtl w:val="0"/>
        </w:rPr>
        <w:t xml:space="preserve">, November. Available at: https://time.com/6971614/lyft-david-risher-interview/ (Accessed: 17 November 2025). </w:t>
      </w:r>
      <w:r w:rsidDel="00000000" w:rsidR="00000000" w:rsidRPr="00000000">
        <w:rPr>
          <w:rtl w:val="0"/>
        </w:rPr>
      </w:r>
    </w:p>
    <w:p w:rsidR="00000000" w:rsidDel="00000000" w:rsidP="00000000" w:rsidRDefault="00000000" w:rsidRPr="00000000" w14:paraId="0000008F">
      <w:pPr>
        <w:rPr>
          <w:color w:val="000000"/>
          <w:u w:val="single"/>
        </w:rPr>
      </w:pPr>
      <w:r w:rsidDel="00000000" w:rsidR="00000000" w:rsidRPr="00000000">
        <w:rPr>
          <w:color w:val="000000"/>
          <w:rtl w:val="0"/>
        </w:rPr>
        <w:t xml:space="preserve">Uber (2022) </w:t>
      </w:r>
      <w:r w:rsidDel="00000000" w:rsidR="00000000" w:rsidRPr="00000000">
        <w:rPr>
          <w:i w:val="1"/>
          <w:iCs w:val="1"/>
          <w:color w:val="000000"/>
          <w:rtl w:val="0"/>
        </w:rPr>
        <w:t xml:space="preserve">Uber U.S. Safety Report 2019–2020.</w:t>
      </w:r>
      <w:r w:rsidDel="00000000" w:rsidR="00000000" w:rsidRPr="00000000">
        <w:rPr>
          <w:color w:val="000000"/>
          <w:rtl w:val="0"/>
        </w:rPr>
        <w:t xml:space="preserve"> Uber Technologies Inc. Available at: https://www.uber.com/us/en/about/reports/us-safety-report/ (Accessed: 17 November 2025).</w:t>
      </w:r>
      <w:r w:rsidDel="00000000" w:rsidR="00000000" w:rsidRPr="00000000">
        <w:rPr>
          <w:color w:val="000000"/>
          <w:u w:val="single"/>
          <w:rtl w:val="0"/>
        </w:rPr>
        <w:t xml:space="preserve"> </w:t>
      </w:r>
    </w:p>
    <w:p w:rsidR="00000000" w:rsidDel="00000000" w:rsidP="00000000" w:rsidRDefault="00000000" w:rsidRPr="00000000" w14:paraId="00000090">
      <w:pPr>
        <w:rPr>
          <w:color w:val="000000"/>
          <w:u w:val="single"/>
        </w:rPr>
      </w:pPr>
      <w:r w:rsidDel="00000000" w:rsidR="00000000" w:rsidRPr="00000000">
        <w:rPr>
          <w:color w:val="000000"/>
          <w:rtl w:val="0"/>
        </w:rPr>
        <w:t xml:space="preserve">Uber (2025) ‘Uber announces results for second quarter 2025.’ </w:t>
      </w:r>
      <w:r w:rsidDel="00000000" w:rsidR="00000000" w:rsidRPr="00000000">
        <w:rPr>
          <w:i w:val="1"/>
          <w:iCs w:val="1"/>
          <w:color w:val="000000"/>
          <w:rtl w:val="0"/>
        </w:rPr>
        <w:t xml:space="preserve">Investor Relations press release</w:t>
      </w:r>
      <w:r w:rsidDel="00000000" w:rsidR="00000000" w:rsidRPr="00000000">
        <w:rPr>
          <w:color w:val="000000"/>
          <w:rtl w:val="0"/>
        </w:rPr>
        <w:t xml:space="preserve">, 6 August. Available at: https://investor.uber.com/news-events/news/press-release-details/2025/Uber-Announces-Results-for-Second-Quarter-2025/default.aspx (Accessed: 17 November 2025). </w:t>
      </w:r>
      <w:r w:rsidDel="00000000" w:rsidR="00000000" w:rsidRPr="00000000">
        <w:rPr>
          <w:rtl w:val="0"/>
        </w:rPr>
      </w:r>
    </w:p>
    <w:p w:rsidR="00000000" w:rsidDel="00000000" w:rsidP="00000000" w:rsidRDefault="00000000" w:rsidRPr="00000000" w14:paraId="00000091">
      <w:pPr>
        <w:rPr>
          <w:color w:val="000000"/>
          <w:u w:val="single"/>
        </w:rPr>
      </w:pPr>
      <w:r w:rsidDel="00000000" w:rsidR="00000000" w:rsidRPr="00000000">
        <w:rPr>
          <w:color w:val="000000"/>
          <w:rtl w:val="0"/>
        </w:rPr>
        <w:t xml:space="preserve">UK Supreme Court (2021) </w:t>
      </w:r>
      <w:r w:rsidDel="00000000" w:rsidR="00000000" w:rsidRPr="00000000">
        <w:rPr>
          <w:i w:val="1"/>
          <w:iCs w:val="1"/>
          <w:color w:val="000000"/>
          <w:rtl w:val="0"/>
        </w:rPr>
        <w:t xml:space="preserve">Uber BV and others (Appellants) v Aslam and others (Respondents).</w:t>
      </w:r>
      <w:r w:rsidDel="00000000" w:rsidR="00000000" w:rsidRPr="00000000">
        <w:rPr>
          <w:color w:val="000000"/>
          <w:rtl w:val="0"/>
        </w:rPr>
        <w:t xml:space="preserve"> Press summary. London: UK Supreme Court. Available at: https://www.supremecourt.uk/cases/docs/uksc-2019-0029-judgment.pdf (Accessed: 17 November 2025). </w:t>
      </w:r>
      <w:r w:rsidDel="00000000" w:rsidR="00000000" w:rsidRPr="00000000">
        <w:rPr>
          <w:rtl w:val="0"/>
        </w:rPr>
      </w:r>
    </w:p>
    <w:p w:rsidR="00000000" w:rsidDel="00000000" w:rsidP="00000000" w:rsidRDefault="00000000" w:rsidRPr="00000000" w14:paraId="00000092">
      <w:pPr>
        <w:rPr>
          <w:color w:val="000000"/>
          <w:u w:val="single"/>
        </w:rPr>
      </w:pPr>
      <w:r w:rsidDel="00000000" w:rsidR="00000000" w:rsidRPr="00000000">
        <w:rPr>
          <w:color w:val="000000"/>
          <w:rtl w:val="0"/>
        </w:rPr>
        <w:t xml:space="preserve">US Department of Justice (2024) </w:t>
      </w:r>
      <w:r w:rsidDel="00000000" w:rsidR="00000000" w:rsidRPr="00000000">
        <w:rPr>
          <w:i w:val="1"/>
          <w:iCs w:val="1"/>
          <w:color w:val="000000"/>
          <w:rtl w:val="0"/>
        </w:rPr>
        <w:t xml:space="preserve">Antitrust guidance on algorithmic price-fixing and collusion risks.</w:t>
      </w:r>
      <w:r w:rsidDel="00000000" w:rsidR="00000000" w:rsidRPr="00000000">
        <w:rPr>
          <w:color w:val="000000"/>
          <w:rtl w:val="0"/>
        </w:rPr>
        <w:t xml:space="preserve"> Press statement. Available at: https://www.justice.gov/ (Accessed: 17 November 2025). </w:t>
      </w:r>
      <w:r w:rsidDel="00000000" w:rsidR="00000000" w:rsidRPr="00000000">
        <w:rPr>
          <w:rtl w:val="0"/>
        </w:rPr>
      </w:r>
    </w:p>
    <w:p w:rsidR="00000000" w:rsidDel="00000000" w:rsidP="00000000" w:rsidRDefault="00000000" w:rsidRPr="00000000" w14:paraId="00000093">
      <w:pPr>
        <w:rPr/>
      </w:pPr>
      <w:r w:rsidDel="00000000" w:rsidR="00000000" w:rsidRPr="00000000">
        <w:rPr>
          <w:color w:val="000000"/>
          <w:rtl w:val="0"/>
        </w:rPr>
        <w:t xml:space="preserve">Welch, L. (2018) ‘New York City may cap Uber and Lyft rides.’ </w:t>
      </w:r>
      <w:r w:rsidDel="00000000" w:rsidR="00000000" w:rsidRPr="00000000">
        <w:rPr>
          <w:i w:val="1"/>
          <w:iCs w:val="1"/>
          <w:color w:val="000000"/>
          <w:rtl w:val="0"/>
        </w:rPr>
        <w:t xml:space="preserve">Condé Nast Traveler</w:t>
      </w:r>
      <w:r w:rsidDel="00000000" w:rsidR="00000000" w:rsidRPr="00000000">
        <w:rPr>
          <w:color w:val="000000"/>
          <w:rtl w:val="0"/>
        </w:rPr>
        <w:t xml:space="preserve">, 27 July. Available at: https://www.cntraveler.com/story/new-york-city-may-cap-uber-and-lyft-rides (Accessed: 17 November</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40" w:before="24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b w:val="1"/>
      <w:bCs w:val="1"/>
      <w:sz w:val="32"/>
      <w:szCs w:val="32"/>
    </w:rPr>
  </w:style>
  <w:style w:type="paragraph" w:styleId="Heading2">
    <w:name w:val="heading 2"/>
    <w:basedOn w:val="Normal"/>
    <w:next w:val="Normal"/>
    <w:pPr>
      <w:keepNext w:val="1"/>
      <w:keepLines w:val="1"/>
      <w:spacing w:after="80" w:before="160" w:lineRule="auto"/>
    </w:pPr>
    <w:rPr>
      <w:b w:val="1"/>
      <w:bCs w:val="1"/>
      <w:color w:val="000000"/>
      <w:sz w:val="28"/>
      <w:szCs w:val="28"/>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