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CFDA3E0">
      <w:pPr>
        <w:jc w:val="center"/>
        <w:rPr>
          <w:rFonts w:hint="default" w:ascii="Arial" w:hAnsi="Arial" w:cs="Arial"/>
          <w:b/>
          <w:bCs/>
          <w:sz w:val="28"/>
          <w:szCs w:val="28"/>
          <w:lang w:val="ro-RO"/>
        </w:rPr>
      </w:pPr>
    </w:p>
    <w:p w14:paraId="4F9155A7">
      <w:pPr>
        <w:jc w:val="center"/>
        <w:rPr>
          <w:rFonts w:hint="default" w:ascii="Arial" w:hAnsi="Arial" w:cs="Arial"/>
          <w:b/>
          <w:bCs/>
          <w:sz w:val="28"/>
          <w:szCs w:val="28"/>
          <w:lang w:val="ro-RO"/>
        </w:rPr>
      </w:pPr>
    </w:p>
    <w:p w14:paraId="466ED5DD">
      <w:pPr>
        <w:jc w:val="center"/>
        <w:rPr>
          <w:rFonts w:hint="default" w:ascii="Arial" w:hAnsi="Arial" w:cs="Arial"/>
          <w:b/>
          <w:bCs/>
          <w:sz w:val="28"/>
          <w:szCs w:val="28"/>
          <w:lang w:val="ro-RO"/>
        </w:rPr>
      </w:pPr>
    </w:p>
    <w:p w14:paraId="0FB50CA9">
      <w:pPr>
        <w:jc w:val="center"/>
        <w:rPr>
          <w:rFonts w:hint="default" w:ascii="Arial" w:hAnsi="Arial" w:cs="Arial"/>
          <w:b/>
          <w:bCs/>
          <w:sz w:val="28"/>
          <w:szCs w:val="28"/>
          <w:lang w:val="ro-RO"/>
        </w:rPr>
      </w:pPr>
    </w:p>
    <w:p w14:paraId="6DAA87A2">
      <w:pPr>
        <w:jc w:val="center"/>
        <w:rPr>
          <w:rFonts w:hint="default" w:ascii="Arial" w:hAnsi="Arial" w:cs="Arial"/>
          <w:b/>
          <w:bCs/>
          <w:sz w:val="28"/>
          <w:szCs w:val="28"/>
          <w:lang w:val="ro-RO"/>
        </w:rPr>
      </w:pPr>
    </w:p>
    <w:p w14:paraId="0225E49C">
      <w:pPr>
        <w:jc w:val="center"/>
        <w:rPr>
          <w:rFonts w:hint="default" w:ascii="Arial" w:hAnsi="Arial" w:cs="Arial"/>
          <w:b/>
          <w:bCs/>
          <w:sz w:val="28"/>
          <w:szCs w:val="28"/>
          <w:lang w:val="ro-RO"/>
        </w:rPr>
      </w:pPr>
    </w:p>
    <w:p w14:paraId="2218546F">
      <w:pPr>
        <w:jc w:val="center"/>
        <w:rPr>
          <w:rFonts w:hint="default" w:ascii="Arial" w:hAnsi="Arial" w:cs="Arial"/>
          <w:b/>
          <w:bCs/>
          <w:sz w:val="28"/>
          <w:szCs w:val="28"/>
          <w:lang w:val="ro-RO"/>
        </w:rPr>
      </w:pPr>
      <w:r>
        <w:rPr>
          <w:rFonts w:hint="default" w:ascii="Arial" w:hAnsi="Arial" w:cs="Arial"/>
          <w:b/>
          <w:bCs/>
          <w:sz w:val="28"/>
          <w:szCs w:val="28"/>
          <w:lang w:val="ro-RO"/>
        </w:rPr>
        <w:t>BMIH5004</w:t>
      </w:r>
    </w:p>
    <w:p w14:paraId="3F75E183">
      <w:pPr>
        <w:jc w:val="left"/>
        <w:rPr>
          <w:rFonts w:hint="default" w:ascii="Arial" w:hAnsi="Arial" w:cs="Arial"/>
          <w:b/>
          <w:bCs/>
          <w:sz w:val="28"/>
          <w:szCs w:val="28"/>
          <w:lang w:val="ro-RO"/>
        </w:rPr>
      </w:pPr>
    </w:p>
    <w:p w14:paraId="7625E843">
      <w:pPr>
        <w:jc w:val="left"/>
        <w:rPr>
          <w:rFonts w:hint="default" w:ascii="Arial" w:hAnsi="Arial" w:cs="Arial"/>
          <w:b/>
          <w:bCs/>
          <w:sz w:val="28"/>
          <w:szCs w:val="28"/>
          <w:lang w:val="ro-RO"/>
        </w:rPr>
      </w:pPr>
    </w:p>
    <w:p w14:paraId="050E7251">
      <w:pPr>
        <w:jc w:val="center"/>
        <w:rPr>
          <w:rFonts w:hint="default" w:ascii="Arial" w:hAnsi="Arial" w:cs="Arial"/>
          <w:b/>
          <w:bCs/>
          <w:sz w:val="28"/>
          <w:szCs w:val="28"/>
          <w:lang w:val="ro-RO"/>
        </w:rPr>
      </w:pPr>
      <w:r>
        <w:rPr>
          <w:rFonts w:hint="default" w:ascii="Arial" w:hAnsi="Arial" w:cs="Arial"/>
          <w:b/>
          <w:bCs/>
          <w:sz w:val="28"/>
          <w:szCs w:val="28"/>
          <w:lang w:val="ro-RO"/>
        </w:rPr>
        <w:t>Management &amp; Organisational Behaviour</w:t>
      </w:r>
    </w:p>
    <w:p w14:paraId="5938EE11">
      <w:pPr>
        <w:jc w:val="center"/>
        <w:rPr>
          <w:rFonts w:hint="default" w:ascii="Arial" w:hAnsi="Arial" w:cs="Arial"/>
          <w:b/>
          <w:bCs/>
          <w:sz w:val="28"/>
          <w:szCs w:val="28"/>
          <w:lang w:val="ro-RO"/>
        </w:rPr>
      </w:pPr>
    </w:p>
    <w:p w14:paraId="61F1A2BB">
      <w:pPr>
        <w:jc w:val="center"/>
        <w:rPr>
          <w:rFonts w:hint="default" w:ascii="Arial" w:hAnsi="Arial" w:cs="Arial"/>
          <w:b/>
          <w:bCs/>
          <w:sz w:val="28"/>
          <w:szCs w:val="28"/>
          <w:lang w:val="ro-RO"/>
        </w:rPr>
      </w:pPr>
      <w:r>
        <w:rPr>
          <w:rFonts w:hint="default" w:ascii="Arial" w:hAnsi="Arial" w:cs="Arial"/>
          <w:b/>
          <w:bCs/>
          <w:sz w:val="28"/>
          <w:szCs w:val="28"/>
          <w:lang w:val="ro-RO"/>
        </w:rPr>
        <w:t>Report</w:t>
      </w:r>
    </w:p>
    <w:p w14:paraId="3823BA70">
      <w:pPr>
        <w:jc w:val="left"/>
        <w:rPr>
          <w:rFonts w:hint="default" w:ascii="Arial" w:hAnsi="Arial" w:cs="Arial"/>
          <w:b/>
          <w:bCs/>
          <w:sz w:val="28"/>
          <w:szCs w:val="28"/>
          <w:lang w:val="ro-RO"/>
        </w:rPr>
      </w:pPr>
    </w:p>
    <w:p w14:paraId="2F8CB712">
      <w:pPr>
        <w:jc w:val="left"/>
        <w:rPr>
          <w:rFonts w:hint="default" w:ascii="Arial" w:hAnsi="Arial" w:cs="Arial"/>
          <w:b/>
          <w:bCs/>
          <w:sz w:val="28"/>
          <w:szCs w:val="28"/>
          <w:lang w:val="ro-RO"/>
        </w:rPr>
      </w:pPr>
    </w:p>
    <w:p w14:paraId="700C7526">
      <w:pPr>
        <w:jc w:val="left"/>
        <w:rPr>
          <w:rFonts w:hint="default" w:ascii="Arial" w:hAnsi="Arial" w:cs="Arial"/>
          <w:b/>
          <w:bCs/>
          <w:sz w:val="28"/>
          <w:szCs w:val="28"/>
          <w:lang w:val="ro-RO"/>
        </w:rPr>
      </w:pPr>
    </w:p>
    <w:p w14:paraId="2F796CA5">
      <w:pPr>
        <w:jc w:val="left"/>
        <w:rPr>
          <w:rFonts w:hint="default" w:ascii="Arial" w:hAnsi="Arial" w:cs="Arial"/>
          <w:b/>
          <w:bCs/>
          <w:sz w:val="28"/>
          <w:szCs w:val="28"/>
          <w:lang w:val="ro-RO"/>
        </w:rPr>
      </w:pPr>
    </w:p>
    <w:p w14:paraId="4CD16C23">
      <w:pPr>
        <w:jc w:val="left"/>
        <w:rPr>
          <w:rFonts w:hint="default" w:ascii="Arial" w:hAnsi="Arial" w:cs="Arial"/>
          <w:b/>
          <w:bCs/>
          <w:sz w:val="28"/>
          <w:szCs w:val="28"/>
          <w:lang w:val="ro-RO"/>
        </w:rPr>
      </w:pPr>
    </w:p>
    <w:p w14:paraId="4A9FFA76">
      <w:pPr>
        <w:jc w:val="left"/>
        <w:rPr>
          <w:rFonts w:hint="default" w:ascii="Arial" w:hAnsi="Arial" w:cs="Arial"/>
          <w:b/>
          <w:bCs/>
          <w:sz w:val="28"/>
          <w:szCs w:val="28"/>
          <w:lang w:val="ro-RO"/>
        </w:rPr>
      </w:pPr>
    </w:p>
    <w:p w14:paraId="621A4611">
      <w:pPr>
        <w:jc w:val="left"/>
        <w:rPr>
          <w:rFonts w:hint="default" w:ascii="Arial" w:hAnsi="Arial" w:cs="Arial"/>
          <w:b/>
          <w:bCs/>
          <w:sz w:val="28"/>
          <w:szCs w:val="28"/>
          <w:lang w:val="ro-RO"/>
        </w:rPr>
      </w:pPr>
    </w:p>
    <w:p w14:paraId="07D3F2AA">
      <w:pPr>
        <w:jc w:val="left"/>
        <w:rPr>
          <w:rFonts w:hint="default" w:ascii="Arial" w:hAnsi="Arial" w:cs="Arial"/>
          <w:b/>
          <w:bCs/>
          <w:sz w:val="28"/>
          <w:szCs w:val="28"/>
          <w:lang w:val="ro-RO"/>
        </w:rPr>
      </w:pPr>
    </w:p>
    <w:p w14:paraId="5A8E781E">
      <w:pPr>
        <w:jc w:val="left"/>
        <w:rPr>
          <w:rFonts w:hint="default" w:ascii="Arial" w:hAnsi="Arial" w:cs="Arial"/>
          <w:b/>
          <w:bCs/>
          <w:sz w:val="28"/>
          <w:szCs w:val="28"/>
          <w:lang w:val="ro-RO"/>
        </w:rPr>
      </w:pPr>
    </w:p>
    <w:p w14:paraId="42FFBC27">
      <w:pPr>
        <w:jc w:val="left"/>
        <w:rPr>
          <w:rFonts w:hint="default" w:ascii="Arial" w:hAnsi="Arial" w:cs="Arial"/>
          <w:b/>
          <w:bCs/>
          <w:sz w:val="28"/>
          <w:szCs w:val="28"/>
          <w:lang w:val="ro-RO"/>
        </w:rPr>
      </w:pPr>
    </w:p>
    <w:p w14:paraId="5FD00AE1">
      <w:pPr>
        <w:jc w:val="left"/>
        <w:rPr>
          <w:rFonts w:hint="default" w:ascii="Arial" w:hAnsi="Arial" w:cs="Arial"/>
          <w:b/>
          <w:bCs/>
          <w:sz w:val="28"/>
          <w:szCs w:val="28"/>
          <w:lang w:val="ro-RO"/>
        </w:rPr>
      </w:pPr>
    </w:p>
    <w:p w14:paraId="25D03BC4">
      <w:pPr>
        <w:jc w:val="left"/>
        <w:rPr>
          <w:rFonts w:hint="default" w:ascii="Arial" w:hAnsi="Arial" w:cs="Arial"/>
          <w:b/>
          <w:bCs/>
          <w:sz w:val="28"/>
          <w:szCs w:val="28"/>
          <w:lang w:val="ro-RO"/>
        </w:rPr>
      </w:pPr>
    </w:p>
    <w:p w14:paraId="54638154">
      <w:pPr>
        <w:jc w:val="left"/>
        <w:rPr>
          <w:rFonts w:hint="default" w:ascii="Arial" w:hAnsi="Arial" w:cs="Arial"/>
          <w:b/>
          <w:bCs/>
          <w:sz w:val="28"/>
          <w:szCs w:val="28"/>
          <w:lang w:val="ro-RO"/>
        </w:rPr>
      </w:pPr>
    </w:p>
    <w:p w14:paraId="59DC2D09">
      <w:pPr>
        <w:jc w:val="left"/>
        <w:rPr>
          <w:rFonts w:hint="default" w:ascii="Arial" w:hAnsi="Arial" w:cs="Arial"/>
          <w:b/>
          <w:bCs/>
          <w:sz w:val="28"/>
          <w:szCs w:val="28"/>
          <w:lang w:val="ro-RO"/>
        </w:rPr>
      </w:pPr>
    </w:p>
    <w:p w14:paraId="7AF06716">
      <w:pPr>
        <w:jc w:val="left"/>
        <w:rPr>
          <w:rFonts w:hint="default" w:ascii="Arial" w:hAnsi="Arial" w:cs="Arial"/>
          <w:b/>
          <w:bCs/>
          <w:sz w:val="28"/>
          <w:szCs w:val="28"/>
          <w:lang w:val="ro-RO"/>
        </w:rPr>
      </w:pPr>
    </w:p>
    <w:p w14:paraId="1A71D5DF">
      <w:pPr>
        <w:jc w:val="left"/>
        <w:rPr>
          <w:rFonts w:hint="default" w:ascii="Arial" w:hAnsi="Arial" w:cs="Arial"/>
          <w:b/>
          <w:bCs/>
          <w:sz w:val="28"/>
          <w:szCs w:val="28"/>
          <w:lang w:val="ro-RO"/>
        </w:rPr>
      </w:pPr>
    </w:p>
    <w:p w14:paraId="05BD4606">
      <w:pPr>
        <w:jc w:val="left"/>
        <w:rPr>
          <w:rFonts w:hint="default" w:ascii="Arial" w:hAnsi="Arial" w:cs="Arial"/>
          <w:b/>
          <w:bCs/>
          <w:sz w:val="28"/>
          <w:szCs w:val="28"/>
          <w:lang w:val="ro-RO"/>
        </w:rPr>
      </w:pPr>
      <w:r>
        <w:rPr>
          <w:rFonts w:hint="default" w:ascii="Arial" w:hAnsi="Arial" w:cs="Arial"/>
          <w:b/>
          <w:bCs/>
          <w:sz w:val="28"/>
          <w:szCs w:val="28"/>
          <w:lang w:val="ro-RO"/>
        </w:rPr>
        <w:t>Lecturer: Giulia Chifari</w:t>
      </w:r>
    </w:p>
    <w:p w14:paraId="178C4D8B">
      <w:pPr>
        <w:jc w:val="left"/>
        <w:rPr>
          <w:rFonts w:hint="default" w:ascii="Arial" w:hAnsi="Arial" w:cs="Arial"/>
          <w:b/>
          <w:bCs/>
          <w:sz w:val="28"/>
          <w:szCs w:val="28"/>
          <w:lang w:val="ro-RO"/>
        </w:rPr>
      </w:pPr>
    </w:p>
    <w:p w14:paraId="5E496D82">
      <w:pPr>
        <w:jc w:val="left"/>
        <w:rPr>
          <w:rFonts w:hint="default" w:ascii="Arial" w:hAnsi="Arial" w:cs="Arial"/>
          <w:b/>
          <w:bCs/>
          <w:sz w:val="28"/>
          <w:szCs w:val="28"/>
          <w:lang w:val="ro-RO"/>
        </w:rPr>
      </w:pPr>
    </w:p>
    <w:p w14:paraId="2DD100E2">
      <w:pPr>
        <w:jc w:val="left"/>
        <w:rPr>
          <w:rFonts w:hint="default" w:ascii="Arial" w:hAnsi="Arial" w:cs="Arial"/>
          <w:b/>
          <w:bCs/>
          <w:sz w:val="28"/>
          <w:szCs w:val="28"/>
          <w:lang w:val="ro-RO"/>
        </w:rPr>
      </w:pPr>
    </w:p>
    <w:p w14:paraId="554188BC">
      <w:pPr>
        <w:jc w:val="left"/>
        <w:rPr>
          <w:rFonts w:hint="default" w:ascii="Arial" w:hAnsi="Arial" w:cs="Arial"/>
          <w:b/>
          <w:bCs/>
          <w:sz w:val="28"/>
          <w:szCs w:val="28"/>
          <w:lang w:val="ro-RO"/>
        </w:rPr>
      </w:pPr>
    </w:p>
    <w:p w14:paraId="59194EF5">
      <w:pPr>
        <w:jc w:val="right"/>
        <w:rPr>
          <w:rFonts w:hint="default" w:ascii="Arial" w:hAnsi="Arial" w:cs="Arial"/>
          <w:b/>
          <w:bCs/>
          <w:sz w:val="28"/>
          <w:szCs w:val="28"/>
          <w:lang w:val="ro-RO"/>
        </w:rPr>
      </w:pPr>
      <w:r>
        <w:rPr>
          <w:rFonts w:hint="default" w:ascii="Arial" w:hAnsi="Arial" w:cs="Arial"/>
          <w:b/>
          <w:bCs/>
          <w:sz w:val="28"/>
          <w:szCs w:val="28"/>
          <w:lang w:val="ro-RO"/>
        </w:rPr>
        <w:t>Student:</w:t>
      </w:r>
    </w:p>
    <w:p w14:paraId="37E702F6">
      <w:pPr>
        <w:jc w:val="right"/>
        <w:rPr>
          <w:rFonts w:hint="default" w:ascii="Arial" w:hAnsi="Arial" w:cs="Arial"/>
          <w:b/>
          <w:bCs/>
          <w:sz w:val="28"/>
          <w:szCs w:val="28"/>
          <w:lang w:val="ro-RO"/>
        </w:rPr>
      </w:pPr>
      <w:r>
        <w:rPr>
          <w:rFonts w:hint="default" w:ascii="Arial" w:hAnsi="Arial" w:cs="Arial"/>
          <w:b/>
          <w:bCs/>
          <w:sz w:val="28"/>
          <w:szCs w:val="28"/>
          <w:lang w:val="ro-RO"/>
        </w:rPr>
        <w:t>Stefan Lucian Mihaita</w:t>
      </w:r>
    </w:p>
    <w:p w14:paraId="40542419">
      <w:pPr>
        <w:jc w:val="right"/>
        <w:rPr>
          <w:rFonts w:hint="default" w:ascii="Arial" w:hAnsi="Arial" w:cs="Arial"/>
          <w:b/>
          <w:bCs/>
          <w:sz w:val="28"/>
          <w:szCs w:val="28"/>
          <w:lang w:val="ro-RO"/>
        </w:rPr>
      </w:pPr>
      <w:r>
        <w:rPr>
          <w:rFonts w:hint="default" w:ascii="Arial" w:hAnsi="Arial" w:cs="Arial"/>
          <w:b/>
          <w:bCs/>
          <w:sz w:val="28"/>
          <w:szCs w:val="28"/>
          <w:lang w:val="ro-RO"/>
        </w:rPr>
        <w:t>2234126</w:t>
      </w:r>
    </w:p>
    <w:p w14:paraId="25294014">
      <w:pPr>
        <w:jc w:val="right"/>
        <w:rPr>
          <w:rFonts w:hint="default" w:ascii="Arial" w:hAnsi="Arial" w:cs="Arial"/>
          <w:b/>
          <w:bCs/>
          <w:sz w:val="28"/>
          <w:szCs w:val="28"/>
          <w:lang w:val="ro-RO"/>
        </w:rPr>
      </w:pPr>
    </w:p>
    <w:p w14:paraId="251FF521">
      <w:pPr>
        <w:jc w:val="right"/>
        <w:rPr>
          <w:rFonts w:hint="default" w:ascii="Arial" w:hAnsi="Arial" w:cs="Arial"/>
          <w:b/>
          <w:bCs/>
          <w:sz w:val="28"/>
          <w:szCs w:val="28"/>
          <w:lang w:val="ro-RO"/>
        </w:rPr>
      </w:pPr>
    </w:p>
    <w:p w14:paraId="47DF2189">
      <w:pPr>
        <w:jc w:val="right"/>
        <w:rPr>
          <w:rFonts w:hint="default" w:ascii="Arial" w:hAnsi="Arial" w:cs="Arial"/>
          <w:b/>
          <w:bCs/>
          <w:sz w:val="28"/>
          <w:szCs w:val="28"/>
          <w:lang w:val="ro-RO"/>
        </w:rPr>
      </w:pPr>
    </w:p>
    <w:p w14:paraId="2E167114">
      <w:pPr>
        <w:jc w:val="right"/>
        <w:rPr>
          <w:rFonts w:hint="default" w:ascii="Arial" w:hAnsi="Arial" w:cs="Arial"/>
          <w:b/>
          <w:bCs/>
          <w:sz w:val="28"/>
          <w:szCs w:val="28"/>
          <w:lang w:val="ro-RO"/>
        </w:rPr>
      </w:pPr>
    </w:p>
    <w:p w14:paraId="502C3247">
      <w:pPr>
        <w:jc w:val="right"/>
        <w:rPr>
          <w:rFonts w:hint="default" w:ascii="Arial" w:hAnsi="Arial" w:cs="Arial"/>
          <w:b/>
          <w:bCs/>
          <w:sz w:val="28"/>
          <w:szCs w:val="28"/>
          <w:lang w:val="ro-RO"/>
        </w:rPr>
      </w:pPr>
    </w:p>
    <w:p w14:paraId="0C6CFFEB">
      <w:pPr>
        <w:jc w:val="right"/>
        <w:rPr>
          <w:rFonts w:hint="default" w:ascii="Arial" w:hAnsi="Arial" w:cs="Arial"/>
          <w:b/>
          <w:bCs/>
          <w:sz w:val="28"/>
          <w:szCs w:val="28"/>
          <w:lang w:val="ro-RO"/>
        </w:rPr>
      </w:pPr>
    </w:p>
    <w:p w14:paraId="42DE3702">
      <w:pPr>
        <w:jc w:val="right"/>
        <w:rPr>
          <w:rFonts w:hint="default" w:ascii="Arial" w:hAnsi="Arial" w:cs="Arial"/>
          <w:b/>
          <w:bCs/>
          <w:sz w:val="28"/>
          <w:szCs w:val="28"/>
          <w:lang w:val="ro-RO"/>
        </w:rPr>
      </w:pPr>
    </w:p>
    <w:p w14:paraId="640F35DC">
      <w:pPr>
        <w:spacing w:line="360" w:lineRule="auto"/>
        <w:jc w:val="both"/>
        <w:rPr>
          <w:rFonts w:ascii="Arial" w:hAnsi="Arial" w:cs="Arial"/>
          <w:b/>
          <w:bCs/>
          <w:sz w:val="24"/>
          <w:szCs w:val="24"/>
        </w:rPr>
      </w:pPr>
      <w:r>
        <w:rPr>
          <w:rFonts w:ascii="Arial" w:hAnsi="Arial" w:cs="Arial"/>
          <w:b/>
          <w:bCs/>
          <w:sz w:val="24"/>
          <w:szCs w:val="24"/>
        </w:rPr>
        <w:t>Executive Summary</w:t>
      </w:r>
    </w:p>
    <w:p w14:paraId="36922605">
      <w:pPr>
        <w:spacing w:after="0" w:line="360" w:lineRule="auto"/>
        <w:jc w:val="both"/>
        <w:rPr>
          <w:rFonts w:ascii="Arial" w:hAnsi="Arial" w:cs="Arial"/>
          <w:sz w:val="24"/>
          <w:szCs w:val="24"/>
        </w:rPr>
      </w:pPr>
      <w:r>
        <w:rPr>
          <w:rFonts w:ascii="Arial" w:hAnsi="Arial" w:cs="Arial"/>
          <w:sz w:val="24"/>
          <w:szCs w:val="24"/>
        </w:rPr>
        <w:t>This report analyses Hyatt Hotels Corporation, evaluating its organisational structure, corporate culture, change initiatives, and strategic direction to understand its contributions to its competitive position in the global hospitality industry. The report begins with an analysis of Hyatt's divisionalized organisational structure, which integrates centralised strategic oversight with decentralised operational flexibility, facilitating the brand's effective adaptation to local market demands. Hyatt’s corporate culture prioritises guest satisfaction, inclusivity, and sustainability and promotes high employee engagement and customer loyalty.</w:t>
      </w:r>
    </w:p>
    <w:p w14:paraId="1FC95347">
      <w:pPr>
        <w:spacing w:after="0" w:line="360" w:lineRule="auto"/>
        <w:jc w:val="both"/>
        <w:rPr>
          <w:rFonts w:ascii="Arial" w:hAnsi="Arial" w:cs="Arial"/>
          <w:sz w:val="24"/>
          <w:szCs w:val="24"/>
        </w:rPr>
      </w:pPr>
      <w:r>
        <w:rPr>
          <w:rFonts w:ascii="Arial" w:hAnsi="Arial" w:cs="Arial"/>
          <w:sz w:val="24"/>
          <w:szCs w:val="24"/>
        </w:rPr>
        <w:t xml:space="preserve"> Recent initiatives at Hyatt focus on digital transformation and sustainability, targeting improvements in operational efficiency and alignment with changing consumer expectations. These initiatives have enhanced customer satisfaction and operational resilience, despite challenges related to resource investment and adaptation to change. Hyatt's strategic direction emphasises growth, sustainability, and digital innovation, effectively positioning the company against its competitors. Analytical frameworks such as Porter’s Five Forces and Mintzberg’s 5 Ps offer valuable insights into its external and internal environments.</w:t>
      </w:r>
    </w:p>
    <w:p w14:paraId="098C8CE2">
      <w:pPr>
        <w:spacing w:after="0" w:line="360" w:lineRule="auto"/>
        <w:jc w:val="both"/>
        <w:rPr>
          <w:rFonts w:ascii="Arial" w:hAnsi="Arial" w:cs="Arial"/>
          <w:sz w:val="24"/>
          <w:szCs w:val="24"/>
        </w:rPr>
      </w:pPr>
      <w:r>
        <w:rPr>
          <w:rFonts w:ascii="Arial" w:hAnsi="Arial" w:cs="Arial"/>
          <w:sz w:val="24"/>
          <w:szCs w:val="24"/>
        </w:rPr>
        <w:t xml:space="preserve">This report concludes with recommendations to improve digital marketing, diversify services, and personalise guest experiences. It highlights Hyatt's adaptability and dedication to sustainable hospitality, reinforcing its competitive advantage in a dynamic industry. </w:t>
      </w:r>
    </w:p>
    <w:p w14:paraId="70057584">
      <w:pPr>
        <w:spacing w:line="360" w:lineRule="auto"/>
        <w:jc w:val="both"/>
        <w:rPr>
          <w:rFonts w:ascii="Arial" w:hAnsi="Arial" w:cs="Arial"/>
          <w:sz w:val="24"/>
          <w:szCs w:val="24"/>
        </w:rPr>
      </w:pPr>
    </w:p>
    <w:p w14:paraId="1C7A4ABB">
      <w:pPr>
        <w:spacing w:line="360" w:lineRule="auto"/>
        <w:jc w:val="both"/>
        <w:rPr>
          <w:rFonts w:ascii="Arial" w:hAnsi="Arial" w:cs="Arial"/>
          <w:sz w:val="24"/>
          <w:szCs w:val="24"/>
        </w:rPr>
      </w:pPr>
    </w:p>
    <w:p w14:paraId="62498639">
      <w:pPr>
        <w:spacing w:line="360" w:lineRule="auto"/>
        <w:jc w:val="both"/>
        <w:rPr>
          <w:rFonts w:ascii="Arial" w:hAnsi="Arial" w:cs="Arial"/>
          <w:b/>
          <w:bCs/>
          <w:sz w:val="24"/>
          <w:szCs w:val="24"/>
        </w:rPr>
      </w:pPr>
    </w:p>
    <w:p w14:paraId="0D028F8D">
      <w:pPr>
        <w:spacing w:line="360" w:lineRule="auto"/>
        <w:jc w:val="both"/>
        <w:rPr>
          <w:rFonts w:ascii="Arial" w:hAnsi="Arial" w:cs="Arial"/>
          <w:b/>
          <w:bCs/>
          <w:sz w:val="24"/>
          <w:szCs w:val="24"/>
        </w:rPr>
      </w:pPr>
    </w:p>
    <w:p w14:paraId="4892E349">
      <w:pPr>
        <w:spacing w:line="360" w:lineRule="auto"/>
        <w:jc w:val="both"/>
        <w:rPr>
          <w:rFonts w:ascii="Arial" w:hAnsi="Arial" w:cs="Arial"/>
          <w:b/>
          <w:bCs/>
          <w:sz w:val="24"/>
          <w:szCs w:val="24"/>
        </w:rPr>
      </w:pPr>
    </w:p>
    <w:p w14:paraId="42C90D90">
      <w:pPr>
        <w:spacing w:line="360" w:lineRule="auto"/>
        <w:jc w:val="both"/>
        <w:rPr>
          <w:rFonts w:ascii="Arial" w:hAnsi="Arial" w:cs="Arial"/>
          <w:b/>
          <w:bCs/>
          <w:sz w:val="24"/>
          <w:szCs w:val="24"/>
        </w:rPr>
      </w:pPr>
    </w:p>
    <w:p w14:paraId="235460BD">
      <w:pPr>
        <w:spacing w:line="360" w:lineRule="auto"/>
        <w:jc w:val="both"/>
        <w:rPr>
          <w:rFonts w:ascii="Arial" w:hAnsi="Arial" w:cs="Arial"/>
          <w:b/>
          <w:bCs/>
          <w:sz w:val="24"/>
          <w:szCs w:val="24"/>
        </w:rPr>
      </w:pPr>
    </w:p>
    <w:p w14:paraId="15882BB6">
      <w:pPr>
        <w:spacing w:before="100" w:beforeAutospacing="1" w:after="100" w:afterAutospacing="1" w:line="240" w:lineRule="auto"/>
        <w:jc w:val="both"/>
        <w:outlineLvl w:val="2"/>
        <w:rPr>
          <w:rFonts w:ascii="Times New Roman" w:hAnsi="Times New Roman" w:eastAsia="Times New Roman" w:cs="Times New Roman"/>
          <w:b/>
          <w:bCs/>
          <w:kern w:val="0"/>
          <w:sz w:val="27"/>
          <w:szCs w:val="27"/>
          <w14:ligatures w14:val="none"/>
        </w:rPr>
      </w:pPr>
    </w:p>
    <w:p w14:paraId="6F44A48C">
      <w:pPr>
        <w:spacing w:before="100" w:beforeAutospacing="1" w:after="100" w:afterAutospacing="1" w:line="240" w:lineRule="auto"/>
        <w:jc w:val="both"/>
        <w:outlineLvl w:val="2"/>
        <w:rPr>
          <w:rFonts w:ascii="Times New Roman" w:hAnsi="Times New Roman" w:eastAsia="Times New Roman" w:cs="Times New Roman"/>
          <w:b/>
          <w:bCs/>
          <w:kern w:val="0"/>
          <w:sz w:val="27"/>
          <w:szCs w:val="27"/>
          <w14:ligatures w14:val="none"/>
        </w:rPr>
      </w:pPr>
    </w:p>
    <w:p w14:paraId="6D6F704F">
      <w:pPr>
        <w:spacing w:before="100" w:beforeAutospacing="1" w:after="100" w:afterAutospacing="1" w:line="240" w:lineRule="auto"/>
        <w:jc w:val="both"/>
        <w:outlineLvl w:val="2"/>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Table of Contents</w:t>
      </w:r>
    </w:p>
    <w:p w14:paraId="673472D2">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Executive Summary</w:t>
      </w:r>
    </w:p>
    <w:p w14:paraId="6225C053">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Introduction</w:t>
      </w:r>
    </w:p>
    <w:p w14:paraId="13965A6A">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Organization Structure, Culture, and Goals</w:t>
      </w:r>
    </w:p>
    <w:p w14:paraId="5D50086B">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3.1 Organizational Structure</w:t>
      </w:r>
    </w:p>
    <w:p w14:paraId="0FA3494E">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3.2 Corporate Culture</w:t>
      </w:r>
    </w:p>
    <w:p w14:paraId="394D31DB">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3.3 Goals of the Organization</w:t>
      </w:r>
    </w:p>
    <w:p w14:paraId="361CB86B">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Recent Change Initiatives</w:t>
      </w:r>
    </w:p>
    <w:p w14:paraId="74995365">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4.1 Identification of Recent Changes</w:t>
      </w:r>
    </w:p>
    <w:p w14:paraId="39214F37">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4.2 Impact Analysis</w:t>
      </w:r>
    </w:p>
    <w:p w14:paraId="6004A740">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4.3 Evaluation of Change Management</w:t>
      </w:r>
    </w:p>
    <w:p w14:paraId="10151416">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Strategic Direction</w:t>
      </w:r>
    </w:p>
    <w:p w14:paraId="33B8A6FA">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5.1 Current Strategic Direction</w:t>
      </w:r>
    </w:p>
    <w:p w14:paraId="3C74624E">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5.2 Strategic Analysis Tools</w:t>
      </w:r>
    </w:p>
    <w:p w14:paraId="333D9A9C">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Recommendations</w:t>
      </w:r>
    </w:p>
    <w:p w14:paraId="1F4BDCE9">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6.1 Corporate-Level Recommendations</w:t>
      </w:r>
    </w:p>
    <w:p w14:paraId="49FD9D2F">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6.2 Unit-Level Recommendations</w:t>
      </w:r>
    </w:p>
    <w:p w14:paraId="5F5BE3E2">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6.3 Implementation Strategy</w:t>
      </w:r>
    </w:p>
    <w:p w14:paraId="7E57567A">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Conclusion</w:t>
      </w:r>
      <w:r>
        <w:rPr>
          <w:rFonts w:hint="default" w:ascii="Arial" w:hAnsi="Arial" w:eastAsia="Times New Roman" w:cs="Arial"/>
          <w:b w:val="0"/>
          <w:bCs w:val="0"/>
          <w:kern w:val="0"/>
          <w:sz w:val="24"/>
          <w:szCs w:val="24"/>
          <w14:ligatures w14:val="none"/>
        </w:rPr>
        <w:br w:type="textWrapping"/>
      </w:r>
    </w:p>
    <w:p w14:paraId="3CFEA4B5">
      <w:pPr>
        <w:spacing w:line="360" w:lineRule="auto"/>
        <w:jc w:val="both"/>
        <w:rPr>
          <w:rFonts w:hint="default" w:ascii="Arial" w:hAnsi="Arial" w:cs="Arial"/>
          <w:b w:val="0"/>
          <w:bCs w:val="0"/>
          <w:sz w:val="24"/>
          <w:szCs w:val="24"/>
        </w:rPr>
      </w:pPr>
    </w:p>
    <w:p w14:paraId="2714CCB8">
      <w:pPr>
        <w:spacing w:line="360" w:lineRule="auto"/>
        <w:jc w:val="both"/>
        <w:rPr>
          <w:rFonts w:hint="default" w:ascii="Arial" w:hAnsi="Arial" w:cs="Arial"/>
          <w:b w:val="0"/>
          <w:bCs w:val="0"/>
          <w:sz w:val="24"/>
          <w:szCs w:val="24"/>
        </w:rPr>
      </w:pPr>
    </w:p>
    <w:p w14:paraId="350847AE">
      <w:pPr>
        <w:spacing w:line="360" w:lineRule="auto"/>
        <w:jc w:val="both"/>
        <w:rPr>
          <w:rFonts w:hint="default" w:ascii="Arial" w:hAnsi="Arial" w:cs="Arial"/>
          <w:b w:val="0"/>
          <w:bCs w:val="0"/>
          <w:sz w:val="24"/>
          <w:szCs w:val="24"/>
        </w:rPr>
      </w:pPr>
    </w:p>
    <w:p w14:paraId="78121EFA">
      <w:pPr>
        <w:spacing w:line="360" w:lineRule="auto"/>
        <w:jc w:val="both"/>
        <w:rPr>
          <w:rFonts w:ascii="Arial" w:hAnsi="Arial" w:cs="Arial"/>
          <w:b/>
          <w:bCs/>
          <w:sz w:val="24"/>
          <w:szCs w:val="24"/>
        </w:rPr>
      </w:pPr>
    </w:p>
    <w:p w14:paraId="0335B7E1">
      <w:pPr>
        <w:spacing w:line="360" w:lineRule="auto"/>
        <w:jc w:val="both"/>
        <w:rPr>
          <w:rFonts w:ascii="Arial" w:hAnsi="Arial" w:cs="Arial"/>
          <w:b/>
          <w:bCs/>
          <w:sz w:val="24"/>
          <w:szCs w:val="24"/>
        </w:rPr>
      </w:pPr>
    </w:p>
    <w:p w14:paraId="131914CF">
      <w:pPr>
        <w:spacing w:line="360" w:lineRule="auto"/>
        <w:jc w:val="both"/>
        <w:rPr>
          <w:rFonts w:ascii="Arial" w:hAnsi="Arial" w:cs="Arial"/>
          <w:b/>
          <w:bCs/>
          <w:sz w:val="24"/>
          <w:szCs w:val="24"/>
        </w:rPr>
      </w:pPr>
    </w:p>
    <w:p w14:paraId="382FE49F">
      <w:pPr>
        <w:spacing w:line="360" w:lineRule="auto"/>
        <w:jc w:val="both"/>
        <w:rPr>
          <w:rFonts w:ascii="Arial" w:hAnsi="Arial" w:cs="Arial"/>
          <w:b/>
          <w:bCs/>
          <w:sz w:val="24"/>
          <w:szCs w:val="24"/>
        </w:rPr>
      </w:pPr>
    </w:p>
    <w:p w14:paraId="419D8C0A">
      <w:pPr>
        <w:spacing w:line="360" w:lineRule="auto"/>
        <w:jc w:val="both"/>
        <w:rPr>
          <w:rFonts w:ascii="Arial" w:hAnsi="Arial" w:cs="Arial"/>
          <w:b/>
          <w:bCs/>
          <w:sz w:val="24"/>
          <w:szCs w:val="24"/>
        </w:rPr>
      </w:pPr>
    </w:p>
    <w:p w14:paraId="33BC30C2">
      <w:pPr>
        <w:spacing w:line="360" w:lineRule="auto"/>
        <w:jc w:val="both"/>
        <w:rPr>
          <w:rFonts w:ascii="Arial" w:hAnsi="Arial" w:cs="Arial"/>
          <w:b/>
          <w:bCs/>
          <w:sz w:val="24"/>
          <w:szCs w:val="24"/>
        </w:rPr>
      </w:pPr>
    </w:p>
    <w:p w14:paraId="1A91B27D">
      <w:pPr>
        <w:spacing w:line="360" w:lineRule="auto"/>
        <w:jc w:val="both"/>
        <w:rPr>
          <w:rFonts w:ascii="Arial" w:hAnsi="Arial" w:cs="Arial"/>
          <w:b/>
          <w:bCs/>
          <w:sz w:val="24"/>
          <w:szCs w:val="24"/>
        </w:rPr>
      </w:pPr>
      <w:r>
        <w:rPr>
          <w:rFonts w:ascii="Arial" w:hAnsi="Arial" w:cs="Arial"/>
          <w:b/>
          <w:bCs/>
          <w:sz w:val="24"/>
          <w:szCs w:val="24"/>
        </w:rPr>
        <w:t xml:space="preserve">1. Introduction </w:t>
      </w:r>
    </w:p>
    <w:p w14:paraId="627934FB">
      <w:pPr>
        <w:spacing w:line="360" w:lineRule="auto"/>
        <w:jc w:val="both"/>
        <w:rPr>
          <w:rFonts w:ascii="Arial" w:hAnsi="Arial" w:cs="Arial"/>
          <w:sz w:val="24"/>
          <w:szCs w:val="24"/>
        </w:rPr>
      </w:pPr>
      <w:r>
        <w:rPr>
          <w:rFonts w:ascii="Arial" w:hAnsi="Arial" w:cs="Arial"/>
          <w:sz w:val="24"/>
          <w:szCs w:val="24"/>
        </w:rPr>
        <w:t xml:space="preserve">Hyatt Hotels Corporation is a prominent global hospitality organisation recognised for its varied brand portfolio, covering luxury, lifestyle, and business hotels. It has locations in key regions, including North America, Europe, Asia, and the Middle East. Established in 1957, Hyatt has grown its operations to more than 70 countries, serving diverse market segments through brands such as Park Hyatt, Andaz, and Hyatt Regency. The primary services include luxury accommodations, superior customer service, wellness programs, and comprehensive event-hosting capabilities. Hyatt's dedication to fostering meaningful experiences has positioned it as a prominent entity within the competitive hotel sector. </w:t>
      </w:r>
    </w:p>
    <w:p w14:paraId="5EF27DA3">
      <w:pPr>
        <w:spacing w:line="360" w:lineRule="auto"/>
        <w:jc w:val="both"/>
        <w:rPr>
          <w:rFonts w:ascii="Arial" w:hAnsi="Arial" w:cs="Arial"/>
          <w:sz w:val="24"/>
          <w:szCs w:val="24"/>
        </w:rPr>
      </w:pPr>
      <w:r>
        <w:rPr>
          <w:rFonts w:ascii="Arial" w:hAnsi="Arial" w:cs="Arial"/>
          <w:sz w:val="24"/>
          <w:szCs w:val="24"/>
        </w:rPr>
        <w:t>This report aims to evaluate the organisational structure, cultural dynamics, corporate objectives, recent change initiatives, and strategic direction of Hyatt Hotels Corporation. This report thoroughly analyses the factors influencing Hyatt's adaptability and competitiveness in a dynamic global market.</w:t>
      </w:r>
    </w:p>
    <w:p w14:paraId="17CACB1B">
      <w:pPr>
        <w:spacing w:line="360" w:lineRule="auto"/>
        <w:jc w:val="both"/>
        <w:rPr>
          <w:rFonts w:ascii="Arial" w:hAnsi="Arial" w:cs="Arial"/>
          <w:sz w:val="24"/>
          <w:szCs w:val="24"/>
        </w:rPr>
      </w:pPr>
      <w:r>
        <w:rPr>
          <w:rFonts w:ascii="Arial" w:hAnsi="Arial" w:cs="Arial"/>
          <w:sz w:val="24"/>
          <w:szCs w:val="24"/>
        </w:rPr>
        <w:t xml:space="preserve">This report addresses four primary areas: Hyatt’s organisational structure and corporate culture, recent change initiatives, strategic direction, and recommendations for future enhancements. Each section incorporates pertinent theories and comparative analysis to offer a comprehensive perspective on Hyatt’s operations and its alignment with industry best practices and strategic objectives. </w:t>
      </w:r>
    </w:p>
    <w:p w14:paraId="59DE8C12">
      <w:pPr>
        <w:spacing w:line="360" w:lineRule="auto"/>
        <w:jc w:val="both"/>
        <w:rPr>
          <w:rFonts w:ascii="Arial" w:hAnsi="Arial" w:cs="Arial"/>
          <w:sz w:val="24"/>
          <w:szCs w:val="24"/>
        </w:rPr>
      </w:pPr>
    </w:p>
    <w:p w14:paraId="49B07065">
      <w:pPr>
        <w:spacing w:line="360" w:lineRule="auto"/>
        <w:jc w:val="both"/>
        <w:rPr>
          <w:rFonts w:ascii="Arial" w:hAnsi="Arial" w:cs="Arial"/>
          <w:sz w:val="24"/>
          <w:szCs w:val="24"/>
        </w:rPr>
      </w:pPr>
    </w:p>
    <w:p w14:paraId="10D4B513">
      <w:pPr>
        <w:spacing w:line="360" w:lineRule="auto"/>
        <w:jc w:val="both"/>
        <w:rPr>
          <w:rFonts w:ascii="Arial" w:hAnsi="Arial" w:cs="Arial"/>
          <w:b/>
          <w:bCs/>
          <w:sz w:val="24"/>
          <w:szCs w:val="24"/>
          <w:u w:val="single"/>
        </w:rPr>
      </w:pPr>
      <w:r>
        <w:rPr>
          <w:rFonts w:ascii="Arial" w:hAnsi="Arial" w:cs="Arial"/>
          <w:b/>
          <w:bCs/>
          <w:sz w:val="24"/>
          <w:szCs w:val="24"/>
          <w:u w:val="single"/>
        </w:rPr>
        <w:t>2. Organisation Structure, Culture, and Goals</w:t>
      </w:r>
    </w:p>
    <w:p w14:paraId="566A2F9D">
      <w:pPr>
        <w:spacing w:line="360" w:lineRule="auto"/>
        <w:jc w:val="both"/>
        <w:rPr>
          <w:rFonts w:ascii="Arial" w:hAnsi="Arial" w:cs="Arial"/>
          <w:b/>
          <w:bCs/>
          <w:sz w:val="24"/>
          <w:szCs w:val="24"/>
        </w:rPr>
      </w:pPr>
    </w:p>
    <w:p w14:paraId="4B336056">
      <w:pPr>
        <w:spacing w:line="360" w:lineRule="auto"/>
        <w:jc w:val="both"/>
        <w:rPr>
          <w:rFonts w:ascii="Arial" w:hAnsi="Arial" w:cs="Arial"/>
          <w:b/>
          <w:bCs/>
          <w:sz w:val="24"/>
          <w:szCs w:val="24"/>
        </w:rPr>
      </w:pPr>
      <w:r>
        <w:rPr>
          <w:rFonts w:ascii="Arial" w:hAnsi="Arial" w:cs="Arial"/>
          <w:b/>
          <w:bCs/>
          <w:sz w:val="24"/>
          <w:szCs w:val="24"/>
        </w:rPr>
        <w:t>2.1 Organisational Structure</w:t>
      </w:r>
    </w:p>
    <w:p w14:paraId="4C6E5233">
      <w:pPr>
        <w:spacing w:line="360" w:lineRule="auto"/>
        <w:jc w:val="both"/>
        <w:rPr>
          <w:rFonts w:ascii="Arial" w:hAnsi="Arial" w:cs="Arial"/>
          <w:b/>
          <w:bCs/>
          <w:sz w:val="24"/>
          <w:szCs w:val="24"/>
        </w:rPr>
      </w:pPr>
    </w:p>
    <w:p w14:paraId="0D039332">
      <w:pPr>
        <w:spacing w:line="360" w:lineRule="auto"/>
        <w:jc w:val="both"/>
        <w:rPr>
          <w:rFonts w:ascii="Arial" w:hAnsi="Arial" w:cs="Arial"/>
          <w:b/>
          <w:bCs/>
          <w:sz w:val="24"/>
          <w:szCs w:val="24"/>
        </w:rPr>
      </w:pPr>
      <w:r>
        <w:rPr>
          <w:rFonts w:ascii="Arial" w:hAnsi="Arial" w:cs="Arial"/>
          <w:b/>
          <w:bCs/>
          <w:sz w:val="24"/>
          <w:szCs w:val="24"/>
        </w:rPr>
        <w:t>Structure Type</w:t>
      </w:r>
    </w:p>
    <w:p w14:paraId="397CD0FC">
      <w:pPr>
        <w:spacing w:line="360" w:lineRule="auto"/>
        <w:jc w:val="both"/>
        <w:rPr>
          <w:rFonts w:ascii="Arial" w:hAnsi="Arial" w:cs="Arial"/>
          <w:sz w:val="24"/>
          <w:szCs w:val="24"/>
        </w:rPr>
      </w:pPr>
      <w:r>
        <w:rPr>
          <w:rFonts w:ascii="Arial" w:hAnsi="Arial" w:cs="Arial"/>
          <w:sz w:val="24"/>
          <w:szCs w:val="24"/>
        </w:rPr>
        <w:t xml:space="preserve">Hyatt Hotels Corporation employs a divisionalized structure, which is effective for large, global hotel chains managing diverse brands and market segments. This structure enables Hyatt to categorise its operations into specific divisions according to brand or geographic area, with each division managed by a division manager responsible for maintaining brand consistency, aligning with market demands, and achieving operational objectives (Schaffer, 1984). </w:t>
      </w:r>
    </w:p>
    <w:p w14:paraId="0D1DA7D8">
      <w:pPr>
        <w:spacing w:line="360" w:lineRule="auto"/>
        <w:jc w:val="both"/>
        <w:rPr>
          <w:rFonts w:ascii="Arial" w:hAnsi="Arial" w:cs="Arial"/>
          <w:sz w:val="24"/>
          <w:szCs w:val="24"/>
        </w:rPr>
      </w:pPr>
    </w:p>
    <w:p w14:paraId="5D32915F">
      <w:pPr>
        <w:spacing w:line="360" w:lineRule="auto"/>
        <w:jc w:val="both"/>
        <w:rPr>
          <w:rFonts w:ascii="Arial" w:hAnsi="Arial" w:cs="Arial"/>
          <w:sz w:val="24"/>
          <w:szCs w:val="24"/>
        </w:rPr>
      </w:pPr>
      <w:r>
        <w:rPr>
          <w:rFonts w:ascii="Arial" w:hAnsi="Arial" w:cs="Arial"/>
          <w:sz w:val="24"/>
          <w:szCs w:val="24"/>
        </w:rPr>
        <w:t>This model corresponds with Mintzberg’s “Divisionalized Form,” in which separate market units oversee operations, supported by centralised strategic guidance from corporate headquarters. Mintzberg’s model indicates that divisionalized structures gain advantages from output standardisation, which allows for autonomy within each division while preserving centralised control over strategic direction and brand image (Mintzberg, 1980).</w:t>
      </w:r>
    </w:p>
    <w:p w14:paraId="77FFC9CB">
      <w:pPr>
        <w:spacing w:line="360" w:lineRule="auto"/>
        <w:jc w:val="both"/>
        <w:rPr>
          <w:rFonts w:ascii="Arial" w:hAnsi="Arial" w:cs="Arial"/>
          <w:sz w:val="24"/>
          <w:szCs w:val="24"/>
        </w:rPr>
      </w:pPr>
      <w:r>
        <w:rPr>
          <w:rFonts w:ascii="Arial" w:hAnsi="Arial" w:cs="Arial"/>
          <w:sz w:val="24"/>
          <w:szCs w:val="24"/>
        </w:rPr>
        <w:t xml:space="preserve">The organisational structure of Hyatt is shaped by the principles of centralisation and decentralisation (Praporski, 2008). Strategic decisions and brand guidelines are centralised at the corporate level, whereas day-to-day operational decisions are decentralised, allowing regional and brand managers to respond to local market demands (Mitchell, 1990). Integrating centralised strategic oversight with decentralised operations enables Hyatt to maintain corporate consistency while offering the flexibility necessary to address varied market demands. </w:t>
      </w:r>
    </w:p>
    <w:p w14:paraId="2AED5A3F">
      <w:pPr>
        <w:spacing w:line="360" w:lineRule="auto"/>
        <w:jc w:val="both"/>
        <w:rPr>
          <w:rFonts w:ascii="Arial" w:hAnsi="Arial" w:cs="Arial"/>
          <w:b/>
          <w:bCs/>
          <w:sz w:val="24"/>
          <w:szCs w:val="24"/>
        </w:rPr>
      </w:pPr>
    </w:p>
    <w:p w14:paraId="6EABF322">
      <w:pPr>
        <w:spacing w:line="360" w:lineRule="auto"/>
        <w:jc w:val="both"/>
        <w:rPr>
          <w:rFonts w:ascii="Arial" w:hAnsi="Arial" w:cs="Arial"/>
          <w:b/>
          <w:bCs/>
          <w:sz w:val="24"/>
          <w:szCs w:val="24"/>
        </w:rPr>
      </w:pPr>
      <w:r>
        <w:rPr>
          <w:rFonts w:ascii="Arial" w:hAnsi="Arial" w:cs="Arial"/>
          <w:b/>
          <w:bCs/>
          <w:sz w:val="24"/>
          <w:szCs w:val="24"/>
        </w:rPr>
        <w:t>Inverted Organization Concept</w:t>
      </w:r>
    </w:p>
    <w:p w14:paraId="559B4DCB">
      <w:pPr>
        <w:spacing w:line="360" w:lineRule="auto"/>
        <w:jc w:val="both"/>
        <w:rPr>
          <w:rFonts w:ascii="Arial" w:hAnsi="Arial" w:cs="Arial"/>
          <w:sz w:val="24"/>
          <w:szCs w:val="24"/>
        </w:rPr>
      </w:pPr>
      <w:r>
        <w:rPr>
          <w:rFonts w:ascii="Arial" w:hAnsi="Arial" w:cs="Arial"/>
          <w:sz w:val="24"/>
          <w:szCs w:val="24"/>
        </w:rPr>
        <w:t>The inverted organisation theory accentuates empowering front-line staff to prioritise guest satisfaction, which partially aligns with Hyatt's operational approach. Hyatt promotes decentralised decision-making at the individual hotel level to improve guest experiences, a strategy consistent with the inverted organisation principle prioritising operations at the front line (Praporski, 2008). Hyatt's structure integrates elements of the inverted model while preserving a hierarchical framework for strategic consistency and resource management efficiency, demonstrating the adaptability of its hybrid approach.</w:t>
      </w:r>
    </w:p>
    <w:p w14:paraId="3C262105">
      <w:pPr>
        <w:spacing w:line="360" w:lineRule="auto"/>
        <w:jc w:val="both"/>
        <w:rPr>
          <w:rFonts w:ascii="Arial" w:hAnsi="Arial" w:cs="Arial"/>
          <w:sz w:val="24"/>
          <w:szCs w:val="24"/>
        </w:rPr>
      </w:pPr>
    </w:p>
    <w:p w14:paraId="1DCD9D1A">
      <w:pPr>
        <w:spacing w:line="360" w:lineRule="auto"/>
        <w:jc w:val="both"/>
        <w:rPr>
          <w:rFonts w:ascii="Arial" w:hAnsi="Arial" w:cs="Arial"/>
          <w:b/>
          <w:bCs/>
          <w:sz w:val="24"/>
          <w:szCs w:val="24"/>
          <w:u w:val="single"/>
        </w:rPr>
      </w:pPr>
      <w:r>
        <w:rPr>
          <w:rFonts w:ascii="Arial" w:hAnsi="Arial" w:cs="Arial"/>
          <w:b/>
          <w:bCs/>
          <w:sz w:val="24"/>
          <w:szCs w:val="24"/>
          <w:u w:val="single"/>
        </w:rPr>
        <w:t>2.2 Corporate Culture</w:t>
      </w:r>
    </w:p>
    <w:p w14:paraId="4DF53D99">
      <w:pPr>
        <w:spacing w:line="360" w:lineRule="auto"/>
        <w:jc w:val="both"/>
        <w:rPr>
          <w:rFonts w:ascii="Arial" w:hAnsi="Arial" w:cs="Arial"/>
          <w:b/>
          <w:bCs/>
          <w:sz w:val="24"/>
          <w:szCs w:val="24"/>
        </w:rPr>
      </w:pPr>
    </w:p>
    <w:p w14:paraId="7410B194">
      <w:pPr>
        <w:spacing w:line="360" w:lineRule="auto"/>
        <w:jc w:val="both"/>
        <w:rPr>
          <w:rFonts w:ascii="Arial" w:hAnsi="Arial" w:cs="Arial"/>
          <w:b/>
          <w:bCs/>
          <w:sz w:val="24"/>
          <w:szCs w:val="24"/>
        </w:rPr>
      </w:pPr>
      <w:r>
        <w:rPr>
          <w:rFonts w:ascii="Arial" w:hAnsi="Arial" w:cs="Arial"/>
          <w:b/>
          <w:bCs/>
          <w:sz w:val="24"/>
          <w:szCs w:val="24"/>
        </w:rPr>
        <w:t>Definition and Overview</w:t>
      </w:r>
    </w:p>
    <w:p w14:paraId="0F35591E">
      <w:pPr>
        <w:spacing w:line="360" w:lineRule="auto"/>
        <w:jc w:val="both"/>
        <w:rPr>
          <w:rFonts w:ascii="Arial" w:hAnsi="Arial" w:cs="Arial"/>
          <w:sz w:val="24"/>
          <w:szCs w:val="24"/>
        </w:rPr>
      </w:pPr>
      <w:r>
        <w:rPr>
          <w:rFonts w:ascii="Arial" w:hAnsi="Arial" w:cs="Arial"/>
          <w:sz w:val="24"/>
          <w:szCs w:val="24"/>
        </w:rPr>
        <w:t>Hyatt's corporate culture can be analysed using Schein's model, which delineates various organisational cultural levels: belongings, established principles, and underlying assumptions.</w:t>
      </w:r>
    </w:p>
    <w:p w14:paraId="743692F4">
      <w:pPr>
        <w:spacing w:line="360" w:lineRule="auto"/>
        <w:jc w:val="both"/>
        <w:rPr>
          <w:rFonts w:ascii="Arial" w:hAnsi="Arial" w:cs="Arial"/>
          <w:sz w:val="24"/>
          <w:szCs w:val="24"/>
        </w:rPr>
      </w:pPr>
    </w:p>
    <w:p w14:paraId="3F797161">
      <w:pPr>
        <w:spacing w:line="360" w:lineRule="auto"/>
        <w:jc w:val="both"/>
        <w:rPr>
          <w:rFonts w:ascii="Arial" w:hAnsi="Arial" w:cs="Arial"/>
          <w:sz w:val="24"/>
          <w:szCs w:val="24"/>
        </w:rPr>
      </w:pPr>
      <w:r>
        <w:rPr>
          <w:rFonts w:ascii="Arial" w:hAnsi="Arial" w:cs="Arial"/>
          <w:sz w:val="24"/>
          <w:szCs w:val="24"/>
        </w:rPr>
        <w:t xml:space="preserve"> Hyatt’s brand values, which emphasise exceptional customer service, inclusivity, and sustainability, constitute the foundation of its corporate culture and influence employee behaviour and decision-making at all levels (Schein, 2017). Handy’s model further illustrates this culture, with Hyatt demonstrating characteristics of a “Task Culture.” Task Culture highlights collaboration and project-oriented activities, aligning effectively with the hospitality industry's dynamic nature that necessitates flexibility and adaptability to address guests' varied needs (Handy, 2009).</w:t>
      </w:r>
    </w:p>
    <w:p w14:paraId="30FF5E65">
      <w:pPr>
        <w:spacing w:line="360" w:lineRule="auto"/>
        <w:jc w:val="both"/>
        <w:rPr>
          <w:rFonts w:ascii="Arial" w:hAnsi="Arial" w:cs="Arial"/>
          <w:sz w:val="24"/>
          <w:szCs w:val="24"/>
        </w:rPr>
      </w:pPr>
    </w:p>
    <w:p w14:paraId="4FD51F75">
      <w:pPr>
        <w:spacing w:line="360" w:lineRule="auto"/>
        <w:jc w:val="both"/>
        <w:rPr>
          <w:rFonts w:ascii="Arial" w:hAnsi="Arial" w:cs="Arial"/>
          <w:b/>
          <w:bCs/>
          <w:sz w:val="24"/>
          <w:szCs w:val="24"/>
        </w:rPr>
      </w:pPr>
      <w:r>
        <w:rPr>
          <w:rFonts w:ascii="Arial" w:hAnsi="Arial" w:cs="Arial"/>
          <w:b/>
          <w:bCs/>
          <w:sz w:val="24"/>
          <w:szCs w:val="24"/>
        </w:rPr>
        <w:t>Impact on Operations</w:t>
      </w:r>
    </w:p>
    <w:p w14:paraId="3E24B262">
      <w:pPr>
        <w:spacing w:line="360" w:lineRule="auto"/>
        <w:jc w:val="both"/>
        <w:rPr>
          <w:rFonts w:ascii="Arial" w:hAnsi="Arial" w:cs="Arial"/>
          <w:sz w:val="24"/>
          <w:szCs w:val="24"/>
        </w:rPr>
      </w:pPr>
      <w:r>
        <w:rPr>
          <w:rFonts w:ascii="Arial" w:hAnsi="Arial" w:cs="Arial"/>
          <w:sz w:val="24"/>
          <w:szCs w:val="24"/>
        </w:rPr>
        <w:t>The culture at Hyatt plays a crucial role in shaping its operations and customer service. The focus on service excellence and inclusivity extends to individual hotels, influencing employee interactions with guests and promoting a collaborative team environment. This culture supports proactive problem-solving and enhances employee engagement, consistent with service-oriented performance standards in hospitality (Martela, 2019). The explicit definition of cultural values ensures a uniform guest experience throughout Hyatt’s varied portfolio, enhancing brand loyalty and reputation.</w:t>
      </w:r>
    </w:p>
    <w:p w14:paraId="20DC1C24">
      <w:pPr>
        <w:spacing w:line="360" w:lineRule="auto"/>
        <w:jc w:val="both"/>
        <w:rPr>
          <w:rFonts w:ascii="Arial" w:hAnsi="Arial" w:cs="Arial"/>
          <w:sz w:val="24"/>
          <w:szCs w:val="24"/>
        </w:rPr>
      </w:pPr>
    </w:p>
    <w:p w14:paraId="37304FF2">
      <w:pPr>
        <w:spacing w:line="360" w:lineRule="auto"/>
        <w:jc w:val="both"/>
        <w:rPr>
          <w:rFonts w:ascii="Arial" w:hAnsi="Arial" w:cs="Arial"/>
          <w:b/>
          <w:bCs/>
          <w:sz w:val="24"/>
          <w:szCs w:val="24"/>
        </w:rPr>
      </w:pPr>
      <w:r>
        <w:rPr>
          <w:rFonts w:ascii="Arial" w:hAnsi="Arial" w:cs="Arial"/>
          <w:b/>
          <w:bCs/>
          <w:sz w:val="24"/>
          <w:szCs w:val="24"/>
        </w:rPr>
        <w:t>Case Comparisons</w:t>
      </w:r>
    </w:p>
    <w:p w14:paraId="5377B999">
      <w:pPr>
        <w:spacing w:line="360" w:lineRule="auto"/>
        <w:jc w:val="both"/>
        <w:rPr>
          <w:rFonts w:ascii="Arial" w:hAnsi="Arial" w:cs="Arial"/>
          <w:sz w:val="24"/>
          <w:szCs w:val="24"/>
        </w:rPr>
      </w:pPr>
      <w:r>
        <w:rPr>
          <w:rFonts w:ascii="Arial" w:hAnsi="Arial" w:cs="Arial"/>
          <w:sz w:val="24"/>
          <w:szCs w:val="24"/>
        </w:rPr>
        <w:t>Marriott International exhibits a comparable organisational structure, emphasising a "Role Culture" as characterised by Handy, which is hierarchical and defined by established roles and procedures. Both Marriott and Hyatt uphold high service standards; however, Marriott's organisational structure is more rigid, emphasising procedural efficiency. Hyatt’s Task Culture promotes flexibility and innovation at the hotel level, improving the guest experience and enabling localised adjustments according to market demand (Schaffer, 1984).</w:t>
      </w:r>
    </w:p>
    <w:p w14:paraId="7C0C9390">
      <w:pPr>
        <w:spacing w:line="360" w:lineRule="auto"/>
        <w:jc w:val="both"/>
        <w:rPr>
          <w:rFonts w:ascii="Arial" w:hAnsi="Arial" w:cs="Arial"/>
          <w:b/>
          <w:bCs/>
          <w:sz w:val="24"/>
          <w:szCs w:val="24"/>
        </w:rPr>
      </w:pPr>
    </w:p>
    <w:p w14:paraId="331815BF">
      <w:pPr>
        <w:spacing w:line="360" w:lineRule="auto"/>
        <w:jc w:val="both"/>
        <w:rPr>
          <w:rFonts w:ascii="Arial" w:hAnsi="Arial" w:cs="Arial"/>
          <w:b/>
          <w:bCs/>
          <w:sz w:val="24"/>
          <w:szCs w:val="24"/>
        </w:rPr>
      </w:pPr>
      <w:r>
        <w:rPr>
          <w:rFonts w:ascii="Arial" w:hAnsi="Arial" w:cs="Arial"/>
          <w:b/>
          <w:bCs/>
          <w:sz w:val="24"/>
          <w:szCs w:val="24"/>
        </w:rPr>
        <w:t>2.3 Goals of the Organisation</w:t>
      </w:r>
    </w:p>
    <w:p w14:paraId="3E072132">
      <w:pPr>
        <w:spacing w:line="360" w:lineRule="auto"/>
        <w:jc w:val="both"/>
        <w:rPr>
          <w:rFonts w:ascii="Arial" w:hAnsi="Arial" w:cs="Arial"/>
          <w:b/>
          <w:bCs/>
          <w:sz w:val="24"/>
          <w:szCs w:val="24"/>
        </w:rPr>
      </w:pPr>
      <w:r>
        <w:rPr>
          <w:rFonts w:ascii="Arial" w:hAnsi="Arial" w:cs="Arial"/>
          <w:b/>
          <w:bCs/>
          <w:sz w:val="24"/>
          <w:szCs w:val="24"/>
        </w:rPr>
        <w:t>Corporate Goals</w:t>
      </w:r>
    </w:p>
    <w:p w14:paraId="4F8200DB">
      <w:pPr>
        <w:spacing w:line="360" w:lineRule="auto"/>
        <w:jc w:val="both"/>
        <w:rPr>
          <w:rFonts w:ascii="Arial" w:hAnsi="Arial" w:cs="Arial"/>
          <w:sz w:val="24"/>
          <w:szCs w:val="24"/>
        </w:rPr>
      </w:pPr>
      <w:r>
        <w:rPr>
          <w:rFonts w:ascii="Arial" w:hAnsi="Arial" w:cs="Arial"/>
          <w:sz w:val="24"/>
          <w:szCs w:val="24"/>
        </w:rPr>
        <w:t>Hyatt's primary objectives demonstrate its dedication to sustainable development, customer satisfaction, and corporate accountability.</w:t>
      </w:r>
    </w:p>
    <w:p w14:paraId="329148B7">
      <w:pPr>
        <w:spacing w:line="360" w:lineRule="auto"/>
        <w:jc w:val="both"/>
        <w:rPr>
          <w:rFonts w:ascii="Arial" w:hAnsi="Arial" w:cs="Arial"/>
          <w:sz w:val="24"/>
          <w:szCs w:val="24"/>
        </w:rPr>
      </w:pPr>
      <w:r>
        <w:rPr>
          <w:rFonts w:ascii="Arial" w:hAnsi="Arial" w:cs="Arial"/>
          <w:sz w:val="24"/>
          <w:szCs w:val="24"/>
        </w:rPr>
        <w:t xml:space="preserve"> Strategic objectives encompass the augmentation of global market share and advancing environmentally sustainable practices, including reducing carbon emissions and waste across its properties (Hyatt, 2024). The objectives correspond with industry trends that emphasise environmental responsibility, essential to Hyatt's mission of promoting sustainable development in the hospitality sector (Schaffer, 1984).</w:t>
      </w:r>
    </w:p>
    <w:p w14:paraId="0A9F6E40">
      <w:pPr>
        <w:spacing w:line="360" w:lineRule="auto"/>
        <w:jc w:val="both"/>
        <w:rPr>
          <w:rFonts w:ascii="Arial" w:hAnsi="Arial" w:cs="Arial"/>
          <w:b/>
          <w:bCs/>
          <w:sz w:val="24"/>
          <w:szCs w:val="24"/>
        </w:rPr>
      </w:pPr>
      <w:r>
        <w:rPr>
          <w:rFonts w:ascii="Arial" w:hAnsi="Arial" w:cs="Arial"/>
          <w:b/>
          <w:bCs/>
          <w:sz w:val="24"/>
          <w:szCs w:val="24"/>
        </w:rPr>
        <w:t>Unit-Level Goals</w:t>
      </w:r>
    </w:p>
    <w:p w14:paraId="21553198">
      <w:pPr>
        <w:spacing w:line="360" w:lineRule="auto"/>
        <w:jc w:val="both"/>
        <w:rPr>
          <w:rFonts w:ascii="Arial" w:hAnsi="Arial" w:cs="Arial"/>
          <w:sz w:val="24"/>
          <w:szCs w:val="24"/>
        </w:rPr>
      </w:pPr>
      <w:r>
        <w:rPr>
          <w:rFonts w:ascii="Arial" w:hAnsi="Arial" w:cs="Arial"/>
          <w:sz w:val="24"/>
          <w:szCs w:val="24"/>
        </w:rPr>
        <w:t>Hyatt's individual hotel-level objectives are primarily operational, emphasising metrics like occupancy rates, guest satisfaction scores, and employee engagement. The unit-level objectives align with the corporate mission by guaranteeing each property adheres to Hyatt's brand standards while customising services to address local needs (Praporski, 2008). Individual hotels are empowered to implement localised strategies within the corporate framework, facilitating targeted service improvements and market-specific adjustments that enhance Hyatt’s overall performance across diverse regions (Mitchell, 1990).</w:t>
      </w:r>
    </w:p>
    <w:p w14:paraId="64D46AB4">
      <w:pPr>
        <w:spacing w:line="360" w:lineRule="auto"/>
        <w:jc w:val="both"/>
        <w:rPr>
          <w:rFonts w:ascii="Arial" w:hAnsi="Arial" w:cs="Arial"/>
          <w:b/>
          <w:bCs/>
          <w:sz w:val="24"/>
          <w:szCs w:val="24"/>
          <w:u w:val="single"/>
        </w:rPr>
      </w:pPr>
    </w:p>
    <w:p w14:paraId="5C5C4B5D">
      <w:pPr>
        <w:spacing w:line="360" w:lineRule="auto"/>
        <w:jc w:val="both"/>
        <w:rPr>
          <w:rFonts w:ascii="Arial" w:hAnsi="Arial" w:cs="Arial"/>
          <w:b/>
          <w:bCs/>
          <w:sz w:val="24"/>
          <w:szCs w:val="24"/>
          <w:u w:val="single"/>
        </w:rPr>
      </w:pPr>
      <w:r>
        <w:rPr>
          <w:rFonts w:ascii="Arial" w:hAnsi="Arial" w:cs="Arial"/>
          <w:b/>
          <w:bCs/>
          <w:sz w:val="24"/>
          <w:szCs w:val="24"/>
          <w:u w:val="single"/>
        </w:rPr>
        <w:t xml:space="preserve">3. Recent Change Initiatives </w:t>
      </w:r>
    </w:p>
    <w:p w14:paraId="1A3AC6CA">
      <w:pPr>
        <w:spacing w:line="360" w:lineRule="auto"/>
        <w:jc w:val="both"/>
        <w:rPr>
          <w:rFonts w:ascii="Arial" w:hAnsi="Arial" w:cs="Arial"/>
          <w:b/>
          <w:bCs/>
          <w:sz w:val="24"/>
          <w:szCs w:val="24"/>
        </w:rPr>
      </w:pPr>
    </w:p>
    <w:p w14:paraId="5BC422FF">
      <w:pPr>
        <w:spacing w:line="360" w:lineRule="auto"/>
        <w:jc w:val="both"/>
        <w:rPr>
          <w:rFonts w:ascii="Arial" w:hAnsi="Arial" w:cs="Arial"/>
          <w:b/>
          <w:bCs/>
          <w:sz w:val="24"/>
          <w:szCs w:val="24"/>
        </w:rPr>
      </w:pPr>
      <w:r>
        <w:rPr>
          <w:rFonts w:ascii="Arial" w:hAnsi="Arial" w:cs="Arial"/>
          <w:b/>
          <w:bCs/>
          <w:sz w:val="24"/>
          <w:szCs w:val="24"/>
        </w:rPr>
        <w:t>3.1 Identification of Recent Changes</w:t>
      </w:r>
    </w:p>
    <w:p w14:paraId="0E7F8647">
      <w:pPr>
        <w:spacing w:line="360" w:lineRule="auto"/>
        <w:jc w:val="both"/>
        <w:rPr>
          <w:rFonts w:ascii="Arial" w:hAnsi="Arial" w:cs="Arial"/>
          <w:b/>
          <w:bCs/>
          <w:sz w:val="24"/>
          <w:szCs w:val="24"/>
        </w:rPr>
      </w:pPr>
      <w:r>
        <w:rPr>
          <w:rFonts w:ascii="Arial" w:hAnsi="Arial" w:cs="Arial"/>
          <w:b/>
          <w:bCs/>
          <w:sz w:val="24"/>
          <w:szCs w:val="24"/>
        </w:rPr>
        <w:t>Types of Changes</w:t>
      </w:r>
    </w:p>
    <w:p w14:paraId="2C64C403">
      <w:pPr>
        <w:spacing w:line="360" w:lineRule="auto"/>
        <w:jc w:val="both"/>
        <w:rPr>
          <w:rFonts w:ascii="Arial" w:hAnsi="Arial" w:cs="Arial"/>
          <w:sz w:val="24"/>
          <w:szCs w:val="24"/>
        </w:rPr>
      </w:pPr>
      <w:r>
        <w:rPr>
          <w:rFonts w:ascii="Arial" w:hAnsi="Arial" w:cs="Arial"/>
          <w:sz w:val="24"/>
          <w:szCs w:val="24"/>
        </w:rPr>
        <w:t>Hyatt Hotels Corporation has recently implemented substantial changes focused on digital transformation and sustainability, which are essential for maintaining competitiveness and resilience (Hyatt, 2024). The COVID-19 pandemic rushed digital adoption within the hotel industry, as Hyatt implemented technologies to improve back-office efficiency and customer interactions (António and Rita, 2021). Hyatt's digital strategies encompass improving online booking systems, implementing mobile check-in options, and expanding virtual customer service (Hyatt, 2024). These innovations improve operational efficiency and elevate guest experiences by minimising wait times and facilitating contactless services, which are increasingly prioritised by customers (Alrawadieh et al., 2020). Hyatt has prioritised sustainability initiatives.</w:t>
      </w:r>
    </w:p>
    <w:p w14:paraId="6C8CAE19">
      <w:pPr>
        <w:spacing w:line="360" w:lineRule="auto"/>
        <w:jc w:val="both"/>
        <w:rPr>
          <w:rFonts w:ascii="Arial" w:hAnsi="Arial" w:cs="Arial"/>
          <w:sz w:val="24"/>
          <w:szCs w:val="24"/>
        </w:rPr>
      </w:pPr>
      <w:r>
        <w:rPr>
          <w:rFonts w:ascii="Arial" w:hAnsi="Arial" w:cs="Arial"/>
          <w:sz w:val="24"/>
          <w:szCs w:val="24"/>
        </w:rPr>
        <w:t xml:space="preserve"> The hotel group has implemented sustainable practices throughout its properties, including waste reduction, energy-efficient technologies, and green building certifications. Implementing green human resource practices (GHRM) strengthens sustainability commitments by encouraging environmentally conscious behaviours among employees and improving overall sustainability performance (Syed and Khan, 2022). These initiatives demonstrate Hyatt's alignment with industry trends and highlight its dedication to corporate social responsibility (Djevojić and Vitasović, 2023). </w:t>
      </w:r>
    </w:p>
    <w:p w14:paraId="6BFFDB35">
      <w:pPr>
        <w:spacing w:line="360" w:lineRule="auto"/>
        <w:jc w:val="both"/>
        <w:rPr>
          <w:rFonts w:ascii="Arial" w:hAnsi="Arial" w:cs="Arial"/>
          <w:sz w:val="24"/>
          <w:szCs w:val="24"/>
        </w:rPr>
      </w:pPr>
    </w:p>
    <w:p w14:paraId="51897045">
      <w:pPr>
        <w:spacing w:line="360" w:lineRule="auto"/>
        <w:jc w:val="both"/>
        <w:rPr>
          <w:rFonts w:ascii="Arial" w:hAnsi="Arial" w:cs="Arial"/>
          <w:b/>
          <w:bCs/>
          <w:sz w:val="24"/>
          <w:szCs w:val="24"/>
        </w:rPr>
      </w:pPr>
      <w:r>
        <w:rPr>
          <w:rFonts w:ascii="Arial" w:hAnsi="Arial" w:cs="Arial"/>
          <w:b/>
          <w:bCs/>
          <w:sz w:val="24"/>
          <w:szCs w:val="24"/>
        </w:rPr>
        <w:t>3.2 Impact Analysis</w:t>
      </w:r>
    </w:p>
    <w:p w14:paraId="20A4F630">
      <w:pPr>
        <w:spacing w:line="360" w:lineRule="auto"/>
        <w:jc w:val="both"/>
        <w:rPr>
          <w:rFonts w:ascii="Arial" w:hAnsi="Arial" w:cs="Arial"/>
          <w:b/>
          <w:bCs/>
          <w:sz w:val="24"/>
          <w:szCs w:val="24"/>
        </w:rPr>
      </w:pPr>
      <w:r>
        <w:rPr>
          <w:rFonts w:ascii="Arial" w:hAnsi="Arial" w:cs="Arial"/>
          <w:b/>
          <w:bCs/>
          <w:sz w:val="24"/>
          <w:szCs w:val="24"/>
        </w:rPr>
        <w:t>Effect on Operations and Staff</w:t>
      </w:r>
    </w:p>
    <w:p w14:paraId="73855139">
      <w:pPr>
        <w:spacing w:line="360" w:lineRule="auto"/>
        <w:jc w:val="both"/>
        <w:rPr>
          <w:rFonts w:ascii="Arial" w:hAnsi="Arial" w:cs="Arial"/>
          <w:sz w:val="24"/>
          <w:szCs w:val="24"/>
        </w:rPr>
      </w:pPr>
      <w:r>
        <w:rPr>
          <w:rFonts w:ascii="Arial" w:hAnsi="Arial" w:cs="Arial"/>
          <w:sz w:val="24"/>
          <w:szCs w:val="24"/>
        </w:rPr>
        <w:t>The digital and sustainable transformations at Hyatt have modified operations at both the corporate and individual hotel levels. Digitisation has optimised operations, enhanced process efficiency, and alleviated personnel administrative workload. Mobile check-in and digital payment options have decreased front-desk congestion, enabling staff to concentrate on personalised guest interactions (Farias and Cancino, 2021). Kotter’s change management model posits that successful change necessitates employee buy-in. Hyatt has implemented training programs to support the seamless adoption of new digital tools, ensuring employees feel equipped and valued during the transition (Prihanto and Kurniasari, 2019).</w:t>
      </w:r>
    </w:p>
    <w:p w14:paraId="5C89E3FA">
      <w:pPr>
        <w:spacing w:line="360" w:lineRule="auto"/>
        <w:jc w:val="both"/>
        <w:rPr>
          <w:rFonts w:ascii="Arial" w:hAnsi="Arial" w:cs="Arial"/>
          <w:sz w:val="24"/>
          <w:szCs w:val="24"/>
        </w:rPr>
      </w:pPr>
      <w:r>
        <w:rPr>
          <w:rFonts w:ascii="Arial" w:hAnsi="Arial" w:cs="Arial"/>
          <w:sz w:val="24"/>
          <w:szCs w:val="24"/>
        </w:rPr>
        <w:t>Hyatt's GHRM practices seek to align employee behaviours with environmental objectives, promoting a culture of ecological responsibility. Practices encompass green training programs, eco-friendly workplace policies, and incentives for environmentally conscious behaviours, enhancing staff engagement and aiding in achieving environmental targets (Syed and Khan, 2022).</w:t>
      </w:r>
    </w:p>
    <w:p w14:paraId="30FBD9CB">
      <w:pPr>
        <w:spacing w:line="360" w:lineRule="auto"/>
        <w:jc w:val="both"/>
        <w:rPr>
          <w:rFonts w:ascii="Arial" w:hAnsi="Arial" w:cs="Arial"/>
          <w:sz w:val="24"/>
          <w:szCs w:val="24"/>
        </w:rPr>
      </w:pPr>
    </w:p>
    <w:p w14:paraId="48DF10C5">
      <w:pPr>
        <w:spacing w:line="360" w:lineRule="auto"/>
        <w:jc w:val="both"/>
        <w:rPr>
          <w:rFonts w:ascii="Arial" w:hAnsi="Arial" w:cs="Arial"/>
          <w:b/>
          <w:bCs/>
          <w:sz w:val="24"/>
          <w:szCs w:val="24"/>
        </w:rPr>
      </w:pPr>
      <w:r>
        <w:rPr>
          <w:rFonts w:ascii="Arial" w:hAnsi="Arial" w:cs="Arial"/>
          <w:b/>
          <w:bCs/>
          <w:sz w:val="24"/>
          <w:szCs w:val="24"/>
        </w:rPr>
        <w:t>Customer Experience</w:t>
      </w:r>
    </w:p>
    <w:p w14:paraId="0D2D9C7F">
      <w:pPr>
        <w:spacing w:line="360" w:lineRule="auto"/>
        <w:jc w:val="both"/>
        <w:rPr>
          <w:rFonts w:ascii="Arial" w:hAnsi="Arial" w:cs="Arial"/>
          <w:sz w:val="24"/>
          <w:szCs w:val="24"/>
        </w:rPr>
      </w:pPr>
      <w:r>
        <w:rPr>
          <w:rFonts w:ascii="Arial" w:hAnsi="Arial" w:cs="Arial"/>
          <w:sz w:val="24"/>
          <w:szCs w:val="24"/>
        </w:rPr>
        <w:t xml:space="preserve">Hyatt's change initiatives have enhanced customer experience through digital innovations that address changing consumer expectations. Hyatt enhances guest experience through contactless services, ensuring a seamless and secure interaction, which is particularly significant in the post-pandemic context (António and Rita, 2021). </w:t>
      </w:r>
    </w:p>
    <w:p w14:paraId="30932F1B">
      <w:pPr>
        <w:spacing w:line="360" w:lineRule="auto"/>
        <w:jc w:val="both"/>
        <w:rPr>
          <w:rFonts w:ascii="Arial" w:hAnsi="Arial" w:cs="Arial"/>
          <w:sz w:val="24"/>
          <w:szCs w:val="24"/>
        </w:rPr>
      </w:pPr>
      <w:r>
        <w:rPr>
          <w:rFonts w:ascii="Arial" w:hAnsi="Arial" w:cs="Arial"/>
          <w:sz w:val="24"/>
          <w:szCs w:val="24"/>
        </w:rPr>
        <w:t>Sustainability initiatives attract a growing, environmentally aware customer base. Research indicates that environmentally sustainable hotel practices improve customer satisfaction, resulting in heightened loyalty and favourable online reviews (Sharrock et al., 2021). Hyatt's focus on sustainable operations enhances its environmental impact while reinforcing brand loyalty.</w:t>
      </w:r>
    </w:p>
    <w:p w14:paraId="1982FAF9">
      <w:pPr>
        <w:spacing w:line="360" w:lineRule="auto"/>
        <w:jc w:val="both"/>
        <w:rPr>
          <w:rFonts w:ascii="Arial" w:hAnsi="Arial" w:cs="Arial"/>
          <w:b/>
          <w:bCs/>
          <w:sz w:val="24"/>
          <w:szCs w:val="24"/>
        </w:rPr>
      </w:pPr>
      <w:r>
        <w:rPr>
          <w:rFonts w:ascii="Arial" w:hAnsi="Arial" w:cs="Arial"/>
          <w:b/>
          <w:bCs/>
          <w:sz w:val="24"/>
          <w:szCs w:val="24"/>
        </w:rPr>
        <w:t>3.3 Evaluation of Change Management</w:t>
      </w:r>
    </w:p>
    <w:p w14:paraId="50E2E5F7">
      <w:pPr>
        <w:spacing w:line="360" w:lineRule="auto"/>
        <w:jc w:val="both"/>
        <w:rPr>
          <w:rFonts w:ascii="Arial" w:hAnsi="Arial" w:cs="Arial"/>
          <w:b/>
          <w:bCs/>
          <w:sz w:val="24"/>
          <w:szCs w:val="24"/>
        </w:rPr>
      </w:pPr>
      <w:r>
        <w:rPr>
          <w:rFonts w:ascii="Arial" w:hAnsi="Arial" w:cs="Arial"/>
          <w:b/>
          <w:bCs/>
          <w:sz w:val="24"/>
          <w:szCs w:val="24"/>
        </w:rPr>
        <w:t>Success and Challenges</w:t>
      </w:r>
    </w:p>
    <w:p w14:paraId="2B9D27D2">
      <w:pPr>
        <w:spacing w:line="360" w:lineRule="auto"/>
        <w:jc w:val="both"/>
        <w:rPr>
          <w:rFonts w:ascii="Arial" w:hAnsi="Arial" w:cs="Arial"/>
          <w:sz w:val="24"/>
          <w:szCs w:val="24"/>
        </w:rPr>
      </w:pPr>
      <w:r>
        <w:rPr>
          <w:rFonts w:ascii="Arial" w:hAnsi="Arial" w:cs="Arial"/>
          <w:sz w:val="24"/>
          <w:szCs w:val="24"/>
        </w:rPr>
        <w:t xml:space="preserve">Hyatt's recent initiatives demonstrate notable strengths, especially in improving operational efficiency and aligning with customer values. Hyatt has maintained competitiveness and responded to evolving consumer preferences by integrating digital transformation and sustainable practices. Kotter’s change model, focusing on employee involvement and clear communication, has proven effective in reducing resistance and facilitating successful implementation (Alrawadieh et al., 2020). </w:t>
      </w:r>
    </w:p>
    <w:p w14:paraId="470D7D21">
      <w:pPr>
        <w:spacing w:line="360" w:lineRule="auto"/>
        <w:jc w:val="both"/>
        <w:rPr>
          <w:rFonts w:ascii="Arial" w:hAnsi="Arial" w:cs="Arial"/>
          <w:sz w:val="24"/>
          <w:szCs w:val="24"/>
        </w:rPr>
      </w:pPr>
      <w:r>
        <w:rPr>
          <w:rFonts w:ascii="Arial" w:hAnsi="Arial" w:cs="Arial"/>
          <w:sz w:val="24"/>
          <w:szCs w:val="24"/>
        </w:rPr>
        <w:t xml:space="preserve">Challenges remain, especially regarding the financial investment necessary for advanced digital systems and the cultural transformation required for effective sustainability practices. As described in Kotter’s model, resistance to change can result from concerns regarding job security and adaptation to new operational standards. Continuous training and support systems are essential for addressing these challenges and maintaining the advantages of Hyatt’s recent initiatives (Lam and Law, 2019). </w:t>
      </w:r>
    </w:p>
    <w:p w14:paraId="6B862CA8">
      <w:pPr>
        <w:spacing w:line="360" w:lineRule="auto"/>
        <w:jc w:val="both"/>
        <w:rPr>
          <w:rFonts w:ascii="Arial" w:hAnsi="Arial" w:cs="Arial"/>
          <w:sz w:val="24"/>
          <w:szCs w:val="24"/>
        </w:rPr>
      </w:pPr>
      <w:r>
        <w:rPr>
          <w:rFonts w:ascii="Arial" w:hAnsi="Arial" w:cs="Arial"/>
          <w:sz w:val="24"/>
          <w:szCs w:val="24"/>
        </w:rPr>
        <w:t xml:space="preserve">Hyatt's change management has effectively facilitated digital and sustainable transformations that correspond with industry trends while improving customer satisfaction. Hyatt can reinforce these changes for sustained success by addressing persistent challenges while improving employee engagement. </w:t>
      </w:r>
    </w:p>
    <w:p w14:paraId="55493AB1">
      <w:pPr>
        <w:spacing w:line="360" w:lineRule="auto"/>
        <w:jc w:val="both"/>
        <w:rPr>
          <w:rFonts w:ascii="Arial" w:hAnsi="Arial" w:cs="Arial"/>
          <w:b/>
          <w:bCs/>
          <w:sz w:val="24"/>
          <w:szCs w:val="24"/>
          <w:u w:val="single"/>
        </w:rPr>
      </w:pPr>
    </w:p>
    <w:p w14:paraId="156C28C9">
      <w:pPr>
        <w:spacing w:line="360" w:lineRule="auto"/>
        <w:jc w:val="both"/>
        <w:rPr>
          <w:rFonts w:ascii="Arial" w:hAnsi="Arial" w:cs="Arial"/>
          <w:b/>
          <w:bCs/>
          <w:sz w:val="24"/>
          <w:szCs w:val="24"/>
          <w:u w:val="single"/>
        </w:rPr>
      </w:pPr>
      <w:r>
        <w:rPr>
          <w:rFonts w:ascii="Arial" w:hAnsi="Arial" w:cs="Arial"/>
          <w:b/>
          <w:bCs/>
          <w:sz w:val="24"/>
          <w:szCs w:val="24"/>
          <w:u w:val="single"/>
        </w:rPr>
        <w:t xml:space="preserve">4. Strategic Direction </w:t>
      </w:r>
    </w:p>
    <w:p w14:paraId="71657551">
      <w:pPr>
        <w:spacing w:line="360" w:lineRule="auto"/>
        <w:jc w:val="both"/>
        <w:rPr>
          <w:rFonts w:ascii="Arial" w:hAnsi="Arial" w:cs="Arial"/>
          <w:b/>
          <w:bCs/>
          <w:sz w:val="24"/>
          <w:szCs w:val="24"/>
        </w:rPr>
      </w:pPr>
      <w:r>
        <w:rPr>
          <w:rFonts w:ascii="Arial" w:hAnsi="Arial" w:cs="Arial"/>
          <w:b/>
          <w:bCs/>
          <w:sz w:val="24"/>
          <w:szCs w:val="24"/>
        </w:rPr>
        <w:t>4.1 Current Strategic Direction</w:t>
      </w:r>
    </w:p>
    <w:p w14:paraId="5C529D82">
      <w:pPr>
        <w:spacing w:line="360" w:lineRule="auto"/>
        <w:jc w:val="both"/>
        <w:rPr>
          <w:rFonts w:ascii="Arial" w:hAnsi="Arial" w:cs="Arial"/>
          <w:b/>
          <w:bCs/>
          <w:sz w:val="24"/>
          <w:szCs w:val="24"/>
        </w:rPr>
      </w:pPr>
      <w:r>
        <w:rPr>
          <w:rFonts w:ascii="Arial" w:hAnsi="Arial" w:cs="Arial"/>
          <w:b/>
          <w:bCs/>
          <w:sz w:val="24"/>
          <w:szCs w:val="24"/>
        </w:rPr>
        <w:t>Strategic Vision and Mission</w:t>
      </w:r>
    </w:p>
    <w:p w14:paraId="5ABB5570">
      <w:pPr>
        <w:spacing w:line="360" w:lineRule="auto"/>
        <w:jc w:val="both"/>
        <w:rPr>
          <w:rFonts w:ascii="Arial" w:hAnsi="Arial" w:cs="Arial"/>
          <w:sz w:val="24"/>
          <w:szCs w:val="24"/>
        </w:rPr>
      </w:pPr>
      <w:r>
        <w:rPr>
          <w:rFonts w:ascii="Arial" w:hAnsi="Arial" w:cs="Arial"/>
          <w:sz w:val="24"/>
          <w:szCs w:val="24"/>
        </w:rPr>
        <w:t>Hyatt's strategic mission focuses on delivering genuine hospitality to generate value for guests, employees, and stakeholders. This corresponds with Mintzberg’s 5 Ps framework for strategic analysis—Plan, Ploy, Pattern, Position, and Perspective—by emphasising a consistent brand promise and a customer-centric approach across all hotels (Mintzberg, 1980).</w:t>
      </w:r>
    </w:p>
    <w:p w14:paraId="68717272">
      <w:pPr>
        <w:spacing w:line="360" w:lineRule="auto"/>
        <w:jc w:val="both"/>
        <w:rPr>
          <w:rFonts w:ascii="Arial" w:hAnsi="Arial" w:cs="Arial"/>
          <w:sz w:val="24"/>
          <w:szCs w:val="24"/>
        </w:rPr>
      </w:pPr>
      <w:r>
        <w:rPr>
          <w:rFonts w:ascii="Arial" w:hAnsi="Arial" w:cs="Arial"/>
          <w:sz w:val="24"/>
          <w:szCs w:val="24"/>
        </w:rPr>
        <w:t>Hyatt promotes inclusivity and diversity, facilitating a global presence that aims to unify individuals through a cohesive hospitality experience. Hyatt seeks to be a premier provider of distinctive experiences, focussing on its dedication to environmental and social responsibility (Porter, 2008).</w:t>
      </w:r>
    </w:p>
    <w:p w14:paraId="634060AB">
      <w:pPr>
        <w:spacing w:line="360" w:lineRule="auto"/>
        <w:jc w:val="both"/>
        <w:rPr>
          <w:rFonts w:ascii="Arial" w:hAnsi="Arial" w:cs="Arial"/>
          <w:sz w:val="24"/>
          <w:szCs w:val="24"/>
        </w:rPr>
      </w:pPr>
      <w:r>
        <w:rPr>
          <w:rFonts w:ascii="Arial" w:hAnsi="Arial" w:cs="Arial"/>
          <w:sz w:val="24"/>
          <w:szCs w:val="24"/>
        </w:rPr>
        <w:t>Hyatt's long-term objectives prioritise growth and sustainability. The company has implemented an expansion strategy by acquiring brands such as Alila and Miraval, aiming to diversify its portfolio and address niche markets in luxury and wellness (Alrawadieh et al., 2020). This corresponds with the Boston Matrix by situating itself within various segments—cash cows (established brands like Park Hyatt) and stars (growing brands like Hyatt Centric). The diversified brand portfolio enables Hyatt to achieve a competitive market position, catering to traditional and modern luxury consumers (Bruijl, 2018).</w:t>
      </w:r>
    </w:p>
    <w:p w14:paraId="37C9777C">
      <w:pPr>
        <w:spacing w:line="360" w:lineRule="auto"/>
        <w:jc w:val="both"/>
        <w:rPr>
          <w:rFonts w:ascii="Arial" w:hAnsi="Arial" w:cs="Arial"/>
          <w:b/>
          <w:bCs/>
          <w:sz w:val="24"/>
          <w:szCs w:val="24"/>
        </w:rPr>
      </w:pPr>
      <w:r>
        <w:rPr>
          <w:rFonts w:ascii="Arial" w:hAnsi="Arial" w:cs="Arial"/>
          <w:b/>
          <w:bCs/>
          <w:sz w:val="24"/>
          <w:szCs w:val="24"/>
        </w:rPr>
        <w:t>Strategic Objectives</w:t>
      </w:r>
    </w:p>
    <w:p w14:paraId="46F99116">
      <w:pPr>
        <w:spacing w:line="360" w:lineRule="auto"/>
        <w:jc w:val="both"/>
        <w:rPr>
          <w:rFonts w:ascii="Arial" w:hAnsi="Arial" w:cs="Arial"/>
          <w:sz w:val="24"/>
          <w:szCs w:val="24"/>
        </w:rPr>
      </w:pPr>
      <w:r>
        <w:rPr>
          <w:rFonts w:ascii="Arial" w:hAnsi="Arial" w:cs="Arial"/>
          <w:sz w:val="24"/>
          <w:szCs w:val="24"/>
        </w:rPr>
        <w:t>Hyatt aims to attain market leadership, strengthen operational efficiency, and promote its sustainability initiatives. Hyatt consistently assesses its competitive position in achieving market leadership. It uses a SWOT analysis to pinpoint internal strengths, including a robust brand reputation, and external opportunities, such as the increasing demand for wellness and sustainable travel (Arar et al., 2017). Environmental sustainability is a primary goal, demonstrating initiatives to decrease carbon emissions and building sustainable development throughout properties. The focus on sustainability aligns with evolving consumer preferences and enables Hyatt to sustain a competitive advantage in the hospitality sector (Djevojić and Vitasović, 2023).</w:t>
      </w:r>
    </w:p>
    <w:p w14:paraId="6F3FC5F1">
      <w:pPr>
        <w:spacing w:line="360" w:lineRule="auto"/>
        <w:jc w:val="both"/>
        <w:rPr>
          <w:rFonts w:ascii="Arial" w:hAnsi="Arial" w:cs="Arial"/>
          <w:sz w:val="24"/>
          <w:szCs w:val="24"/>
        </w:rPr>
      </w:pPr>
    </w:p>
    <w:p w14:paraId="7C999D4B">
      <w:pPr>
        <w:spacing w:line="360" w:lineRule="auto"/>
        <w:jc w:val="both"/>
        <w:rPr>
          <w:rFonts w:ascii="Arial" w:hAnsi="Arial" w:cs="Arial"/>
          <w:b/>
          <w:bCs/>
          <w:sz w:val="24"/>
          <w:szCs w:val="24"/>
        </w:rPr>
      </w:pPr>
      <w:r>
        <w:rPr>
          <w:rFonts w:ascii="Arial" w:hAnsi="Arial" w:cs="Arial"/>
          <w:b/>
          <w:bCs/>
          <w:sz w:val="24"/>
          <w:szCs w:val="24"/>
        </w:rPr>
        <w:t>4.2 Strategic Analysis Tools</w:t>
      </w:r>
    </w:p>
    <w:p w14:paraId="2C343212">
      <w:pPr>
        <w:spacing w:line="360" w:lineRule="auto"/>
        <w:jc w:val="both"/>
        <w:rPr>
          <w:rFonts w:ascii="Arial" w:hAnsi="Arial" w:cs="Arial"/>
          <w:b/>
          <w:bCs/>
          <w:sz w:val="24"/>
          <w:szCs w:val="24"/>
        </w:rPr>
      </w:pPr>
      <w:r>
        <w:rPr>
          <w:rFonts w:ascii="Arial" w:hAnsi="Arial" w:cs="Arial"/>
          <w:b/>
          <w:bCs/>
          <w:sz w:val="24"/>
          <w:szCs w:val="24"/>
        </w:rPr>
        <w:t>Application of Porter’s Five Forces</w:t>
      </w:r>
    </w:p>
    <w:p w14:paraId="69719EB3">
      <w:pPr>
        <w:spacing w:line="360" w:lineRule="auto"/>
        <w:jc w:val="both"/>
        <w:rPr>
          <w:rFonts w:ascii="Arial" w:hAnsi="Arial" w:cs="Arial"/>
          <w:sz w:val="24"/>
          <w:szCs w:val="24"/>
        </w:rPr>
      </w:pPr>
      <w:r>
        <w:rPr>
          <w:rFonts w:ascii="Arial" w:hAnsi="Arial" w:cs="Arial"/>
          <w:sz w:val="24"/>
          <w:szCs w:val="24"/>
        </w:rPr>
        <w:t>Hyatt's competitive landscape, analysed through Porter’s Five Forces, reveals significant rivalry with major hotel chains such as Marriott and Hilton. This rivalry stimulates price competition, promotional initiatives, and advancements in guest services (Porter, 2008). The bargaining power of suppliers is moderate. Hyatt depends on suppliers for high-quality furnishings and amenities, yet its brand strength enables it to negotiate advantageous contracts. The bargaining power of buyers (guests) is significant due to the abundance of options available and their sensitivity to price and quality, underscoring the importance of loyalty programs for customer retention (Birru et al., 2022).</w:t>
      </w:r>
    </w:p>
    <w:p w14:paraId="46E221C7">
      <w:pPr>
        <w:spacing w:line="360" w:lineRule="auto"/>
        <w:jc w:val="both"/>
        <w:rPr>
          <w:rFonts w:ascii="Arial" w:hAnsi="Arial" w:cs="Arial"/>
          <w:sz w:val="24"/>
          <w:szCs w:val="24"/>
        </w:rPr>
      </w:pPr>
      <w:r>
        <w:rPr>
          <w:rFonts w:ascii="Arial" w:hAnsi="Arial" w:cs="Arial"/>
          <w:sz w:val="24"/>
          <w:szCs w:val="24"/>
        </w:rPr>
        <w:t>The threat of new entrants is low, primarily due to significant capital requirements and the brand loyalty cultivated by established major players. Substitute threats from alternative lodging options like Airbnb require a competitive response. Hyatt's digital transformation initiatives, such as a mobile-optimized booking platform and tailored guest experience features, respond to external pressures by improving customer convenience (António and Rita, 2021).</w:t>
      </w:r>
    </w:p>
    <w:p w14:paraId="6C36A695">
      <w:pPr>
        <w:spacing w:line="360" w:lineRule="auto"/>
        <w:jc w:val="both"/>
        <w:rPr>
          <w:rFonts w:ascii="Arial" w:hAnsi="Arial" w:cs="Arial"/>
          <w:b/>
          <w:bCs/>
          <w:sz w:val="24"/>
          <w:szCs w:val="24"/>
        </w:rPr>
      </w:pPr>
      <w:r>
        <w:rPr>
          <w:rFonts w:ascii="Arial" w:hAnsi="Arial" w:cs="Arial"/>
          <w:b/>
          <w:bCs/>
          <w:sz w:val="24"/>
          <w:szCs w:val="24"/>
        </w:rPr>
        <w:t>Alignment of Strategy with Goals</w:t>
      </w:r>
    </w:p>
    <w:p w14:paraId="07A1936D">
      <w:pPr>
        <w:spacing w:line="360" w:lineRule="auto"/>
        <w:jc w:val="both"/>
        <w:rPr>
          <w:rFonts w:ascii="Arial" w:hAnsi="Arial" w:cs="Arial"/>
          <w:sz w:val="24"/>
          <w:szCs w:val="24"/>
        </w:rPr>
      </w:pPr>
      <w:r>
        <w:rPr>
          <w:rFonts w:ascii="Arial" w:hAnsi="Arial" w:cs="Arial"/>
          <w:sz w:val="24"/>
          <w:szCs w:val="24"/>
        </w:rPr>
        <w:t>Hyatt's strategic initiatives align closely with its articulated objectives, notably its focus on growth, sustainability, and guest satisfaction. Hyatt expands into niche markets and invests in digital services to meet customer expectations and enhance brand loyalty. The alignment of Hyatt's environmental objectives with its operational strategies reinforces its commitment to corporate social responsibility (CSR), which is increasingly valued by stakeholders (Kim and Oh, 2004).</w:t>
      </w:r>
    </w:p>
    <w:p w14:paraId="5CA16249">
      <w:pPr>
        <w:spacing w:line="360" w:lineRule="auto"/>
        <w:jc w:val="both"/>
        <w:rPr>
          <w:rFonts w:ascii="Arial" w:hAnsi="Arial" w:cs="Arial"/>
          <w:sz w:val="24"/>
          <w:szCs w:val="24"/>
        </w:rPr>
      </w:pPr>
      <w:r>
        <w:rPr>
          <w:rFonts w:ascii="Arial" w:hAnsi="Arial" w:cs="Arial"/>
          <w:sz w:val="24"/>
          <w:szCs w:val="24"/>
        </w:rPr>
        <w:t>Incorporating Mintzberg’s strategic frameworks, particularly the concepts of “position” and “perspective,” enables Hyatt to establish a distinctive hospitality experience that sets it apart from its competitors. This strategic alignment fosters long-term sustainability and establishes Hyatt as an innovative brand within a dynamically changing industry (Azaddin, 2023).</w:t>
      </w:r>
    </w:p>
    <w:p w14:paraId="3644725F">
      <w:pPr>
        <w:spacing w:line="360" w:lineRule="auto"/>
        <w:jc w:val="both"/>
        <w:rPr>
          <w:rFonts w:ascii="Arial" w:hAnsi="Arial" w:cs="Arial"/>
          <w:sz w:val="24"/>
          <w:szCs w:val="24"/>
        </w:rPr>
      </w:pPr>
      <w:r>
        <w:rPr>
          <w:rFonts w:ascii="Arial" w:hAnsi="Arial" w:cs="Arial"/>
          <w:sz w:val="24"/>
          <w:szCs w:val="24"/>
        </w:rPr>
        <w:t>Hyatt's strategic direction integrates traditional hospitality values with innovative growth strategies, positioning the company to leverage future market trends and sustain its competitive advantage effectively.</w:t>
      </w:r>
    </w:p>
    <w:p w14:paraId="677D8F35">
      <w:pPr>
        <w:spacing w:line="360" w:lineRule="auto"/>
        <w:jc w:val="both"/>
        <w:rPr>
          <w:rFonts w:ascii="Arial" w:hAnsi="Arial" w:cs="Arial"/>
          <w:b/>
          <w:bCs/>
          <w:sz w:val="24"/>
          <w:szCs w:val="24"/>
          <w:u w:val="single"/>
        </w:rPr>
      </w:pPr>
    </w:p>
    <w:p w14:paraId="7AE476E8">
      <w:pPr>
        <w:spacing w:line="360" w:lineRule="auto"/>
        <w:jc w:val="both"/>
        <w:rPr>
          <w:rFonts w:ascii="Arial" w:hAnsi="Arial" w:cs="Arial"/>
          <w:b/>
          <w:bCs/>
          <w:sz w:val="24"/>
          <w:szCs w:val="24"/>
          <w:u w:val="single"/>
        </w:rPr>
      </w:pPr>
      <w:r>
        <w:rPr>
          <w:rFonts w:ascii="Arial" w:hAnsi="Arial" w:cs="Arial"/>
          <w:b/>
          <w:bCs/>
          <w:sz w:val="24"/>
          <w:szCs w:val="24"/>
          <w:u w:val="single"/>
        </w:rPr>
        <w:t xml:space="preserve">5. Recommendations </w:t>
      </w:r>
    </w:p>
    <w:p w14:paraId="29B29EAA">
      <w:pPr>
        <w:spacing w:line="360" w:lineRule="auto"/>
        <w:jc w:val="both"/>
        <w:rPr>
          <w:rFonts w:ascii="Arial" w:hAnsi="Arial" w:cs="Arial"/>
          <w:b/>
          <w:bCs/>
          <w:sz w:val="24"/>
          <w:szCs w:val="24"/>
        </w:rPr>
      </w:pPr>
      <w:r>
        <w:rPr>
          <w:rFonts w:ascii="Arial" w:hAnsi="Arial" w:cs="Arial"/>
          <w:b/>
          <w:bCs/>
          <w:sz w:val="24"/>
          <w:szCs w:val="24"/>
        </w:rPr>
        <w:t>5.1 Suggested Improvements</w:t>
      </w:r>
    </w:p>
    <w:p w14:paraId="447DA750">
      <w:pPr>
        <w:spacing w:line="360" w:lineRule="auto"/>
        <w:jc w:val="both"/>
        <w:rPr>
          <w:rFonts w:ascii="Arial" w:hAnsi="Arial" w:cs="Arial"/>
          <w:b/>
          <w:bCs/>
          <w:sz w:val="24"/>
          <w:szCs w:val="24"/>
        </w:rPr>
      </w:pPr>
      <w:r>
        <w:rPr>
          <w:rFonts w:ascii="Arial" w:hAnsi="Arial" w:cs="Arial"/>
          <w:b/>
          <w:bCs/>
          <w:sz w:val="24"/>
          <w:szCs w:val="24"/>
        </w:rPr>
        <w:t>Corporate-Level Recommendations</w:t>
      </w:r>
    </w:p>
    <w:p w14:paraId="4BABCB00">
      <w:pPr>
        <w:spacing w:line="360" w:lineRule="auto"/>
        <w:jc w:val="both"/>
        <w:rPr>
          <w:rFonts w:ascii="Arial" w:hAnsi="Arial" w:cs="Arial"/>
          <w:sz w:val="24"/>
          <w:szCs w:val="24"/>
        </w:rPr>
      </w:pPr>
      <w:r>
        <w:rPr>
          <w:rFonts w:ascii="Arial" w:hAnsi="Arial" w:cs="Arial"/>
          <w:sz w:val="24"/>
          <w:szCs w:val="24"/>
        </w:rPr>
        <w:t xml:space="preserve">Hyatt can improve its digital presence by implementing an integrated digital marketing strategy incorporating real-time guest profiling and responsive CRM systems. Research demonstrates that digital responsiveness notably improves guest satisfaction and revenue (Pelsmacker et al., 2018). </w:t>
      </w:r>
    </w:p>
    <w:p w14:paraId="238893D0">
      <w:pPr>
        <w:spacing w:line="360" w:lineRule="auto"/>
        <w:jc w:val="both"/>
        <w:rPr>
          <w:rFonts w:ascii="Arial" w:hAnsi="Arial" w:cs="Arial"/>
          <w:sz w:val="24"/>
          <w:szCs w:val="24"/>
        </w:rPr>
      </w:pPr>
      <w:r>
        <w:rPr>
          <w:rFonts w:ascii="Arial" w:hAnsi="Arial" w:cs="Arial"/>
          <w:sz w:val="24"/>
          <w:szCs w:val="24"/>
        </w:rPr>
        <w:t>Diversifying service offerings to include wellness-oriented and eco-friendly options is recommended to attract the increasing segment of eco-conscious and health-focused travellers (Sugathapala, 2024).</w:t>
      </w:r>
    </w:p>
    <w:p w14:paraId="499B4DAE">
      <w:pPr>
        <w:spacing w:line="360" w:lineRule="auto"/>
        <w:jc w:val="both"/>
        <w:rPr>
          <w:rFonts w:ascii="Arial" w:hAnsi="Arial" w:cs="Arial"/>
          <w:b/>
          <w:bCs/>
          <w:sz w:val="24"/>
          <w:szCs w:val="24"/>
        </w:rPr>
      </w:pPr>
      <w:r>
        <w:rPr>
          <w:rFonts w:ascii="Arial" w:hAnsi="Arial" w:cs="Arial"/>
          <w:b/>
          <w:bCs/>
          <w:sz w:val="24"/>
          <w:szCs w:val="24"/>
        </w:rPr>
        <w:t>Unit-Level Recommendations</w:t>
      </w:r>
    </w:p>
    <w:p w14:paraId="65FFF21D">
      <w:pPr>
        <w:spacing w:line="360" w:lineRule="auto"/>
        <w:jc w:val="both"/>
        <w:rPr>
          <w:rFonts w:ascii="Arial" w:hAnsi="Arial" w:cs="Arial"/>
          <w:sz w:val="24"/>
          <w:szCs w:val="24"/>
        </w:rPr>
      </w:pPr>
      <w:r>
        <w:rPr>
          <w:rFonts w:ascii="Arial" w:hAnsi="Arial" w:cs="Arial"/>
          <w:sz w:val="24"/>
          <w:szCs w:val="24"/>
        </w:rPr>
        <w:t>Hyatt should prioritise personalised guest experiences at the individual hotel level by implementing mobile check-ins, AI-driven personalised recommendations, and customised room preferences, which have been demonstrated to enhance guest satisfaction and loyalty (Youssofi et al., 2023). Improving staff training for digital tools can enhance engagement and operational efficiency, leading to a more customised and interactive experience for each guest (Wynn and Jones, 2022).</w:t>
      </w:r>
    </w:p>
    <w:p w14:paraId="26F81D93">
      <w:pPr>
        <w:spacing w:line="360" w:lineRule="auto"/>
        <w:jc w:val="both"/>
        <w:rPr>
          <w:rFonts w:ascii="Arial" w:hAnsi="Arial" w:cs="Arial"/>
          <w:sz w:val="24"/>
          <w:szCs w:val="24"/>
        </w:rPr>
      </w:pPr>
    </w:p>
    <w:p w14:paraId="17935E7B">
      <w:pPr>
        <w:spacing w:line="360" w:lineRule="auto"/>
        <w:jc w:val="both"/>
        <w:rPr>
          <w:rFonts w:ascii="Arial" w:hAnsi="Arial" w:cs="Arial"/>
          <w:b/>
          <w:bCs/>
          <w:sz w:val="24"/>
          <w:szCs w:val="24"/>
        </w:rPr>
      </w:pPr>
      <w:r>
        <w:rPr>
          <w:rFonts w:ascii="Arial" w:hAnsi="Arial" w:cs="Arial"/>
          <w:b/>
          <w:bCs/>
          <w:sz w:val="24"/>
          <w:szCs w:val="24"/>
        </w:rPr>
        <w:t>Implementation Strategy</w:t>
      </w:r>
    </w:p>
    <w:p w14:paraId="0B9C5281">
      <w:pPr>
        <w:spacing w:line="360" w:lineRule="auto"/>
        <w:jc w:val="both"/>
        <w:rPr>
          <w:rFonts w:ascii="Arial" w:hAnsi="Arial" w:cs="Arial"/>
          <w:sz w:val="24"/>
          <w:szCs w:val="24"/>
        </w:rPr>
      </w:pPr>
      <w:r>
        <w:rPr>
          <w:rFonts w:ascii="Arial" w:hAnsi="Arial" w:cs="Arial"/>
          <w:sz w:val="24"/>
          <w:szCs w:val="24"/>
        </w:rPr>
        <w:t>To implement these recommendations, Hyatt should roll out a phased approach:</w:t>
      </w:r>
    </w:p>
    <w:p w14:paraId="0715CCB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Digital Marketing Strategy: Establish digital marketing teams in key regions (who), start within six months (when), focusing on high-demand areas (where), using data analytics to optimise campaigns (how) (Pelsmacker et al., 2018).</w:t>
      </w:r>
    </w:p>
    <w:p w14:paraId="6A5B8EF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Personalization Initiatives: Equip individual hotels with digital tools for personalisation (who), within the next year (when), across all high-traffic locations (where), using guest data to tailor services based on preferences (how) (Youssofi et al., 2023).</w:t>
      </w:r>
    </w:p>
    <w:p w14:paraId="5588E862">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Staff Training: Initiate bi-annual training programs (who), starting immediately (when), at each hotel location (where), focusing on using digital tools effectively (how) to ensure seamless adoption (Sigala, 2005).</w:t>
      </w:r>
    </w:p>
    <w:p w14:paraId="0047D019">
      <w:pPr>
        <w:spacing w:line="360" w:lineRule="auto"/>
        <w:jc w:val="both"/>
        <w:rPr>
          <w:rFonts w:ascii="Arial" w:hAnsi="Arial" w:cs="Arial"/>
          <w:sz w:val="24"/>
          <w:szCs w:val="24"/>
        </w:rPr>
      </w:pPr>
      <w:r>
        <w:rPr>
          <w:rFonts w:ascii="Arial" w:hAnsi="Arial" w:cs="Arial"/>
          <w:sz w:val="24"/>
          <w:szCs w:val="24"/>
        </w:rPr>
        <w:t>Hyatt can enhance customer satisfaction, optimise operations, and build a competitive edge by implementing these strategies.</w:t>
      </w:r>
    </w:p>
    <w:p w14:paraId="5E06F00D">
      <w:pPr>
        <w:spacing w:line="360" w:lineRule="auto"/>
        <w:jc w:val="both"/>
        <w:rPr>
          <w:rFonts w:ascii="Arial" w:hAnsi="Arial" w:cs="Arial"/>
          <w:b/>
          <w:bCs/>
          <w:sz w:val="24"/>
          <w:szCs w:val="24"/>
        </w:rPr>
      </w:pPr>
      <w:r>
        <w:rPr>
          <w:rFonts w:ascii="Arial" w:hAnsi="Arial" w:cs="Arial"/>
          <w:b/>
          <w:bCs/>
          <w:sz w:val="24"/>
          <w:szCs w:val="24"/>
        </w:rPr>
        <w:t xml:space="preserve">6. Conclusion </w:t>
      </w:r>
    </w:p>
    <w:p w14:paraId="0BAE281E">
      <w:pPr>
        <w:spacing w:line="360" w:lineRule="auto"/>
        <w:jc w:val="both"/>
        <w:rPr>
          <w:rFonts w:ascii="Arial" w:hAnsi="Arial" w:cs="Arial"/>
          <w:sz w:val="24"/>
          <w:szCs w:val="24"/>
        </w:rPr>
      </w:pPr>
      <w:r>
        <w:rPr>
          <w:rFonts w:ascii="Arial" w:hAnsi="Arial" w:cs="Arial"/>
          <w:sz w:val="24"/>
          <w:szCs w:val="24"/>
        </w:rPr>
        <w:t xml:space="preserve">This report analyses the organisational structure, cultural dynamics, change initiatives, and strategic direction of Hyatt Hotels Corporation, demonstrating their contributions to competitive success. Hyatt's divisional structure and task-oriented culture enhance flexibility and guest-centric services across various markets, promoting a consistent yet adaptable brand identity. </w:t>
      </w:r>
    </w:p>
    <w:p w14:paraId="4B33F991">
      <w:pPr>
        <w:spacing w:line="360" w:lineRule="auto"/>
        <w:jc w:val="both"/>
        <w:rPr>
          <w:rFonts w:ascii="Arial" w:hAnsi="Arial" w:cs="Arial"/>
          <w:sz w:val="24"/>
          <w:szCs w:val="24"/>
        </w:rPr>
      </w:pPr>
      <w:r>
        <w:rPr>
          <w:rFonts w:ascii="Arial" w:hAnsi="Arial" w:cs="Arial"/>
          <w:sz w:val="24"/>
          <w:szCs w:val="24"/>
        </w:rPr>
        <w:t>The corporation's focus on sustainable practices and digital transformation, especially in reaction to market changes and customer expectations, exemplifies proactive change management. This method, informed by frameworks such as Kotter’s change model, has reduced resistance and improved operational efficiency and guest satisfaction.</w:t>
      </w:r>
    </w:p>
    <w:p w14:paraId="23FA058C">
      <w:pPr>
        <w:spacing w:line="360" w:lineRule="auto"/>
        <w:jc w:val="both"/>
        <w:rPr>
          <w:rFonts w:ascii="Arial" w:hAnsi="Arial" w:cs="Arial"/>
          <w:sz w:val="24"/>
          <w:szCs w:val="24"/>
        </w:rPr>
      </w:pPr>
      <w:r>
        <w:rPr>
          <w:rFonts w:ascii="Arial" w:hAnsi="Arial" w:cs="Arial"/>
          <w:sz w:val="24"/>
          <w:szCs w:val="24"/>
        </w:rPr>
        <w:t>Hyatt's emphasis on sustainability, market leadership, and digital innovation effectively supports its objectives of improving customer experiences and increasing market share. Using strategic frameworks, including Porter’s Five Forces and Mintzberg’s 5 Ps, highlights Hyatt’s dedication to responding to competitive challenges and changing consumer preferences. Hyatt's integration of its organisational structure, cultural values, and strategic initiatives highlights its resilience and adaptability within the evolving hospitality sector, ensuring its ongoing relevance and success.</w:t>
      </w:r>
    </w:p>
    <w:p w14:paraId="49B3857B">
      <w:pPr>
        <w:spacing w:line="360" w:lineRule="auto"/>
        <w:jc w:val="both"/>
        <w:rPr>
          <w:rFonts w:ascii="Arial" w:hAnsi="Arial" w:cs="Arial"/>
          <w:sz w:val="24"/>
          <w:szCs w:val="24"/>
        </w:rPr>
      </w:pPr>
      <w:r>
        <w:rPr>
          <w:rFonts w:ascii="Arial" w:hAnsi="Arial" w:cs="Arial"/>
          <w:sz w:val="24"/>
          <w:szCs w:val="24"/>
        </w:rPr>
        <w:t>This approach enables Hyatt to address industry challenges effectively while enhancing its reputation as a customer-focused and sustainable hospitality leader.</w:t>
      </w:r>
    </w:p>
    <w:p w14:paraId="1FEFF9D2">
      <w:pPr>
        <w:spacing w:line="360" w:lineRule="auto"/>
        <w:jc w:val="both"/>
        <w:rPr>
          <w:rFonts w:ascii="Arial" w:hAnsi="Arial" w:cs="Arial"/>
          <w:b/>
          <w:bCs/>
          <w:sz w:val="24"/>
          <w:szCs w:val="24"/>
        </w:rPr>
      </w:pPr>
      <w:r>
        <w:rPr>
          <w:rFonts w:ascii="Arial" w:hAnsi="Arial" w:cs="Arial"/>
          <w:b/>
          <w:bCs/>
          <w:sz w:val="24"/>
          <w:szCs w:val="24"/>
        </w:rPr>
        <w:t>Reference list</w:t>
      </w:r>
    </w:p>
    <w:p w14:paraId="0DC051EA">
      <w:pPr>
        <w:spacing w:line="360" w:lineRule="auto"/>
        <w:jc w:val="both"/>
        <w:rPr>
          <w:rFonts w:ascii="Arial" w:hAnsi="Arial" w:cs="Arial"/>
          <w:sz w:val="24"/>
          <w:szCs w:val="24"/>
        </w:rPr>
      </w:pPr>
    </w:p>
    <w:p w14:paraId="26132BA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Alrawadieh, Z., Alrawadieh, Z., and Cetin, G., 2020. Digital transformation and revenue management: Evidence from the hotel industry. Tourism Economics, 27, pp. 328 - 345. </w:t>
      </w:r>
      <w:r>
        <w:fldChar w:fldCharType="begin"/>
      </w:r>
      <w:r>
        <w:instrText xml:space="preserve"> HYPERLINK "https://doi.org/10.1177/1354816620901928" </w:instrText>
      </w:r>
      <w:r>
        <w:fldChar w:fldCharType="separate"/>
      </w:r>
      <w:r>
        <w:rPr>
          <w:rStyle w:val="4"/>
          <w:rFonts w:ascii="Arial" w:hAnsi="Arial" w:cs="Arial"/>
          <w:sz w:val="24"/>
          <w:szCs w:val="24"/>
        </w:rPr>
        <w:t>https://doi.org/10.1177/1354816620901928</w:t>
      </w:r>
      <w:r>
        <w:rPr>
          <w:rStyle w:val="4"/>
          <w:rFonts w:ascii="Arial" w:hAnsi="Arial" w:cs="Arial"/>
          <w:sz w:val="24"/>
          <w:szCs w:val="24"/>
        </w:rPr>
        <w:fldChar w:fldCharType="end"/>
      </w:r>
      <w:r>
        <w:rPr>
          <w:rFonts w:ascii="Arial" w:hAnsi="Arial" w:cs="Arial"/>
          <w:sz w:val="24"/>
          <w:szCs w:val="24"/>
        </w:rPr>
        <w:t xml:space="preserve">.   </w:t>
      </w:r>
    </w:p>
    <w:p w14:paraId="487DFDC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António, N., and Rita, P., 2021. COVID-19: The catalyst for digital transformation in the hospitality industry? Tourism &amp; Management Studies, 17, pp. 41-46. </w:t>
      </w:r>
      <w:r>
        <w:fldChar w:fldCharType="begin"/>
      </w:r>
      <w:r>
        <w:instrText xml:space="preserve"> HYPERLINK "https://doi.org/10.18089/TMS.2021.170204" </w:instrText>
      </w:r>
      <w:r>
        <w:fldChar w:fldCharType="separate"/>
      </w:r>
      <w:r>
        <w:rPr>
          <w:rStyle w:val="4"/>
          <w:rFonts w:ascii="Arial" w:hAnsi="Arial" w:cs="Arial"/>
          <w:sz w:val="24"/>
          <w:szCs w:val="24"/>
        </w:rPr>
        <w:t>https://doi.org/10.18089/TMS.2021.170204</w:t>
      </w:r>
      <w:r>
        <w:rPr>
          <w:rStyle w:val="4"/>
          <w:rFonts w:ascii="Arial" w:hAnsi="Arial" w:cs="Arial"/>
          <w:sz w:val="24"/>
          <w:szCs w:val="24"/>
        </w:rPr>
        <w:fldChar w:fldCharType="end"/>
      </w:r>
      <w:r>
        <w:rPr>
          <w:rFonts w:ascii="Arial" w:hAnsi="Arial" w:cs="Arial"/>
          <w:sz w:val="24"/>
          <w:szCs w:val="24"/>
        </w:rPr>
        <w:t xml:space="preserve">.   </w:t>
      </w:r>
    </w:p>
    <w:p w14:paraId="247EAFC3">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Arar, T., Yurdakul, G., and Önören, M., 2017. Developing Competitive Strategies Based on SWOT Analysis in Porter s Five Forces Model by DANP. Journal of Business Research-Turk, 9, pp. 511-528. </w:t>
      </w:r>
      <w:r>
        <w:fldChar w:fldCharType="begin"/>
      </w:r>
      <w:r>
        <w:instrText xml:space="preserve"> HYPERLINK "https://doi.org/10.20491/ISARDER.2017.282" </w:instrText>
      </w:r>
      <w:r>
        <w:fldChar w:fldCharType="separate"/>
      </w:r>
      <w:r>
        <w:rPr>
          <w:rStyle w:val="4"/>
          <w:rFonts w:ascii="Arial" w:hAnsi="Arial" w:cs="Arial"/>
          <w:sz w:val="24"/>
          <w:szCs w:val="24"/>
        </w:rPr>
        <w:t>https://doi.org/10.20491/ISARDER.2017.282</w:t>
      </w:r>
      <w:r>
        <w:rPr>
          <w:rStyle w:val="4"/>
          <w:rFonts w:ascii="Arial" w:hAnsi="Arial" w:cs="Arial"/>
          <w:sz w:val="24"/>
          <w:szCs w:val="24"/>
        </w:rPr>
        <w:fldChar w:fldCharType="end"/>
      </w:r>
      <w:r>
        <w:rPr>
          <w:rFonts w:ascii="Arial" w:hAnsi="Arial" w:cs="Arial"/>
          <w:sz w:val="24"/>
          <w:szCs w:val="24"/>
        </w:rPr>
        <w:t xml:space="preserve">.   </w:t>
      </w:r>
    </w:p>
    <w:p w14:paraId="2B29A335">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Birru, A., Sudarmiatin, S., and Hermawan, A., 2022. Competitive Strategies in The Lodging Service Sector : Five Porter Analyses And Case Study SWOT Analysis. Journal of Business and Management Review. </w:t>
      </w:r>
      <w:r>
        <w:fldChar w:fldCharType="begin"/>
      </w:r>
      <w:r>
        <w:instrText xml:space="preserve"> HYPERLINK "https://doi.org/10.47153/jbmr31.2732022" </w:instrText>
      </w:r>
      <w:r>
        <w:fldChar w:fldCharType="separate"/>
      </w:r>
      <w:r>
        <w:rPr>
          <w:rStyle w:val="4"/>
          <w:rFonts w:ascii="Arial" w:hAnsi="Arial" w:cs="Arial"/>
          <w:sz w:val="24"/>
          <w:szCs w:val="24"/>
        </w:rPr>
        <w:t>https://doi.org/10.47153/jbmr31.2732022</w:t>
      </w:r>
      <w:r>
        <w:rPr>
          <w:rStyle w:val="4"/>
          <w:rFonts w:ascii="Arial" w:hAnsi="Arial" w:cs="Arial"/>
          <w:sz w:val="24"/>
          <w:szCs w:val="24"/>
        </w:rPr>
        <w:fldChar w:fldCharType="end"/>
      </w:r>
      <w:r>
        <w:rPr>
          <w:rFonts w:ascii="Arial" w:hAnsi="Arial" w:cs="Arial"/>
          <w:sz w:val="24"/>
          <w:szCs w:val="24"/>
        </w:rPr>
        <w:t xml:space="preserve">.   </w:t>
      </w:r>
    </w:p>
    <w:p w14:paraId="7766FA2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Bruijl, G., 2018. The Relevance of Porter's Five Forces in Today's Innovative and Changing Business Environment. Sources of Innovation eJournal. </w:t>
      </w:r>
      <w:r>
        <w:fldChar w:fldCharType="begin"/>
      </w:r>
      <w:r>
        <w:instrText xml:space="preserve"> HYPERLINK "https://doi.org/10.2139/ssrn.3192207" </w:instrText>
      </w:r>
      <w:r>
        <w:fldChar w:fldCharType="separate"/>
      </w:r>
      <w:r>
        <w:rPr>
          <w:rStyle w:val="4"/>
          <w:rFonts w:ascii="Arial" w:hAnsi="Arial" w:cs="Arial"/>
          <w:sz w:val="24"/>
          <w:szCs w:val="24"/>
        </w:rPr>
        <w:t>https://doi.org/10.2139/ssrn.3192207</w:t>
      </w:r>
      <w:r>
        <w:rPr>
          <w:rStyle w:val="4"/>
          <w:rFonts w:ascii="Arial" w:hAnsi="Arial" w:cs="Arial"/>
          <w:sz w:val="24"/>
          <w:szCs w:val="24"/>
        </w:rPr>
        <w:fldChar w:fldCharType="end"/>
      </w:r>
      <w:r>
        <w:rPr>
          <w:rFonts w:ascii="Arial" w:hAnsi="Arial" w:cs="Arial"/>
          <w:sz w:val="24"/>
          <w:szCs w:val="24"/>
        </w:rPr>
        <w:t xml:space="preserve">.   </w:t>
      </w:r>
    </w:p>
    <w:p w14:paraId="4497721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Djevojić, C., and Vitasović, Z., 2023. DIGITAL TRANSFORMATION OF BUSINESS IN THE HOTEL INDUSTRY AND ITS IMPACT ON SUSTAINABLE DEVELOPMENT. DIEM Dubrovnik International Economic Meeting. </w:t>
      </w:r>
      <w:r>
        <w:fldChar w:fldCharType="begin"/>
      </w:r>
      <w:r>
        <w:instrText xml:space="preserve"> HYPERLINK "https://doi.org/10.17818/diem/2023/1.6" </w:instrText>
      </w:r>
      <w:r>
        <w:fldChar w:fldCharType="separate"/>
      </w:r>
      <w:r>
        <w:rPr>
          <w:rStyle w:val="4"/>
          <w:rFonts w:ascii="Arial" w:hAnsi="Arial" w:cs="Arial"/>
          <w:sz w:val="24"/>
          <w:szCs w:val="24"/>
        </w:rPr>
        <w:t>https://doi.org/10.17818/diem/2023/1.6</w:t>
      </w:r>
      <w:r>
        <w:rPr>
          <w:rStyle w:val="4"/>
          <w:rFonts w:ascii="Arial" w:hAnsi="Arial" w:cs="Arial"/>
          <w:sz w:val="24"/>
          <w:szCs w:val="24"/>
        </w:rPr>
        <w:fldChar w:fldCharType="end"/>
      </w:r>
      <w:r>
        <w:rPr>
          <w:rFonts w:ascii="Arial" w:hAnsi="Arial" w:cs="Arial"/>
          <w:sz w:val="24"/>
          <w:szCs w:val="24"/>
        </w:rPr>
        <w:t xml:space="preserve">.   </w:t>
      </w:r>
    </w:p>
    <w:p w14:paraId="01011150">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Farias, A., and Cancino, C., 2021. Digital Transformation in the Chilean Lodging Sector: Opportunities for Sustainable Businesses. Sustainability. </w:t>
      </w:r>
      <w:r>
        <w:fldChar w:fldCharType="begin"/>
      </w:r>
      <w:r>
        <w:instrText xml:space="preserve"> HYPERLINK "https://doi.org/10.3390/SU13148097" </w:instrText>
      </w:r>
      <w:r>
        <w:fldChar w:fldCharType="separate"/>
      </w:r>
      <w:r>
        <w:rPr>
          <w:rStyle w:val="4"/>
          <w:rFonts w:ascii="Arial" w:hAnsi="Arial" w:cs="Arial"/>
          <w:sz w:val="24"/>
          <w:szCs w:val="24"/>
        </w:rPr>
        <w:t>https://doi.org/10.3390/SU13148097</w:t>
      </w:r>
      <w:r>
        <w:rPr>
          <w:rStyle w:val="4"/>
          <w:rFonts w:ascii="Arial" w:hAnsi="Arial" w:cs="Arial"/>
          <w:sz w:val="24"/>
          <w:szCs w:val="24"/>
        </w:rPr>
        <w:fldChar w:fldCharType="end"/>
      </w:r>
      <w:r>
        <w:rPr>
          <w:rFonts w:ascii="Arial" w:hAnsi="Arial" w:cs="Arial"/>
          <w:sz w:val="24"/>
          <w:szCs w:val="24"/>
        </w:rPr>
        <w:t xml:space="preserve">.    </w:t>
      </w:r>
    </w:p>
    <w:p w14:paraId="2101D09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Handy, C 2009, Gods of Management : The Changing Work of Organisations, Souvenir Press, London.  </w:t>
      </w:r>
      <w:r>
        <w:fldChar w:fldCharType="begin"/>
      </w:r>
      <w:r>
        <w:instrText xml:space="preserve"> HYPERLINK "https://ebookcentral.proquest.com/lib/trinity/detail.action?docID=710394" </w:instrText>
      </w:r>
      <w:r>
        <w:fldChar w:fldCharType="separate"/>
      </w:r>
      <w:r>
        <w:rPr>
          <w:rStyle w:val="4"/>
          <w:rFonts w:ascii="Arial" w:hAnsi="Arial" w:cs="Arial"/>
          <w:sz w:val="24"/>
          <w:szCs w:val="24"/>
        </w:rPr>
        <w:t>https://ebookcentral.proquest.com/lib/trinity/detail.action?docID=710394</w:t>
      </w:r>
      <w:r>
        <w:rPr>
          <w:rStyle w:val="4"/>
          <w:rFonts w:ascii="Arial" w:hAnsi="Arial" w:cs="Arial"/>
          <w:sz w:val="24"/>
          <w:szCs w:val="24"/>
        </w:rPr>
        <w:fldChar w:fldCharType="end"/>
      </w:r>
      <w:r>
        <w:rPr>
          <w:rFonts w:ascii="Arial" w:hAnsi="Arial" w:cs="Arial"/>
          <w:sz w:val="24"/>
          <w:szCs w:val="24"/>
        </w:rPr>
        <w:t xml:space="preserve">   </w:t>
      </w:r>
    </w:p>
    <w:p w14:paraId="5DAB7F2D">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AZADDIN, S.K., 2023. Contesting Mintzberg's five Ps for strategy: it is time for a product recall. Journal of Strategy and Management, 16(1), pp. 112-127. </w:t>
      </w:r>
      <w:r>
        <w:fldChar w:fldCharType="begin"/>
      </w:r>
      <w:r>
        <w:instrText xml:space="preserve"> HYPERLINK "https://www.proquest.com/scholarly-journals/contesting-mintzbergs-five-ps-strategy-is-time/docview/2773486865/se-2?accountid=130472" </w:instrText>
      </w:r>
      <w:r>
        <w:fldChar w:fldCharType="separate"/>
      </w:r>
      <w:r>
        <w:rPr>
          <w:rStyle w:val="4"/>
          <w:rFonts w:ascii="Arial" w:hAnsi="Arial" w:cs="Arial"/>
          <w:sz w:val="24"/>
          <w:szCs w:val="24"/>
        </w:rPr>
        <w:t>https://www.proquest.com/scholarly-journals/contesting-mintzbergs-five-ps-strategy-is-time/docview/2773486865/se-2?accountid=130472</w:t>
      </w:r>
      <w:r>
        <w:rPr>
          <w:rStyle w:val="4"/>
          <w:rFonts w:ascii="Arial" w:hAnsi="Arial" w:cs="Arial"/>
          <w:sz w:val="24"/>
          <w:szCs w:val="24"/>
        </w:rPr>
        <w:fldChar w:fldCharType="end"/>
      </w:r>
      <w:r>
        <w:rPr>
          <w:rFonts w:ascii="Arial" w:hAnsi="Arial" w:cs="Arial"/>
          <w:sz w:val="24"/>
          <w:szCs w:val="24"/>
        </w:rPr>
        <w:t xml:space="preserve">   </w:t>
      </w:r>
    </w:p>
    <w:p w14:paraId="173ADCA5">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Mitchell, N.J., 1990. The Decentralization of Business in Britain.The Journal of Politics. </w:t>
      </w:r>
      <w:r>
        <w:fldChar w:fldCharType="begin"/>
      </w:r>
      <w:r>
        <w:instrText xml:space="preserve"> HYPERLINK "https://doi-org.ezproxy.uwtsd.ac.uk/10.2307/2131909" </w:instrText>
      </w:r>
      <w:r>
        <w:fldChar w:fldCharType="separate"/>
      </w:r>
      <w:r>
        <w:rPr>
          <w:rStyle w:val="4"/>
          <w:rFonts w:ascii="Arial" w:hAnsi="Arial" w:cs="Arial"/>
          <w:sz w:val="24"/>
          <w:szCs w:val="24"/>
        </w:rPr>
        <w:t>https://doi-org.ezproxy.uwtsd.ac.uk/10.2307/2131909</w:t>
      </w:r>
      <w:r>
        <w:rPr>
          <w:rStyle w:val="4"/>
          <w:rFonts w:ascii="Arial" w:hAnsi="Arial" w:cs="Arial"/>
          <w:sz w:val="24"/>
          <w:szCs w:val="24"/>
        </w:rPr>
        <w:fldChar w:fldCharType="end"/>
      </w:r>
      <w:r>
        <w:rPr>
          <w:rFonts w:ascii="Arial" w:hAnsi="Arial" w:cs="Arial"/>
          <w:sz w:val="24"/>
          <w:szCs w:val="24"/>
        </w:rPr>
        <w:t xml:space="preserve">    </w:t>
      </w:r>
    </w:p>
    <w:p w14:paraId="482F685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BYEONG, Y.K. and OH, H., 2004. How do hotel firms obtain a competitive advantage? International Journal of Contemporary Hospitality Management, 16(1), pp. 65-71. </w:t>
      </w:r>
      <w:r>
        <w:fldChar w:fldCharType="begin"/>
      </w:r>
      <w:r>
        <w:instrText xml:space="preserve"> HYPERLINK "https://www.proquest.com/scholarly-journals/how-do-hotel-firms-obtain-competitive-advantage/docview/228372473/se-2?accountid=130472" </w:instrText>
      </w:r>
      <w:r>
        <w:fldChar w:fldCharType="separate"/>
      </w:r>
      <w:r>
        <w:rPr>
          <w:rStyle w:val="4"/>
          <w:rFonts w:ascii="Arial" w:hAnsi="Arial" w:cs="Arial"/>
          <w:sz w:val="24"/>
          <w:szCs w:val="24"/>
        </w:rPr>
        <w:t>https://www.proquest.com/scholarly-journals/how-do-hotel-firms-obtain-competitive-advantage/docview/228372473/se-2?accountid=130472</w:t>
      </w:r>
      <w:r>
        <w:rPr>
          <w:rStyle w:val="4"/>
          <w:rFonts w:ascii="Arial" w:hAnsi="Arial" w:cs="Arial"/>
          <w:sz w:val="24"/>
          <w:szCs w:val="24"/>
        </w:rPr>
        <w:fldChar w:fldCharType="end"/>
      </w:r>
      <w:r>
        <w:rPr>
          <w:rFonts w:ascii="Arial" w:hAnsi="Arial" w:cs="Arial"/>
          <w:sz w:val="24"/>
          <w:szCs w:val="24"/>
        </w:rPr>
        <w:t xml:space="preserve">   </w:t>
      </w:r>
    </w:p>
    <w:p w14:paraId="5DC235C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Lam, C., and Law, R., 2019. Readiness of upscale and luxury-branded hotels for digital transformation. International Journal of Hospitality Management. </w:t>
      </w:r>
      <w:r>
        <w:fldChar w:fldCharType="begin"/>
      </w:r>
      <w:r>
        <w:instrText xml:space="preserve"> HYPERLINK "https://doi.org/10.1016/J.IJHM.2018.12.015" </w:instrText>
      </w:r>
      <w:r>
        <w:fldChar w:fldCharType="separate"/>
      </w:r>
      <w:r>
        <w:rPr>
          <w:rStyle w:val="4"/>
          <w:rFonts w:ascii="Arial" w:hAnsi="Arial" w:cs="Arial"/>
          <w:sz w:val="24"/>
          <w:szCs w:val="24"/>
        </w:rPr>
        <w:t>https://doi.org/10.1016/J.IJHM.2018.12.015</w:t>
      </w:r>
      <w:r>
        <w:rPr>
          <w:rStyle w:val="4"/>
          <w:rFonts w:ascii="Arial" w:hAnsi="Arial" w:cs="Arial"/>
          <w:sz w:val="24"/>
          <w:szCs w:val="24"/>
        </w:rPr>
        <w:fldChar w:fldCharType="end"/>
      </w:r>
      <w:r>
        <w:rPr>
          <w:rFonts w:ascii="Arial" w:hAnsi="Arial" w:cs="Arial"/>
          <w:sz w:val="24"/>
          <w:szCs w:val="24"/>
        </w:rPr>
        <w:t xml:space="preserve">.    </w:t>
      </w:r>
    </w:p>
    <w:p w14:paraId="7E971120">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Martela, F., 2019. What makes self-managing organizations novel? Comparing how Weberian bureaucracy, Mintzberg’s adhocracy, and self-organizing solve six fundamental problems of organizing. Journal of Organization Design, 8, pp. 1-23. </w:t>
      </w:r>
      <w:r>
        <w:fldChar w:fldCharType="begin"/>
      </w:r>
      <w:r>
        <w:instrText xml:space="preserve"> HYPERLINK "https://doi.org/10.1186/s41469-019-0062-9" </w:instrText>
      </w:r>
      <w:r>
        <w:fldChar w:fldCharType="separate"/>
      </w:r>
      <w:r>
        <w:rPr>
          <w:rStyle w:val="4"/>
          <w:rFonts w:ascii="Arial" w:hAnsi="Arial" w:cs="Arial"/>
          <w:sz w:val="24"/>
          <w:szCs w:val="24"/>
        </w:rPr>
        <w:t>https://doi.org/10.1186/s41469-019-0062-9</w:t>
      </w:r>
      <w:r>
        <w:rPr>
          <w:rStyle w:val="4"/>
          <w:rFonts w:ascii="Arial" w:hAnsi="Arial" w:cs="Arial"/>
          <w:sz w:val="24"/>
          <w:szCs w:val="24"/>
        </w:rPr>
        <w:fldChar w:fldCharType="end"/>
      </w:r>
      <w:r>
        <w:rPr>
          <w:rFonts w:ascii="Arial" w:hAnsi="Arial" w:cs="Arial"/>
          <w:sz w:val="24"/>
          <w:szCs w:val="24"/>
        </w:rPr>
        <w:t xml:space="preserve">.   </w:t>
      </w:r>
    </w:p>
    <w:p w14:paraId="0478EB0B">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Mintzberg, H., 1980. Structure in 5's: A Synthesis of the Research on Organization Design. Management Science, 26(3), pp.322-341. </w:t>
      </w:r>
      <w:r>
        <w:fldChar w:fldCharType="begin"/>
      </w:r>
      <w:r>
        <w:instrText xml:space="preserve"> HYPERLINK "https://www.researchgate.net/profile/Evelina-Gillard/post/Relationship-between-authoritarian-autocratic-behavior-and-Entrepreneurial-Orienataion/attachment/5ba7ddf8cfe4a76455f56cdd/AS%3A674094211166209%401537727992069/download/Mintzberg.pdf" </w:instrText>
      </w:r>
      <w:r>
        <w:fldChar w:fldCharType="separate"/>
      </w:r>
      <w:r>
        <w:rPr>
          <w:rStyle w:val="4"/>
          <w:rFonts w:ascii="Arial" w:hAnsi="Arial" w:cs="Arial"/>
          <w:sz w:val="24"/>
          <w:szCs w:val="24"/>
        </w:rPr>
        <w:t>https://www.researchgate.net/profile/Evelina-Gillard/post/Relationship-between-authoritarian-autocratic-behavior-and-Entrepreneurial-Orienataion/attachment/5ba7ddf8cfe4a76455f56cdd/AS%3A674094211166209%401537727992069/download/Mintzberg.pdf</w:t>
      </w:r>
      <w:r>
        <w:rPr>
          <w:rStyle w:val="4"/>
          <w:rFonts w:ascii="Arial" w:hAnsi="Arial" w:cs="Arial"/>
          <w:sz w:val="24"/>
          <w:szCs w:val="24"/>
        </w:rPr>
        <w:fldChar w:fldCharType="end"/>
      </w:r>
      <w:r>
        <w:rPr>
          <w:rFonts w:ascii="Arial" w:hAnsi="Arial" w:cs="Arial"/>
          <w:sz w:val="24"/>
          <w:szCs w:val="24"/>
        </w:rPr>
        <w:t xml:space="preserve">   </w:t>
      </w:r>
    </w:p>
    <w:p w14:paraId="2DDDC68F">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Pelsmacker, P., Tilburg, S., and Holthof, C., 2018. Digital marketing strategies, online reviews and hotel performance. International Journal of Hospitality Management. </w:t>
      </w:r>
      <w:r>
        <w:fldChar w:fldCharType="begin"/>
      </w:r>
      <w:r>
        <w:instrText xml:space="preserve"> HYPERLINK "https://doi.org/10.1016/J.IJHM.2018.01.003" </w:instrText>
      </w:r>
      <w:r>
        <w:fldChar w:fldCharType="separate"/>
      </w:r>
      <w:r>
        <w:rPr>
          <w:rStyle w:val="4"/>
          <w:rFonts w:ascii="Arial" w:hAnsi="Arial" w:cs="Arial"/>
          <w:sz w:val="24"/>
          <w:szCs w:val="24"/>
        </w:rPr>
        <w:t>https://doi.org/10.1016/J.IJHM.2018.01.003</w:t>
      </w:r>
      <w:r>
        <w:rPr>
          <w:rStyle w:val="4"/>
          <w:rFonts w:ascii="Arial" w:hAnsi="Arial" w:cs="Arial"/>
          <w:sz w:val="24"/>
          <w:szCs w:val="24"/>
        </w:rPr>
        <w:fldChar w:fldCharType="end"/>
      </w:r>
      <w:r>
        <w:rPr>
          <w:rFonts w:ascii="Arial" w:hAnsi="Arial" w:cs="Arial"/>
          <w:sz w:val="24"/>
          <w:szCs w:val="24"/>
        </w:rPr>
        <w:t xml:space="preserve">.   </w:t>
      </w:r>
    </w:p>
    <w:p w14:paraId="30173351">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Porter, M., 2008. The five competitive forces that shape strategy, Harvard Business Review, 86(1), pp. 78-93, 137. </w:t>
      </w:r>
      <w:r>
        <w:fldChar w:fldCharType="begin"/>
      </w:r>
      <w:r>
        <w:instrText xml:space="preserve"> HYPERLINK "https://librarysearch.uwtsd.ac.uk/permalink/44WHELF_UWTSD/igoone/cdi_proquest_miscellaneous_70293081" </w:instrText>
      </w:r>
      <w:r>
        <w:fldChar w:fldCharType="separate"/>
      </w:r>
      <w:r>
        <w:rPr>
          <w:rStyle w:val="4"/>
          <w:rFonts w:ascii="Arial" w:hAnsi="Arial" w:cs="Arial"/>
          <w:sz w:val="24"/>
          <w:szCs w:val="24"/>
        </w:rPr>
        <w:t>https://librarysearch.uwtsd.ac.uk/permalink/44WHELF_UWTSD/igoone/cdi_proquest_miscellaneous_70293081</w:t>
      </w:r>
      <w:r>
        <w:rPr>
          <w:rStyle w:val="4"/>
          <w:rFonts w:ascii="Arial" w:hAnsi="Arial" w:cs="Arial"/>
          <w:sz w:val="24"/>
          <w:szCs w:val="24"/>
        </w:rPr>
        <w:fldChar w:fldCharType="end"/>
      </w:r>
      <w:r>
        <w:rPr>
          <w:rFonts w:ascii="Arial" w:hAnsi="Arial" w:cs="Arial"/>
          <w:sz w:val="24"/>
          <w:szCs w:val="24"/>
        </w:rPr>
        <w:t xml:space="preserve">   </w:t>
      </w:r>
    </w:p>
    <w:p w14:paraId="05187C5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Praporski, N., 2008. Customization vs Standardization in Global Hotel Expansion. </w:t>
      </w:r>
      <w:r>
        <w:fldChar w:fldCharType="begin"/>
      </w:r>
      <w:r>
        <w:instrText xml:space="preserve"> HYPERLINK "http://dx.doi.org/10.34917/1754480" </w:instrText>
      </w:r>
      <w:r>
        <w:fldChar w:fldCharType="separate"/>
      </w:r>
      <w:r>
        <w:rPr>
          <w:rStyle w:val="4"/>
          <w:rFonts w:ascii="Arial" w:hAnsi="Arial" w:cs="Arial"/>
          <w:sz w:val="24"/>
          <w:szCs w:val="24"/>
        </w:rPr>
        <w:t>http://dx.doi.org/10.34917/1754480</w:t>
      </w:r>
      <w:r>
        <w:rPr>
          <w:rStyle w:val="4"/>
          <w:rFonts w:ascii="Arial" w:hAnsi="Arial" w:cs="Arial"/>
          <w:sz w:val="24"/>
          <w:szCs w:val="24"/>
        </w:rPr>
        <w:fldChar w:fldCharType="end"/>
      </w:r>
      <w:r>
        <w:rPr>
          <w:rFonts w:ascii="Arial" w:hAnsi="Arial" w:cs="Arial"/>
          <w:sz w:val="24"/>
          <w:szCs w:val="24"/>
        </w:rPr>
        <w:t xml:space="preserve">   </w:t>
      </w:r>
    </w:p>
    <w:p w14:paraId="1766441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Prihanto, J., and Kurniasari, F., 2019. Sustainable Digital Transformation in the Hospitality Industry: A Study of the Hotel Industry in Indonesia. Proceedings of the 2019 International Conference on Organizational Innovation (ICOI 2019). </w:t>
      </w:r>
      <w:r>
        <w:fldChar w:fldCharType="begin"/>
      </w:r>
      <w:r>
        <w:instrText xml:space="preserve"> HYPERLINK "https://doi.org/10.2991/icoi-19.2019.38" </w:instrText>
      </w:r>
      <w:r>
        <w:fldChar w:fldCharType="separate"/>
      </w:r>
      <w:r>
        <w:rPr>
          <w:rStyle w:val="4"/>
          <w:rFonts w:ascii="Arial" w:hAnsi="Arial" w:cs="Arial"/>
          <w:sz w:val="24"/>
          <w:szCs w:val="24"/>
        </w:rPr>
        <w:t>https://doi.org/10.2991/icoi-19.2019.38</w:t>
      </w:r>
      <w:r>
        <w:rPr>
          <w:rStyle w:val="4"/>
          <w:rFonts w:ascii="Arial" w:hAnsi="Arial" w:cs="Arial"/>
          <w:sz w:val="24"/>
          <w:szCs w:val="24"/>
        </w:rPr>
        <w:fldChar w:fldCharType="end"/>
      </w:r>
      <w:r>
        <w:rPr>
          <w:rFonts w:ascii="Arial" w:hAnsi="Arial" w:cs="Arial"/>
          <w:sz w:val="24"/>
          <w:szCs w:val="24"/>
        </w:rPr>
        <w:t xml:space="preserve">.   </w:t>
      </w:r>
    </w:p>
    <w:p w14:paraId="494EC1DB">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SYED, A.R. and KHAN, K.A., 2022. Impact of green human resource practices on hotel environmental performance: the moderating effect of environmental knowledge and individual green values. International Journal of Contemporary Hospitality Management, 34(6), pp. 2154-2175. </w:t>
      </w:r>
      <w:r>
        <w:fldChar w:fldCharType="begin"/>
      </w:r>
      <w:r>
        <w:instrText xml:space="preserve"> HYPERLINK "https://www.proquest.com/scholarly-journals/impact-green-human-resource-practices-on-hotel/docview/2666486740/se-2?accountid=130472" </w:instrText>
      </w:r>
      <w:r>
        <w:fldChar w:fldCharType="separate"/>
      </w:r>
      <w:r>
        <w:rPr>
          <w:rStyle w:val="4"/>
          <w:rFonts w:ascii="Arial" w:hAnsi="Arial" w:cs="Arial"/>
          <w:sz w:val="24"/>
          <w:szCs w:val="24"/>
        </w:rPr>
        <w:t>https://www.proquest.com/scholarly-journals/impact-green-human-resource-practices-on-hotel/docview/2666486740/se-2?accountid=130472</w:t>
      </w:r>
      <w:r>
        <w:rPr>
          <w:rStyle w:val="4"/>
          <w:rFonts w:ascii="Arial" w:hAnsi="Arial" w:cs="Arial"/>
          <w:sz w:val="24"/>
          <w:szCs w:val="24"/>
        </w:rPr>
        <w:fldChar w:fldCharType="end"/>
      </w:r>
      <w:r>
        <w:rPr>
          <w:rFonts w:ascii="Arial" w:hAnsi="Arial" w:cs="Arial"/>
          <w:sz w:val="24"/>
          <w:szCs w:val="24"/>
        </w:rPr>
        <w:t xml:space="preserve">   </w:t>
      </w:r>
    </w:p>
    <w:p w14:paraId="6D6FBB6F">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Schaffer, J., 1984. Strategy, organization structure and success in the lodging industry. International Journal of Hospitality Management, 3, pp. 159-165. </w:t>
      </w:r>
      <w:r>
        <w:fldChar w:fldCharType="begin"/>
      </w:r>
      <w:r>
        <w:instrText xml:space="preserve"> HYPERLINK "https://doi.org/10.1016/0278-4319(84)90017-3" </w:instrText>
      </w:r>
      <w:r>
        <w:fldChar w:fldCharType="separate"/>
      </w:r>
      <w:r>
        <w:rPr>
          <w:rStyle w:val="4"/>
          <w:rFonts w:ascii="Arial" w:hAnsi="Arial" w:cs="Arial"/>
          <w:sz w:val="24"/>
          <w:szCs w:val="24"/>
        </w:rPr>
        <w:t>https://doi.org/10.1016/0278-4319(84)90017-3</w:t>
      </w:r>
      <w:r>
        <w:rPr>
          <w:rStyle w:val="4"/>
          <w:rFonts w:ascii="Arial" w:hAnsi="Arial" w:cs="Arial"/>
          <w:sz w:val="24"/>
          <w:szCs w:val="24"/>
        </w:rPr>
        <w:fldChar w:fldCharType="end"/>
      </w:r>
      <w:r>
        <w:rPr>
          <w:rFonts w:ascii="Arial" w:hAnsi="Arial" w:cs="Arial"/>
          <w:sz w:val="24"/>
          <w:szCs w:val="24"/>
        </w:rPr>
        <w:t xml:space="preserve">.   </w:t>
      </w:r>
    </w:p>
    <w:p w14:paraId="7276791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Schein, E.H, and Schein, P.A., 2016. Organizational Culture and Leadership. </w:t>
      </w:r>
      <w:r>
        <w:fldChar w:fldCharType="begin"/>
      </w:r>
      <w:r>
        <w:instrText xml:space="preserve"> HYPERLINK "https://ebookcentral.proquest.com/lib/trinity/detail.action?docID=4766585" </w:instrText>
      </w:r>
      <w:r>
        <w:fldChar w:fldCharType="separate"/>
      </w:r>
      <w:r>
        <w:rPr>
          <w:rStyle w:val="4"/>
          <w:rFonts w:ascii="Arial" w:hAnsi="Arial" w:cs="Arial"/>
          <w:sz w:val="24"/>
          <w:szCs w:val="24"/>
        </w:rPr>
        <w:t>https://ebookcentral.proquest.com/lib/trinity/detail.action?docID=4766585</w:t>
      </w:r>
      <w:r>
        <w:rPr>
          <w:rStyle w:val="4"/>
          <w:rFonts w:ascii="Arial" w:hAnsi="Arial" w:cs="Arial"/>
          <w:sz w:val="24"/>
          <w:szCs w:val="24"/>
        </w:rPr>
        <w:fldChar w:fldCharType="end"/>
      </w:r>
      <w:r>
        <w:rPr>
          <w:rFonts w:ascii="Arial" w:hAnsi="Arial" w:cs="Arial"/>
          <w:sz w:val="24"/>
          <w:szCs w:val="24"/>
        </w:rPr>
        <w:t xml:space="preserve">    </w:t>
      </w:r>
    </w:p>
    <w:p w14:paraId="4610A3F3">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Sharrock, M.J., Struwig, M.W. and Hensens, W., 2020. The Influence of Sustainable Initiatives on Hotel Guest Experience. </w:t>
      </w:r>
      <w:r>
        <w:fldChar w:fldCharType="begin"/>
      </w:r>
      <w:r>
        <w:instrText xml:space="preserve"> HYPERLINK "https://www.academia.edu/download/86548518/article_2_10_2_425-440.pdf" </w:instrText>
      </w:r>
      <w:r>
        <w:fldChar w:fldCharType="separate"/>
      </w:r>
      <w:r>
        <w:rPr>
          <w:rStyle w:val="4"/>
          <w:rFonts w:ascii="Arial" w:hAnsi="Arial" w:cs="Arial"/>
          <w:sz w:val="24"/>
          <w:szCs w:val="24"/>
        </w:rPr>
        <w:t>https://www.academia.edu/download/86548518/article_2_10_2_425-440.pdf</w:t>
      </w:r>
      <w:r>
        <w:rPr>
          <w:rStyle w:val="4"/>
          <w:rFonts w:ascii="Arial" w:hAnsi="Arial" w:cs="Arial"/>
          <w:sz w:val="24"/>
          <w:szCs w:val="24"/>
        </w:rPr>
        <w:fldChar w:fldCharType="end"/>
      </w:r>
      <w:r>
        <w:rPr>
          <w:rFonts w:ascii="Arial" w:hAnsi="Arial" w:cs="Arial"/>
          <w:sz w:val="24"/>
          <w:szCs w:val="24"/>
        </w:rPr>
        <w:t xml:space="preserve">    </w:t>
      </w:r>
    </w:p>
    <w:p w14:paraId="076E8277">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Sugathapala, S., 2024. Eco-Friendly Practices in Health and Wellness Tourism: A Study of Sustainable Initiatives in Sri Lanka. </w:t>
      </w:r>
      <w:r>
        <w:fldChar w:fldCharType="begin"/>
      </w:r>
      <w:r>
        <w:instrText xml:space="preserve"> HYPERLINK "https://www.researchgate.net/publication/377806816_Eco-Friendly_Practices_in_Health_and_Wellness_Tourism_A_Study_of_Sustainable_Initiatives_in_Sri_Lanka" </w:instrText>
      </w:r>
      <w:r>
        <w:fldChar w:fldCharType="separate"/>
      </w:r>
      <w:r>
        <w:rPr>
          <w:rStyle w:val="4"/>
          <w:rFonts w:ascii="Arial" w:hAnsi="Arial" w:cs="Arial"/>
          <w:sz w:val="24"/>
          <w:szCs w:val="24"/>
        </w:rPr>
        <w:t>https://www.researchgate.net/publication/377806816_Eco-Friendly_Practices_in_Health_and_Wellness_Tourism_A_Study_of_Sustainable_Initiatives_in_Sri_Lanka</w:t>
      </w:r>
      <w:r>
        <w:rPr>
          <w:rStyle w:val="4"/>
          <w:rFonts w:ascii="Arial" w:hAnsi="Arial" w:cs="Arial"/>
          <w:sz w:val="24"/>
          <w:szCs w:val="24"/>
        </w:rPr>
        <w:fldChar w:fldCharType="end"/>
      </w:r>
      <w:r>
        <w:rPr>
          <w:rFonts w:ascii="Arial" w:hAnsi="Arial" w:cs="Arial"/>
          <w:sz w:val="24"/>
          <w:szCs w:val="24"/>
        </w:rPr>
        <w:t xml:space="preserve">   </w:t>
      </w:r>
    </w:p>
    <w:p w14:paraId="358FB2E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Sigala, M., 2005. Integrating customer relationship management in hotel operations: managerial and operational implications. International Journal of Hospitality Management, 24, pp. 391-413. </w:t>
      </w:r>
      <w:r>
        <w:fldChar w:fldCharType="begin"/>
      </w:r>
      <w:r>
        <w:instrText xml:space="preserve"> HYPERLINK "https://doi.org/10.1016/J.IJHM.2004.08.008" </w:instrText>
      </w:r>
      <w:r>
        <w:fldChar w:fldCharType="separate"/>
      </w:r>
      <w:r>
        <w:rPr>
          <w:rStyle w:val="4"/>
          <w:rFonts w:ascii="Arial" w:hAnsi="Arial" w:cs="Arial"/>
          <w:sz w:val="24"/>
          <w:szCs w:val="24"/>
        </w:rPr>
        <w:t>https://doi.org/10.1016/J.IJHM.2004.08.008</w:t>
      </w:r>
      <w:r>
        <w:rPr>
          <w:rStyle w:val="4"/>
          <w:rFonts w:ascii="Arial" w:hAnsi="Arial" w:cs="Arial"/>
          <w:sz w:val="24"/>
          <w:szCs w:val="24"/>
        </w:rPr>
        <w:fldChar w:fldCharType="end"/>
      </w:r>
      <w:r>
        <w:rPr>
          <w:rFonts w:ascii="Arial" w:hAnsi="Arial" w:cs="Arial"/>
          <w:sz w:val="24"/>
          <w:szCs w:val="24"/>
        </w:rPr>
        <w:t xml:space="preserve">.   </w:t>
      </w:r>
    </w:p>
    <w:p w14:paraId="64CEE6B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UNGER, J., MACQ, J., BREDO, F. and BOELAERT, M., 2000. Through Mintzberg's glasses: A fresh look at the organization of ministries of health. World Health Organization.Bulletin of the World Health Organization, 78(8), pp. 1005-14. </w:t>
      </w:r>
      <w:r>
        <w:fldChar w:fldCharType="begin"/>
      </w:r>
      <w:r>
        <w:instrText xml:space="preserve"> HYPERLINK "https://www.proquest.com/scholarly-journals/through-mintzbergs-glasses-fresh-look-at/docview/229580033/se-2?accountid=130472" </w:instrText>
      </w:r>
      <w:r>
        <w:fldChar w:fldCharType="separate"/>
      </w:r>
      <w:r>
        <w:rPr>
          <w:rStyle w:val="4"/>
          <w:rFonts w:ascii="Arial" w:hAnsi="Arial" w:cs="Arial"/>
          <w:sz w:val="24"/>
          <w:szCs w:val="24"/>
        </w:rPr>
        <w:t>https://www.proquest.com/scholarly-journals/through-mintzbergs-glasses-fresh-look-at/docview/229580033/se-2?accountid=130472</w:t>
      </w:r>
      <w:r>
        <w:rPr>
          <w:rStyle w:val="4"/>
          <w:rFonts w:ascii="Arial" w:hAnsi="Arial" w:cs="Arial"/>
          <w:sz w:val="24"/>
          <w:szCs w:val="24"/>
        </w:rPr>
        <w:fldChar w:fldCharType="end"/>
      </w:r>
      <w:r>
        <w:rPr>
          <w:rFonts w:ascii="Arial" w:hAnsi="Arial" w:cs="Arial"/>
          <w:sz w:val="24"/>
          <w:szCs w:val="24"/>
        </w:rPr>
        <w:t xml:space="preserve">   </w:t>
      </w:r>
    </w:p>
    <w:p w14:paraId="7075C70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WYNN, M. and JONES, P., 2022. IT Strategy in the Hotel Industry in the Digital Era. Sustainability, 14(17), pp. 10705. </w:t>
      </w:r>
      <w:r>
        <w:fldChar w:fldCharType="begin"/>
      </w:r>
      <w:r>
        <w:instrText xml:space="preserve"> HYPERLINK "https://www.proquest.com/scholarly-journals/strategy-hotel-industry-digital-era/docview/2711516252/se-2?accountid=130472" </w:instrText>
      </w:r>
      <w:r>
        <w:fldChar w:fldCharType="separate"/>
      </w:r>
      <w:r>
        <w:rPr>
          <w:rStyle w:val="4"/>
          <w:rFonts w:ascii="Arial" w:hAnsi="Arial" w:cs="Arial"/>
          <w:sz w:val="24"/>
          <w:szCs w:val="24"/>
        </w:rPr>
        <w:t>https://www.proquest.com/scholarly-journals/strategy-hotel-industry-digital-era/docview/2711516252/se-2?accountid=130472</w:t>
      </w:r>
      <w:r>
        <w:rPr>
          <w:rStyle w:val="4"/>
          <w:rFonts w:ascii="Arial" w:hAnsi="Arial" w:cs="Arial"/>
          <w:sz w:val="24"/>
          <w:szCs w:val="24"/>
        </w:rPr>
        <w:fldChar w:fldCharType="end"/>
      </w:r>
      <w:r>
        <w:rPr>
          <w:rFonts w:ascii="Arial" w:hAnsi="Arial" w:cs="Arial"/>
          <w:sz w:val="24"/>
          <w:szCs w:val="24"/>
        </w:rPr>
        <w:t xml:space="preserve">   </w:t>
      </w:r>
    </w:p>
    <w:p w14:paraId="7162565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Youssofi, A., Jeannot, F., Jongmans, E. and Dampérat, M., 2024. Designing the digitalized guest experience: A comprehensive framework and research agenda. Psychology &amp; Marketing, 41(3), pp.512-531. </w:t>
      </w:r>
      <w:r>
        <w:fldChar w:fldCharType="begin"/>
      </w:r>
      <w:r>
        <w:instrText xml:space="preserve"> HYPERLINK "https://doi.org/10.1002/mar.21929" </w:instrText>
      </w:r>
      <w:r>
        <w:fldChar w:fldCharType="separate"/>
      </w:r>
      <w:r>
        <w:rPr>
          <w:rStyle w:val="4"/>
          <w:rFonts w:ascii="Arial" w:hAnsi="Arial" w:cs="Arial"/>
          <w:sz w:val="24"/>
          <w:szCs w:val="24"/>
        </w:rPr>
        <w:t>https://doi.org/10.1002/mar.21929</w:t>
      </w:r>
      <w:r>
        <w:rPr>
          <w:rStyle w:val="4"/>
          <w:rFonts w:ascii="Arial" w:hAnsi="Arial" w:cs="Arial"/>
          <w:sz w:val="24"/>
          <w:szCs w:val="24"/>
        </w:rPr>
        <w:fldChar w:fldCharType="end"/>
      </w:r>
      <w:r>
        <w:rPr>
          <w:rFonts w:ascii="Arial" w:hAnsi="Arial" w:cs="Arial"/>
          <w:sz w:val="24"/>
          <w:szCs w:val="24"/>
        </w:rPr>
        <w:t xml:space="preserve">  </w:t>
      </w:r>
    </w:p>
    <w:p w14:paraId="6926E0B8">
      <w:pPr>
        <w:spacing w:line="360" w:lineRule="auto"/>
        <w:jc w:val="both"/>
        <w:rPr>
          <w:rFonts w:ascii="Arial" w:hAnsi="Arial" w:cs="Arial"/>
          <w:sz w:val="24"/>
          <w:szCs w:val="24"/>
        </w:rPr>
      </w:pPr>
    </w:p>
    <w:p w14:paraId="3C6A62B1">
      <w:pPr>
        <w:jc w:val="right"/>
        <w:rPr>
          <w:rFonts w:hint="default" w:ascii="Arial" w:hAnsi="Arial" w:cs="Arial"/>
          <w:b/>
          <w:bCs/>
          <w:sz w:val="28"/>
          <w:szCs w:val="28"/>
          <w:lang w:val="ro-RO"/>
        </w:rPr>
      </w:pPr>
    </w:p>
    <w:p w14:paraId="40D938F5">
      <w:pPr>
        <w:jc w:val="right"/>
        <w:rPr>
          <w:rFonts w:hint="default" w:ascii="Arial" w:hAnsi="Arial" w:cs="Arial"/>
          <w:b/>
          <w:bCs/>
          <w:sz w:val="28"/>
          <w:szCs w:val="28"/>
          <w:lang w:val="ro-RO"/>
        </w:rPr>
      </w:pPr>
    </w:p>
    <w:p w14:paraId="25BFB2F2">
      <w:pPr>
        <w:jc w:val="right"/>
        <w:rPr>
          <w:rFonts w:hint="default" w:ascii="Arial" w:hAnsi="Arial" w:cs="Arial"/>
          <w:b/>
          <w:bCs/>
          <w:sz w:val="28"/>
          <w:szCs w:val="28"/>
          <w:lang w:val="ro-RO"/>
        </w:rPr>
      </w:pPr>
    </w:p>
    <w:p w14:paraId="3BD5EE28">
      <w:pPr>
        <w:jc w:val="right"/>
        <w:rPr>
          <w:rFonts w:hint="default" w:ascii="Arial" w:hAnsi="Arial" w:cs="Arial"/>
          <w:b/>
          <w:bCs/>
          <w:sz w:val="28"/>
          <w:szCs w:val="28"/>
          <w:lang w:val="ro-RO"/>
        </w:rPr>
      </w:pPr>
    </w:p>
    <w:p w14:paraId="604051D9">
      <w:pPr>
        <w:jc w:val="right"/>
        <w:rPr>
          <w:rFonts w:hint="default" w:ascii="Arial" w:hAnsi="Arial" w:cs="Arial"/>
          <w:b/>
          <w:bCs/>
          <w:sz w:val="28"/>
          <w:szCs w:val="28"/>
          <w:lang w:val="ro-RO"/>
        </w:rPr>
      </w:pPr>
    </w:p>
    <w:p w14:paraId="76F59DF0">
      <w:pPr>
        <w:jc w:val="right"/>
        <w:rPr>
          <w:rFonts w:hint="default" w:ascii="Arial" w:hAnsi="Arial" w:cs="Arial"/>
          <w:b/>
          <w:bCs/>
          <w:sz w:val="28"/>
          <w:szCs w:val="28"/>
          <w:lang w:val="ro-RO"/>
        </w:rPr>
      </w:pPr>
    </w:p>
    <w:p w14:paraId="003A21D8">
      <w:pPr>
        <w:jc w:val="right"/>
        <w:rPr>
          <w:rFonts w:hint="default" w:ascii="Arial" w:hAnsi="Arial" w:cs="Arial"/>
          <w:b/>
          <w:bCs/>
          <w:sz w:val="28"/>
          <w:szCs w:val="28"/>
          <w:lang w:val="ro-RO"/>
        </w:rPr>
      </w:pPr>
    </w:p>
    <w:p w14:paraId="5A0D685D">
      <w:pPr>
        <w:jc w:val="right"/>
        <w:rPr>
          <w:rFonts w:hint="default" w:ascii="Arial" w:hAnsi="Arial" w:cs="Arial"/>
          <w:b/>
          <w:bCs/>
          <w:sz w:val="28"/>
          <w:szCs w:val="28"/>
          <w:lang w:val="ro-RO"/>
        </w:rPr>
      </w:pPr>
    </w:p>
    <w:p w14:paraId="6722087F">
      <w:pPr>
        <w:jc w:val="right"/>
        <w:rPr>
          <w:rFonts w:hint="default" w:ascii="Arial" w:hAnsi="Arial" w:cs="Arial"/>
          <w:b/>
          <w:bCs/>
          <w:sz w:val="28"/>
          <w:szCs w:val="28"/>
          <w:lang w:val="ro-RO"/>
        </w:rPr>
      </w:pPr>
    </w:p>
    <w:p w14:paraId="146BF344">
      <w:pPr>
        <w:jc w:val="right"/>
        <w:rPr>
          <w:rFonts w:hint="default" w:ascii="Arial" w:hAnsi="Arial" w:cs="Arial"/>
          <w:b/>
          <w:bCs/>
          <w:sz w:val="28"/>
          <w:szCs w:val="28"/>
          <w:lang w:val="ro-RO"/>
        </w:rPr>
      </w:pPr>
    </w:p>
    <w:p w14:paraId="57DB11C6">
      <w:pPr>
        <w:jc w:val="right"/>
        <w:rPr>
          <w:rFonts w:hint="default" w:ascii="Arial" w:hAnsi="Arial" w:cs="Arial"/>
          <w:b/>
          <w:bCs/>
          <w:sz w:val="28"/>
          <w:szCs w:val="28"/>
          <w:lang w:val="ro-RO"/>
        </w:rPr>
      </w:pPr>
    </w:p>
    <w:p w14:paraId="6CFC56AE">
      <w:pPr>
        <w:jc w:val="right"/>
        <w:rPr>
          <w:rFonts w:hint="default" w:ascii="Arial" w:hAnsi="Arial" w:cs="Arial"/>
          <w:b/>
          <w:bCs/>
          <w:sz w:val="28"/>
          <w:szCs w:val="28"/>
          <w:lang w:val="ro-RO"/>
        </w:rPr>
      </w:pPr>
    </w:p>
    <w:p w14:paraId="53087BDC">
      <w:pPr>
        <w:jc w:val="right"/>
        <w:rPr>
          <w:rFonts w:hint="default" w:ascii="Arial" w:hAnsi="Arial" w:cs="Arial"/>
          <w:b/>
          <w:bCs/>
          <w:sz w:val="28"/>
          <w:szCs w:val="28"/>
          <w:lang w:val="ro-RO"/>
        </w:rPr>
      </w:pPr>
    </w:p>
    <w:p w14:paraId="0FBF96DA">
      <w:pPr>
        <w:jc w:val="right"/>
        <w:rPr>
          <w:rFonts w:hint="default" w:ascii="Arial" w:hAnsi="Arial" w:cs="Arial"/>
          <w:b/>
          <w:bCs/>
          <w:sz w:val="28"/>
          <w:szCs w:val="28"/>
          <w:lang w:val="ro-RO"/>
        </w:rPr>
      </w:pPr>
    </w:p>
    <w:p w14:paraId="2BC09995">
      <w:pPr>
        <w:jc w:val="right"/>
        <w:rPr>
          <w:rFonts w:hint="default" w:ascii="Arial" w:hAnsi="Arial" w:cs="Arial"/>
          <w:b/>
          <w:bCs/>
          <w:sz w:val="28"/>
          <w:szCs w:val="28"/>
          <w:lang w:val="ro-RO"/>
        </w:rPr>
      </w:pPr>
    </w:p>
    <w:p w14:paraId="51EF67F4">
      <w:pPr>
        <w:jc w:val="both"/>
        <w:rPr>
          <w:rFonts w:hint="default" w:ascii="Arial" w:hAnsi="Arial" w:cs="Arial"/>
          <w:b/>
          <w:bCs/>
          <w:sz w:val="28"/>
          <w:szCs w:val="28"/>
          <w:lang w:val="ro-RO"/>
        </w:rPr>
      </w:pPr>
      <w:bookmarkStart w:id="0" w:name="_GoBack"/>
      <w:bookmarkEnd w:id="0"/>
    </w:p>
    <w:p w14:paraId="5DCF8AD9">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vertAlign w:val="subscript"/>
          <w:lang w:val="ro-RO"/>
        </w:rPr>
      </w:pPr>
      <w:r>
        <w:rPr>
          <w:rFonts w:hint="default" w:ascii="Arial" w:hAnsi="Arial" w:cs="Arial"/>
          <w:b w:val="0"/>
          <w:bCs w:val="0"/>
          <w:sz w:val="24"/>
          <w:szCs w:val="24"/>
          <w:lang w:val="ro-RO"/>
        </w:rPr>
        <w:t>I acknowledge the use of Grammarly App and Microsoft Word Editor (</w:t>
      </w:r>
      <w:r>
        <w:rPr>
          <w:rFonts w:hint="default" w:ascii="Arial" w:hAnsi="Arial"/>
          <w:b w:val="0"/>
          <w:bCs w:val="0"/>
          <w:sz w:val="24"/>
          <w:szCs w:val="24"/>
          <w:lang w:val="ro-RO"/>
        </w:rPr>
        <w:t>https://www.grammarly.com/ )</w:t>
      </w:r>
    </w:p>
    <w:p w14:paraId="047BE87A">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r>
        <w:rPr>
          <w:rFonts w:hint="default" w:ascii="Arial" w:hAnsi="Arial" w:cs="Arial"/>
          <w:b w:val="0"/>
          <w:bCs w:val="0"/>
          <w:sz w:val="24"/>
          <w:szCs w:val="24"/>
          <w:lang w:val="ro-RO"/>
        </w:rPr>
        <w:t>I confirm that I have not used any AI tools in the research and creation of this assignment.</w:t>
      </w:r>
    </w:p>
    <w:p w14:paraId="6C059D62">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r>
        <w:rPr>
          <w:rFonts w:hint="default" w:ascii="Arial" w:hAnsi="Arial" w:cs="Arial"/>
          <w:b w:val="0"/>
          <w:bCs w:val="0"/>
          <w:sz w:val="24"/>
          <w:szCs w:val="24"/>
          <w:lang w:val="ro-RO"/>
        </w:rPr>
        <w:t>I confirm that I have not presented any AI generated materials as my own work.</w:t>
      </w:r>
    </w:p>
    <w:p w14:paraId="0DB386F4">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w:panose1 w:val="020F0502020204030204"/>
    <w:charset w:val="86"/>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3F26A5"/>
    <w:multiLevelType w:val="multilevel"/>
    <w:tmpl w:val="253F26A5"/>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B7655F3"/>
    <w:rsid w:val="0CD56D9C"/>
    <w:rsid w:val="354F756F"/>
    <w:rsid w:val="36FE2945"/>
    <w:rsid w:val="3D3640CC"/>
    <w:rsid w:val="729556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basedOn w:val="2"/>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0</Words>
  <Characters>0</Characters>
  <Lines>0</Lines>
  <Paragraphs>0</Paragraphs>
  <TotalTime>12</TotalTime>
  <ScaleCrop>false</ScaleCrop>
  <LinksUpToDate>false</LinksUpToDate>
  <CharactersWithSpaces>0</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2024-11-08T20:04:02Z</dcterms:created>
  <dc:creator>HP Probook 650 G2</dc:creator>
  <cp:lastModifiedBy>lucian stefan</cp:lastModifiedBy>
  <dcterms:modified xsi:type="dcterms:W3CDTF">2024-11-08T23:04:03Z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0399961F57754A6A92A1162A9034B521_12</vt:lpwstr>
  </property>
</Properties>
</file>