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1624033787"/>
        <w:docPartObj>
          <w:docPartGallery w:val="Cover Pages"/>
          <w:docPartUnique/>
        </w:docPartObj>
      </w:sdtPr>
      <w:sdtEndPr>
        <w:rPr>
          <w:rFonts w:eastAsiaTheme="minorHAnsi"/>
          <w:color w:val="auto"/>
          <w:kern w:val="2"/>
          <w:lang w:eastAsia="en-US"/>
          <w14:ligatures w14:val="standardContextual"/>
        </w:rPr>
      </w:sdtEndPr>
      <w:sdtContent>
        <w:p w14:paraId="3900E157" w14:textId="4BF52CE1" w:rsidR="002F3425" w:rsidRDefault="002F3425">
          <w:pPr>
            <w:pStyle w:val="NoSpacing"/>
            <w:spacing w:before="1540" w:after="240"/>
            <w:jc w:val="center"/>
            <w:rPr>
              <w:color w:val="4472C4" w:themeColor="accent1"/>
            </w:rPr>
          </w:pPr>
        </w:p>
        <w:sdt>
          <w:sdtPr>
            <w:rPr>
              <w:rFonts w:asciiTheme="majorHAnsi" w:eastAsiaTheme="majorEastAsia" w:hAnsiTheme="majorHAnsi" w:cstheme="majorBidi"/>
              <w:caps/>
              <w:color w:val="000000" w:themeColor="text1"/>
              <w:kern w:val="2"/>
              <w:sz w:val="72"/>
              <w:szCs w:val="72"/>
              <w:lang w:eastAsia="en-US"/>
              <w14:ligatures w14:val="standardContextual"/>
            </w:rPr>
            <w:alias w:val="Title"/>
            <w:tag w:val=""/>
            <w:id w:val="1735040861"/>
            <w:placeholder>
              <w:docPart w:val="C7A2F9F546B84F04A5121718EAC347C8"/>
            </w:placeholder>
            <w:dataBinding w:prefixMappings="xmlns:ns0='http://purl.org/dc/elements/1.1/' xmlns:ns1='http://schemas.openxmlformats.org/package/2006/metadata/core-properties' " w:xpath="/ns1:coreProperties[1]/ns0:title[1]" w:storeItemID="{6C3C8BC8-F283-45AE-878A-BAB7291924A1}"/>
            <w:text/>
          </w:sdtPr>
          <w:sdtContent>
            <w:p w14:paraId="71D19AF9" w14:textId="7C0A9187" w:rsidR="002F3425" w:rsidRDefault="002F3425" w:rsidP="002F342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2F3425">
                <w:rPr>
                  <w:rFonts w:asciiTheme="majorHAnsi" w:eastAsiaTheme="majorEastAsia" w:hAnsiTheme="majorHAnsi" w:cstheme="majorBidi"/>
                  <w:caps/>
                  <w:color w:val="000000" w:themeColor="text1"/>
                  <w:kern w:val="2"/>
                  <w:sz w:val="72"/>
                  <w:szCs w:val="72"/>
                  <w:lang w:eastAsia="en-US"/>
                  <w14:ligatures w14:val="standardContextual"/>
                </w:rPr>
                <w:t>Moving away from traditional education: Outdoor education and learning</w:t>
              </w:r>
            </w:p>
          </w:sdtContent>
        </w:sdt>
        <w:sdt>
          <w:sdtPr>
            <w:rPr>
              <w:color w:val="000000" w:themeColor="text1"/>
              <w:sz w:val="28"/>
              <w:szCs w:val="28"/>
            </w:rPr>
            <w:alias w:val="Subtitle"/>
            <w:tag w:val=""/>
            <w:id w:val="328029620"/>
            <w:placeholder>
              <w:docPart w:val="FF435445EB304117908F31BC67F74487"/>
            </w:placeholder>
            <w:dataBinding w:prefixMappings="xmlns:ns0='http://purl.org/dc/elements/1.1/' xmlns:ns1='http://schemas.openxmlformats.org/package/2006/metadata/core-properties' " w:xpath="/ns1:coreProperties[1]/ns0:subject[1]" w:storeItemID="{6C3C8BC8-F283-45AE-878A-BAB7291924A1}"/>
            <w:text/>
          </w:sdtPr>
          <w:sdtContent>
            <w:p w14:paraId="11333088" w14:textId="3C7DDD02" w:rsidR="002F3425" w:rsidRDefault="002F3425">
              <w:pPr>
                <w:pStyle w:val="NoSpacing"/>
                <w:jc w:val="center"/>
                <w:rPr>
                  <w:color w:val="4472C4" w:themeColor="accent1"/>
                  <w:sz w:val="28"/>
                  <w:szCs w:val="28"/>
                </w:rPr>
              </w:pPr>
              <w:r w:rsidRPr="002F3425">
                <w:rPr>
                  <w:color w:val="000000" w:themeColor="text1"/>
                  <w:sz w:val="28"/>
                  <w:szCs w:val="28"/>
                </w:rPr>
                <w:t xml:space="preserve">BA Inclusive Education </w:t>
              </w:r>
            </w:p>
          </w:sdtContent>
        </w:sdt>
        <w:p w14:paraId="73D97E6F" w14:textId="4067F16F" w:rsidR="002F3425" w:rsidRDefault="002F3425">
          <w:pPr>
            <w:pStyle w:val="NoSpacing"/>
            <w:spacing w:before="480"/>
            <w:jc w:val="center"/>
            <w:rPr>
              <w:color w:val="4472C4" w:themeColor="accent1"/>
            </w:rPr>
          </w:pPr>
          <w:r w:rsidRPr="002F3425">
            <w:rPr>
              <w:noProof/>
              <w:color w:val="4472C4" w:themeColor="accent1"/>
            </w:rPr>
            <mc:AlternateContent>
              <mc:Choice Requires="wps">
                <w:drawing>
                  <wp:anchor distT="45720" distB="45720" distL="114300" distR="114300" simplePos="0" relativeHeight="251661312" behindDoc="0" locked="0" layoutInCell="1" allowOverlap="1" wp14:anchorId="34F6FE84" wp14:editId="028EEA32">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0EC5F10" w14:textId="5A293672" w:rsidR="002F3425" w:rsidRPr="002F3425" w:rsidRDefault="002F3425">
                                <w:pPr>
                                  <w:rPr>
                                    <w:sz w:val="28"/>
                                    <w:szCs w:val="28"/>
                                  </w:rPr>
                                </w:pPr>
                                <w:r w:rsidRPr="002F3425">
                                  <w:rPr>
                                    <w:sz w:val="28"/>
                                    <w:szCs w:val="28"/>
                                  </w:rPr>
                                  <w:t xml:space="preserve">By Lyndsey Copp </w:t>
                                </w:r>
                              </w:p>
                              <w:p w14:paraId="67B267E5" w14:textId="47A316A9" w:rsidR="002F3425" w:rsidRPr="002F3425" w:rsidRDefault="002F3425">
                                <w:pPr>
                                  <w:rPr>
                                    <w:sz w:val="28"/>
                                    <w:szCs w:val="28"/>
                                  </w:rPr>
                                </w:pPr>
                                <w:r w:rsidRPr="002F3425">
                                  <w:rPr>
                                    <w:sz w:val="28"/>
                                    <w:szCs w:val="28"/>
                                  </w:rPr>
                                  <w:t>Student number: 2118579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4F6FE84" id="_x0000_t202" coordsize="21600,21600" o:spt="202" path="m,l,21600r21600,l21600,xe">
                    <v:stroke joinstyle="miter"/>
                    <v:path gradientshapeok="t" o:connecttype="rect"/>
                  </v:shapetype>
                  <v:shape id="Text Box 2" o:spid="_x0000_s1026" type="#_x0000_t202" style="position:absolute;left:0;text-align:left;margin-left:0;margin-top:14.4pt;width:185.9pt;height:110.6pt;z-index:25166131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fit-shape-to-text:t">
                      <w:txbxContent>
                        <w:p w14:paraId="30EC5F10" w14:textId="5A293672" w:rsidR="002F3425" w:rsidRPr="002F3425" w:rsidRDefault="002F3425">
                          <w:pPr>
                            <w:rPr>
                              <w:sz w:val="28"/>
                              <w:szCs w:val="28"/>
                            </w:rPr>
                          </w:pPr>
                          <w:r w:rsidRPr="002F3425">
                            <w:rPr>
                              <w:sz w:val="28"/>
                              <w:szCs w:val="28"/>
                            </w:rPr>
                            <w:t xml:space="preserve">By Lyndsey Copp </w:t>
                          </w:r>
                        </w:p>
                        <w:p w14:paraId="67B267E5" w14:textId="47A316A9" w:rsidR="002F3425" w:rsidRPr="002F3425" w:rsidRDefault="002F3425">
                          <w:pPr>
                            <w:rPr>
                              <w:sz w:val="28"/>
                              <w:szCs w:val="28"/>
                            </w:rPr>
                          </w:pPr>
                          <w:r w:rsidRPr="002F3425">
                            <w:rPr>
                              <w:sz w:val="28"/>
                              <w:szCs w:val="28"/>
                            </w:rPr>
                            <w:t>Student number: 2118579</w:t>
                          </w:r>
                        </w:p>
                      </w:txbxContent>
                    </v:textbox>
                    <w10:wrap type="square"/>
                  </v:shape>
                </w:pict>
              </mc:Fallback>
            </mc:AlternateContent>
          </w:r>
        </w:p>
        <w:p w14:paraId="60BA90E3" w14:textId="4B04A365" w:rsidR="002F3425" w:rsidRDefault="002F3425">
          <w:r>
            <w:br w:type="page"/>
          </w:r>
        </w:p>
      </w:sdtContent>
    </w:sdt>
    <w:sdt>
      <w:sdtPr>
        <w:id w:val="612170567"/>
        <w:docPartObj>
          <w:docPartGallery w:val="Table of Contents"/>
          <w:docPartUnique/>
        </w:docPartObj>
      </w:sdtPr>
      <w:sdtContent>
        <w:p w14:paraId="6789546B" w14:textId="77777777" w:rsidR="00E17AEC" w:rsidRPr="00E17AEC" w:rsidRDefault="00E17AEC" w:rsidP="00E17AEC">
          <w:pPr>
            <w:pStyle w:val="TOCHeading"/>
            <w:rPr>
              <w:b/>
              <w:bCs/>
              <w:lang w:val="en-US"/>
            </w:rPr>
          </w:pPr>
          <w:r w:rsidRPr="00E17AEC">
            <w:rPr>
              <w:b/>
              <w:bCs/>
              <w:lang w:val="en-US"/>
            </w:rPr>
            <w:t>Contents</w:t>
          </w:r>
        </w:p>
        <w:p w14:paraId="1A786F1B" w14:textId="011A2A9E" w:rsidR="00E17AEC" w:rsidRPr="00E17AEC" w:rsidRDefault="00E17AEC" w:rsidP="00E17AEC">
          <w:pPr>
            <w:pStyle w:val="TOCHeading"/>
            <w:rPr>
              <w:lang w:val="en-US"/>
            </w:rPr>
          </w:pPr>
          <w:r w:rsidRPr="00E17AEC">
            <w:rPr>
              <w:lang w:val="en-US"/>
            </w:rPr>
            <w:t>Element 1: A Reflective Comparison of Outdoor Learning in Mainstream Primary Provision and an Enhanced Inclusion Provision (EIP)</w:t>
          </w:r>
          <w:r w:rsidR="004422CE">
            <w:rPr>
              <w:lang w:val="en-US"/>
            </w:rPr>
            <w:t xml:space="preserve"> – Pages 4 – 10 </w:t>
          </w:r>
        </w:p>
        <w:p w14:paraId="194B174F" w14:textId="26DA369F" w:rsidR="00E17AEC" w:rsidRPr="00E17AEC" w:rsidRDefault="00E17AEC" w:rsidP="00E17AEC">
          <w:pPr>
            <w:pStyle w:val="TOCHeading"/>
            <w:rPr>
              <w:lang w:val="en-US"/>
            </w:rPr>
          </w:pPr>
          <w:r w:rsidRPr="00E17AEC">
            <w:rPr>
              <w:lang w:val="en-US"/>
            </w:rPr>
            <w:t xml:space="preserve"> Introduction</w:t>
          </w:r>
          <w:r w:rsidRPr="00E17AEC">
            <w:rPr>
              <w:lang w:val="en-US"/>
            </w:rPr>
            <w:tab/>
          </w:r>
        </w:p>
        <w:p w14:paraId="70C9E386" w14:textId="4AC50DBE" w:rsidR="00E17AEC" w:rsidRPr="00E17AEC" w:rsidRDefault="00E17AEC" w:rsidP="00E17AEC">
          <w:pPr>
            <w:pStyle w:val="TOCHeading"/>
            <w:rPr>
              <w:lang w:val="en-US"/>
            </w:rPr>
          </w:pPr>
          <w:r w:rsidRPr="00E17AEC">
            <w:rPr>
              <w:lang w:val="en-US"/>
            </w:rPr>
            <w:t xml:space="preserve"> Scope of Outdoor Learning in a Mainstream Primary Setting</w:t>
          </w:r>
          <w:r w:rsidRPr="00E17AEC">
            <w:rPr>
              <w:lang w:val="en-US"/>
            </w:rPr>
            <w:tab/>
          </w:r>
        </w:p>
        <w:p w14:paraId="0C2A83DE" w14:textId="7E876520" w:rsidR="00E17AEC" w:rsidRPr="00E17AEC" w:rsidRDefault="00E17AEC" w:rsidP="00E17AEC">
          <w:pPr>
            <w:pStyle w:val="TOCHeading"/>
            <w:rPr>
              <w:lang w:val="en-US"/>
            </w:rPr>
          </w:pPr>
          <w:r w:rsidRPr="00E17AEC">
            <w:rPr>
              <w:lang w:val="en-US"/>
            </w:rPr>
            <w:t xml:space="preserve"> Approach to Outdoor Learning in a Mainstream Primary Setting</w:t>
          </w:r>
          <w:r w:rsidRPr="00E17AEC">
            <w:rPr>
              <w:lang w:val="en-US"/>
            </w:rPr>
            <w:tab/>
          </w:r>
        </w:p>
        <w:p w14:paraId="56119C9C" w14:textId="3CA1EE67" w:rsidR="00E17AEC" w:rsidRPr="00E17AEC" w:rsidRDefault="00E17AEC" w:rsidP="00E17AEC">
          <w:pPr>
            <w:pStyle w:val="TOCHeading"/>
            <w:rPr>
              <w:lang w:val="en-US"/>
            </w:rPr>
          </w:pPr>
          <w:r w:rsidRPr="00E17AEC">
            <w:rPr>
              <w:lang w:val="en-US"/>
            </w:rPr>
            <w:t xml:space="preserve"> Scope of Outdoor Learning in an Enhanced Inclusion Provision (EIP)</w:t>
          </w:r>
          <w:r w:rsidRPr="00E17AEC">
            <w:rPr>
              <w:lang w:val="en-US"/>
            </w:rPr>
            <w:tab/>
          </w:r>
        </w:p>
        <w:p w14:paraId="7CB1F904" w14:textId="0DA31CC6" w:rsidR="00E17AEC" w:rsidRPr="00E17AEC" w:rsidRDefault="00E17AEC" w:rsidP="00E17AEC">
          <w:pPr>
            <w:pStyle w:val="TOCHeading"/>
            <w:rPr>
              <w:lang w:val="en-US"/>
            </w:rPr>
          </w:pPr>
          <w:r w:rsidRPr="00E17AEC">
            <w:rPr>
              <w:lang w:val="en-US"/>
            </w:rPr>
            <w:t>Approach to Outdoor Learning in an EIP</w:t>
          </w:r>
          <w:r w:rsidRPr="00E17AEC">
            <w:rPr>
              <w:lang w:val="en-US"/>
            </w:rPr>
            <w:tab/>
          </w:r>
        </w:p>
        <w:p w14:paraId="52AB0151" w14:textId="7E6608DE" w:rsidR="00E17AEC" w:rsidRPr="00E17AEC" w:rsidRDefault="00E17AEC" w:rsidP="00E17AEC">
          <w:pPr>
            <w:pStyle w:val="TOCHeading"/>
            <w:rPr>
              <w:lang w:val="en-US"/>
            </w:rPr>
          </w:pPr>
          <w:r w:rsidRPr="00E17AEC">
            <w:rPr>
              <w:lang w:val="en-US"/>
            </w:rPr>
            <w:t xml:space="preserve">   </w:t>
          </w:r>
          <w:proofErr w:type="spellStart"/>
          <w:r w:rsidRPr="00E17AEC">
            <w:rPr>
              <w:lang w:val="en-US"/>
            </w:rPr>
            <w:t>Personalisation</w:t>
          </w:r>
          <w:proofErr w:type="spellEnd"/>
          <w:r w:rsidRPr="00E17AEC">
            <w:rPr>
              <w:lang w:val="en-US"/>
            </w:rPr>
            <w:tab/>
          </w:r>
        </w:p>
        <w:p w14:paraId="055E6BCD" w14:textId="666191B1" w:rsidR="00E17AEC" w:rsidRPr="00E17AEC" w:rsidRDefault="00E17AEC" w:rsidP="00E17AEC">
          <w:pPr>
            <w:pStyle w:val="TOCHeading"/>
            <w:rPr>
              <w:lang w:val="en-US"/>
            </w:rPr>
          </w:pPr>
          <w:r w:rsidRPr="00E17AEC">
            <w:rPr>
              <w:lang w:val="en-US"/>
            </w:rPr>
            <w:t xml:space="preserve">   Therapeutic Use of Space</w:t>
          </w:r>
          <w:r w:rsidRPr="00E17AEC">
            <w:rPr>
              <w:lang w:val="en-US"/>
            </w:rPr>
            <w:tab/>
          </w:r>
        </w:p>
        <w:p w14:paraId="125A561E" w14:textId="2DC15F22" w:rsidR="00E17AEC" w:rsidRPr="00E17AEC" w:rsidRDefault="00E17AEC" w:rsidP="00E17AEC">
          <w:pPr>
            <w:pStyle w:val="TOCHeading"/>
            <w:rPr>
              <w:lang w:val="en-US"/>
            </w:rPr>
          </w:pPr>
          <w:r w:rsidRPr="00E17AEC">
            <w:rPr>
              <w:lang w:val="en-US"/>
            </w:rPr>
            <w:t xml:space="preserve">   Communication-Focused Practice</w:t>
          </w:r>
          <w:r w:rsidRPr="00E17AEC">
            <w:rPr>
              <w:lang w:val="en-US"/>
            </w:rPr>
            <w:tab/>
          </w:r>
        </w:p>
        <w:p w14:paraId="2EA66AAE" w14:textId="161E9A34" w:rsidR="00E17AEC" w:rsidRPr="00E17AEC" w:rsidRDefault="00E17AEC" w:rsidP="00E17AEC">
          <w:pPr>
            <w:pStyle w:val="TOCHeading"/>
            <w:rPr>
              <w:lang w:val="en-US"/>
            </w:rPr>
          </w:pPr>
          <w:r w:rsidRPr="00E17AEC">
            <w:rPr>
              <w:lang w:val="en-US"/>
            </w:rPr>
            <w:t xml:space="preserve">   High Staff-to-Pupil Ratio</w:t>
          </w:r>
          <w:r w:rsidRPr="00E17AEC">
            <w:rPr>
              <w:lang w:val="en-US"/>
            </w:rPr>
            <w:tab/>
          </w:r>
        </w:p>
        <w:p w14:paraId="41576E60" w14:textId="30C9369E" w:rsidR="00E17AEC" w:rsidRPr="00E17AEC" w:rsidRDefault="00E17AEC" w:rsidP="00E17AEC">
          <w:pPr>
            <w:pStyle w:val="TOCHeading"/>
            <w:rPr>
              <w:lang w:val="en-US"/>
            </w:rPr>
          </w:pPr>
          <w:r w:rsidRPr="00E17AEC">
            <w:rPr>
              <w:lang w:val="en-US"/>
            </w:rPr>
            <w:t xml:space="preserve">   Flexibility and Responsiveness</w:t>
          </w:r>
          <w:r w:rsidRPr="00E17AEC">
            <w:rPr>
              <w:lang w:val="en-US"/>
            </w:rPr>
            <w:tab/>
          </w:r>
        </w:p>
        <w:p w14:paraId="5232388F" w14:textId="06C8B7A6" w:rsidR="00E17AEC" w:rsidRPr="00E17AEC" w:rsidRDefault="00E17AEC" w:rsidP="00E17AEC">
          <w:pPr>
            <w:pStyle w:val="TOCHeading"/>
            <w:rPr>
              <w:lang w:val="en-US"/>
            </w:rPr>
          </w:pPr>
          <w:r w:rsidRPr="00E17AEC">
            <w:rPr>
              <w:lang w:val="en-US"/>
            </w:rPr>
            <w:t xml:space="preserve"> Similarities Between the Two Settings</w:t>
          </w:r>
          <w:r w:rsidRPr="00E17AEC">
            <w:rPr>
              <w:lang w:val="en-US"/>
            </w:rPr>
            <w:tab/>
          </w:r>
        </w:p>
        <w:p w14:paraId="6BB09E10" w14:textId="438C40A4" w:rsidR="00E17AEC" w:rsidRPr="00E17AEC" w:rsidRDefault="00E17AEC" w:rsidP="00E17AEC">
          <w:pPr>
            <w:pStyle w:val="TOCHeading"/>
            <w:rPr>
              <w:lang w:val="en-US"/>
            </w:rPr>
          </w:pPr>
          <w:r w:rsidRPr="00E17AEC">
            <w:rPr>
              <w:lang w:val="en-US"/>
            </w:rPr>
            <w:lastRenderedPageBreak/>
            <w:t>Differences Between the Two Settings</w:t>
          </w:r>
          <w:r w:rsidRPr="00E17AEC">
            <w:rPr>
              <w:lang w:val="en-US"/>
            </w:rPr>
            <w:tab/>
          </w:r>
        </w:p>
        <w:p w14:paraId="71ACBD07" w14:textId="4CD0A566" w:rsidR="00E17AEC" w:rsidRPr="00E17AEC" w:rsidRDefault="00E17AEC" w:rsidP="00E17AEC">
          <w:pPr>
            <w:pStyle w:val="TOCHeading"/>
            <w:rPr>
              <w:lang w:val="en-US"/>
            </w:rPr>
          </w:pPr>
          <w:r w:rsidRPr="00E17AEC">
            <w:rPr>
              <w:lang w:val="en-US"/>
            </w:rPr>
            <w:t xml:space="preserve">    Purpose</w:t>
          </w:r>
          <w:r w:rsidRPr="00E17AEC">
            <w:rPr>
              <w:lang w:val="en-US"/>
            </w:rPr>
            <w:tab/>
          </w:r>
        </w:p>
        <w:p w14:paraId="0ADCA112" w14:textId="31395D64" w:rsidR="00E17AEC" w:rsidRPr="00E17AEC" w:rsidRDefault="00E17AEC" w:rsidP="00E17AEC">
          <w:pPr>
            <w:pStyle w:val="TOCHeading"/>
            <w:rPr>
              <w:lang w:val="en-US"/>
            </w:rPr>
          </w:pPr>
          <w:r w:rsidRPr="00E17AEC">
            <w:rPr>
              <w:lang w:val="en-US"/>
            </w:rPr>
            <w:t xml:space="preserve">    Structure</w:t>
          </w:r>
          <w:r w:rsidRPr="00E17AEC">
            <w:rPr>
              <w:lang w:val="en-US"/>
            </w:rPr>
            <w:tab/>
          </w:r>
        </w:p>
        <w:p w14:paraId="4D1BD5D4" w14:textId="7DE0F20D" w:rsidR="00E17AEC" w:rsidRPr="00E17AEC" w:rsidRDefault="00E17AEC" w:rsidP="00E17AEC">
          <w:pPr>
            <w:pStyle w:val="TOCHeading"/>
            <w:rPr>
              <w:lang w:val="en-US"/>
            </w:rPr>
          </w:pPr>
          <w:r w:rsidRPr="00E17AEC">
            <w:rPr>
              <w:lang w:val="en-US"/>
            </w:rPr>
            <w:t xml:space="preserve">    Environment</w:t>
          </w:r>
          <w:r w:rsidRPr="00E17AEC">
            <w:rPr>
              <w:lang w:val="en-US"/>
            </w:rPr>
            <w:tab/>
          </w:r>
        </w:p>
        <w:p w14:paraId="3FE6F8E3" w14:textId="550D56C8" w:rsidR="00E17AEC" w:rsidRPr="00E17AEC" w:rsidRDefault="00E17AEC" w:rsidP="00E17AEC">
          <w:pPr>
            <w:pStyle w:val="TOCHeading"/>
            <w:rPr>
              <w:lang w:val="en-US"/>
            </w:rPr>
          </w:pPr>
          <w:r w:rsidRPr="00E17AEC">
            <w:rPr>
              <w:lang w:val="en-US"/>
            </w:rPr>
            <w:t xml:space="preserve">   Staffing</w:t>
          </w:r>
          <w:r w:rsidRPr="00E17AEC">
            <w:rPr>
              <w:lang w:val="en-US"/>
            </w:rPr>
            <w:tab/>
          </w:r>
        </w:p>
        <w:p w14:paraId="1AE6F243" w14:textId="4C8004CA" w:rsidR="00E17AEC" w:rsidRPr="00E17AEC" w:rsidRDefault="00E17AEC" w:rsidP="00E17AEC">
          <w:pPr>
            <w:pStyle w:val="TOCHeading"/>
            <w:rPr>
              <w:lang w:val="en-US"/>
            </w:rPr>
          </w:pPr>
          <w:r w:rsidRPr="00E17AEC">
            <w:rPr>
              <w:lang w:val="en-US"/>
            </w:rPr>
            <w:t xml:space="preserve">   Pupil Experience</w:t>
          </w:r>
          <w:r w:rsidRPr="00E17AEC">
            <w:rPr>
              <w:lang w:val="en-US"/>
            </w:rPr>
            <w:tab/>
          </w:r>
        </w:p>
        <w:p w14:paraId="28E8A6FE" w14:textId="5C000FB2" w:rsidR="00E17AEC" w:rsidRPr="00E17AEC" w:rsidRDefault="00E17AEC" w:rsidP="00E17AEC">
          <w:pPr>
            <w:pStyle w:val="TOCHeading"/>
            <w:rPr>
              <w:lang w:val="en-US"/>
            </w:rPr>
          </w:pPr>
          <w:r w:rsidRPr="00E17AEC">
            <w:rPr>
              <w:lang w:val="en-US"/>
            </w:rPr>
            <w:t xml:space="preserve"> </w:t>
          </w:r>
          <w:r w:rsidR="00E2332B">
            <w:rPr>
              <w:lang w:val="en-US"/>
            </w:rPr>
            <w:t xml:space="preserve"> </w:t>
          </w:r>
          <w:r w:rsidRPr="00E17AEC">
            <w:rPr>
              <w:lang w:val="en-US"/>
            </w:rPr>
            <w:t>Conclusion</w:t>
          </w:r>
          <w:r w:rsidRPr="00E17AEC">
            <w:rPr>
              <w:lang w:val="en-US"/>
            </w:rPr>
            <w:tab/>
          </w:r>
        </w:p>
        <w:p w14:paraId="005B3006" w14:textId="25C1E602" w:rsidR="00E17AEC" w:rsidRPr="00E17AEC" w:rsidRDefault="00E2332B" w:rsidP="00E17AEC">
          <w:pPr>
            <w:pStyle w:val="TOCHeading"/>
            <w:rPr>
              <w:lang w:val="en-US"/>
            </w:rPr>
          </w:pPr>
          <w:r>
            <w:rPr>
              <w:lang w:val="en-US"/>
            </w:rPr>
            <w:t xml:space="preserve"> </w:t>
          </w:r>
          <w:r w:rsidR="00E17AEC" w:rsidRPr="00E17AEC">
            <w:rPr>
              <w:lang w:val="en-US"/>
            </w:rPr>
            <w:t xml:space="preserve"> Harvard Reference List</w:t>
          </w:r>
          <w:r w:rsidR="004422CE">
            <w:rPr>
              <w:lang w:val="en-US"/>
            </w:rPr>
            <w:t xml:space="preserve"> - </w:t>
          </w:r>
          <w:r w:rsidR="004422CE" w:rsidRPr="00E17AEC">
            <w:rPr>
              <w:lang w:val="en-US"/>
            </w:rPr>
            <w:t>Page</w:t>
          </w:r>
          <w:r w:rsidR="004422CE">
            <w:rPr>
              <w:lang w:val="en-US"/>
            </w:rPr>
            <w:t xml:space="preserve"> 11 </w:t>
          </w:r>
        </w:p>
        <w:p w14:paraId="3F0DC36B" w14:textId="4B589CAF" w:rsidR="00E2332B" w:rsidRDefault="00E17AEC" w:rsidP="00E17AEC">
          <w:pPr>
            <w:pStyle w:val="TOCHeading"/>
            <w:rPr>
              <w:lang w:val="en-US"/>
            </w:rPr>
          </w:pPr>
          <w:r w:rsidRPr="00E17AEC">
            <w:rPr>
              <w:lang w:val="en-US"/>
            </w:rPr>
            <w:br/>
            <w:t>Element 2:</w:t>
          </w:r>
          <w:r w:rsidR="002F6B95">
            <w:rPr>
              <w:lang w:val="en-US"/>
            </w:rPr>
            <w:t xml:space="preserve"> Leaflet </w:t>
          </w:r>
          <w:r w:rsidR="004422CE">
            <w:rPr>
              <w:lang w:val="en-US"/>
            </w:rPr>
            <w:t>– Pages 12-13</w:t>
          </w:r>
        </w:p>
        <w:p w14:paraId="5ECF5874" w14:textId="20DCA2A7" w:rsidR="00E17AEC" w:rsidRPr="00E17AEC" w:rsidRDefault="00E17AEC" w:rsidP="00E17AEC">
          <w:pPr>
            <w:pStyle w:val="TOCHeading"/>
            <w:rPr>
              <w:lang w:val="en-US"/>
            </w:rPr>
          </w:pPr>
          <w:r w:rsidRPr="00E17AEC">
            <w:rPr>
              <w:lang w:val="en-US"/>
            </w:rPr>
            <w:t xml:space="preserve"> Reference Lis</w:t>
          </w:r>
          <w:r w:rsidR="004422CE">
            <w:rPr>
              <w:lang w:val="en-US"/>
            </w:rPr>
            <w:t xml:space="preserve">t – Page 14 </w:t>
          </w:r>
        </w:p>
        <w:p w14:paraId="538134A7" w14:textId="2223C9CA" w:rsidR="00E17AEC" w:rsidRPr="00E17AEC" w:rsidRDefault="00E17AEC" w:rsidP="00E17AEC">
          <w:pPr>
            <w:pStyle w:val="TOCHeading"/>
            <w:rPr>
              <w:lang w:val="en-US"/>
            </w:rPr>
          </w:pPr>
          <w:r w:rsidRPr="00E17AEC">
            <w:rPr>
              <w:lang w:val="en-US"/>
            </w:rPr>
            <w:br/>
            <w:t>Element 3: Risk Benefit Assessment</w:t>
          </w:r>
          <w:r w:rsidR="004422CE">
            <w:rPr>
              <w:lang w:val="en-US"/>
            </w:rPr>
            <w:t xml:space="preserve"> – Pages 15-16 </w:t>
          </w:r>
        </w:p>
        <w:p w14:paraId="26CECD26" w14:textId="3D8B3ABF" w:rsidR="00E17AEC" w:rsidRPr="00E17AEC" w:rsidRDefault="00E17AEC" w:rsidP="00E17AEC">
          <w:pPr>
            <w:pStyle w:val="TOCHeading"/>
            <w:rPr>
              <w:lang w:val="en-US"/>
            </w:rPr>
          </w:pPr>
          <w:r w:rsidRPr="00E17AEC">
            <w:rPr>
              <w:lang w:val="en-US"/>
            </w:rPr>
            <w:t xml:space="preserve"> Outdoor Sensory Circuits Risk Benefit Assessment</w:t>
          </w:r>
        </w:p>
        <w:p w14:paraId="66A0FA4D" w14:textId="15FE3796" w:rsidR="00E17AEC" w:rsidRPr="00E17AEC" w:rsidRDefault="00E17AEC" w:rsidP="00E17AEC">
          <w:pPr>
            <w:pStyle w:val="TOCHeading"/>
            <w:rPr>
              <w:lang w:val="en-US"/>
            </w:rPr>
          </w:pPr>
          <w:r w:rsidRPr="00E17AEC">
            <w:rPr>
              <w:lang w:val="en-US"/>
            </w:rPr>
            <w:lastRenderedPageBreak/>
            <w:br/>
            <w:t>Element 4: Literature Review – The Role of Outdoor Education</w:t>
          </w:r>
          <w:r w:rsidR="004422CE">
            <w:rPr>
              <w:lang w:val="en-US"/>
            </w:rPr>
            <w:t xml:space="preserve"> – Pages 17-20</w:t>
          </w:r>
        </w:p>
        <w:p w14:paraId="48AF5176" w14:textId="3D044A35" w:rsidR="00E17AEC" w:rsidRPr="00E17AEC" w:rsidRDefault="00E17AEC" w:rsidP="00E17AEC">
          <w:pPr>
            <w:pStyle w:val="TOCHeading"/>
            <w:rPr>
              <w:lang w:val="en-US"/>
            </w:rPr>
          </w:pPr>
          <w:r w:rsidRPr="00E17AEC">
            <w:rPr>
              <w:lang w:val="en-US"/>
            </w:rPr>
            <w:t xml:space="preserve"> Introduction</w:t>
          </w:r>
          <w:r w:rsidRPr="00E17AEC">
            <w:rPr>
              <w:lang w:val="en-US"/>
            </w:rPr>
            <w:tab/>
          </w:r>
        </w:p>
        <w:p w14:paraId="08D4EE84" w14:textId="39C7EB46" w:rsidR="00E17AEC" w:rsidRPr="00E17AEC" w:rsidRDefault="00E17AEC" w:rsidP="00E17AEC">
          <w:pPr>
            <w:pStyle w:val="TOCHeading"/>
            <w:rPr>
              <w:lang w:val="en-US"/>
            </w:rPr>
          </w:pPr>
          <w:r w:rsidRPr="00E17AEC">
            <w:rPr>
              <w:lang w:val="en-US"/>
            </w:rPr>
            <w:t>Physical and Mental Health &amp; Wellbeing</w:t>
          </w:r>
          <w:r w:rsidRPr="00E17AEC">
            <w:rPr>
              <w:lang w:val="en-US"/>
            </w:rPr>
            <w:tab/>
          </w:r>
        </w:p>
        <w:p w14:paraId="6BCEFED7" w14:textId="61AD88A6" w:rsidR="00E17AEC" w:rsidRPr="00E17AEC" w:rsidRDefault="00E17AEC" w:rsidP="00E17AEC">
          <w:pPr>
            <w:pStyle w:val="TOCHeading"/>
            <w:rPr>
              <w:lang w:val="en-US"/>
            </w:rPr>
          </w:pPr>
          <w:r w:rsidRPr="00E17AEC">
            <w:rPr>
              <w:lang w:val="en-US"/>
            </w:rPr>
            <w:t xml:space="preserve"> Engagement with the Natural Environment &amp; Sustainability</w:t>
          </w:r>
          <w:r w:rsidRPr="00E17AEC">
            <w:rPr>
              <w:lang w:val="en-US"/>
            </w:rPr>
            <w:tab/>
          </w:r>
        </w:p>
        <w:p w14:paraId="7F13637B" w14:textId="748990EE" w:rsidR="00E17AEC" w:rsidRPr="00E17AEC" w:rsidRDefault="00E17AEC" w:rsidP="00E17AEC">
          <w:pPr>
            <w:pStyle w:val="TOCHeading"/>
            <w:rPr>
              <w:lang w:val="en-US"/>
            </w:rPr>
          </w:pPr>
          <w:r w:rsidRPr="00E17AEC">
            <w:rPr>
              <w:lang w:val="en-US"/>
            </w:rPr>
            <w:t xml:space="preserve"> Skills Development and Experiential Learning</w:t>
          </w:r>
          <w:r w:rsidRPr="00E17AEC">
            <w:rPr>
              <w:lang w:val="en-US"/>
            </w:rPr>
            <w:tab/>
          </w:r>
        </w:p>
        <w:p w14:paraId="25DC5CBF" w14:textId="34D7A54F" w:rsidR="00E17AEC" w:rsidRPr="00E17AEC" w:rsidRDefault="00E17AEC" w:rsidP="00E17AEC">
          <w:pPr>
            <w:pStyle w:val="TOCHeading"/>
            <w:rPr>
              <w:lang w:val="en-US"/>
            </w:rPr>
          </w:pPr>
          <w:r w:rsidRPr="00E17AEC">
            <w:rPr>
              <w:lang w:val="en-US"/>
            </w:rPr>
            <w:t xml:space="preserve"> Conclusion: The Way Forward</w:t>
          </w:r>
          <w:r w:rsidRPr="00E17AEC">
            <w:rPr>
              <w:lang w:val="en-US"/>
            </w:rPr>
            <w:tab/>
          </w:r>
        </w:p>
        <w:p w14:paraId="091833B4" w14:textId="71D0978E" w:rsidR="00F37BC7" w:rsidRPr="006F5580" w:rsidRDefault="00E17AEC" w:rsidP="00E17AEC">
          <w:pPr>
            <w:pStyle w:val="TOCHeading"/>
          </w:pPr>
          <w:r w:rsidRPr="00E17AEC">
            <w:rPr>
              <w:lang w:val="en-US"/>
            </w:rPr>
            <w:t xml:space="preserve"> Reference List</w:t>
          </w:r>
          <w:r w:rsidR="004422CE">
            <w:rPr>
              <w:lang w:val="en-US"/>
            </w:rPr>
            <w:t xml:space="preserve"> – Page 21 </w:t>
          </w:r>
          <w:r w:rsidRPr="00E17AEC">
            <w:rPr>
              <w:lang w:val="en-US"/>
            </w:rPr>
            <w:tab/>
          </w:r>
        </w:p>
      </w:sdtContent>
    </w:sdt>
    <w:p w14:paraId="52E08842" w14:textId="77777777" w:rsidR="00806339" w:rsidRPr="00806339" w:rsidRDefault="00806339" w:rsidP="00806339"/>
    <w:p w14:paraId="41146A8B" w14:textId="77777777" w:rsidR="00F37BC7" w:rsidRDefault="00F37BC7" w:rsidP="00806339">
      <w:pPr>
        <w:jc w:val="center"/>
        <w:rPr>
          <w:b/>
          <w:bCs/>
          <w:sz w:val="40"/>
          <w:szCs w:val="40"/>
        </w:rPr>
      </w:pPr>
    </w:p>
    <w:p w14:paraId="354E1D9E" w14:textId="77777777" w:rsidR="00F37BC7" w:rsidRDefault="00F37BC7" w:rsidP="00806339">
      <w:pPr>
        <w:jc w:val="center"/>
        <w:rPr>
          <w:b/>
          <w:bCs/>
          <w:sz w:val="40"/>
          <w:szCs w:val="40"/>
        </w:rPr>
      </w:pPr>
    </w:p>
    <w:p w14:paraId="094B868E" w14:textId="77777777" w:rsidR="00F37BC7" w:rsidRDefault="00F37BC7" w:rsidP="00806339">
      <w:pPr>
        <w:jc w:val="center"/>
        <w:rPr>
          <w:b/>
          <w:bCs/>
          <w:sz w:val="40"/>
          <w:szCs w:val="40"/>
        </w:rPr>
      </w:pPr>
    </w:p>
    <w:p w14:paraId="0AD7F17F" w14:textId="77777777" w:rsidR="00F37BC7" w:rsidRDefault="00F37BC7" w:rsidP="00806339">
      <w:pPr>
        <w:jc w:val="center"/>
        <w:rPr>
          <w:b/>
          <w:bCs/>
          <w:sz w:val="40"/>
          <w:szCs w:val="40"/>
        </w:rPr>
      </w:pPr>
    </w:p>
    <w:p w14:paraId="6A14AA25" w14:textId="77777777" w:rsidR="00F37BC7" w:rsidRDefault="00F37BC7" w:rsidP="00806339">
      <w:pPr>
        <w:jc w:val="center"/>
        <w:rPr>
          <w:b/>
          <w:bCs/>
          <w:sz w:val="40"/>
          <w:szCs w:val="40"/>
        </w:rPr>
      </w:pPr>
    </w:p>
    <w:p w14:paraId="12456FDE" w14:textId="77777777" w:rsidR="00F37BC7" w:rsidRDefault="00F37BC7" w:rsidP="00806339">
      <w:pPr>
        <w:jc w:val="center"/>
        <w:rPr>
          <w:b/>
          <w:bCs/>
          <w:sz w:val="40"/>
          <w:szCs w:val="40"/>
        </w:rPr>
      </w:pPr>
    </w:p>
    <w:p w14:paraId="3BF7662F" w14:textId="77777777" w:rsidR="00F37BC7" w:rsidRDefault="00F37BC7" w:rsidP="00806339">
      <w:pPr>
        <w:jc w:val="center"/>
        <w:rPr>
          <w:b/>
          <w:bCs/>
          <w:sz w:val="40"/>
          <w:szCs w:val="40"/>
        </w:rPr>
      </w:pPr>
    </w:p>
    <w:p w14:paraId="389E45E6" w14:textId="77777777" w:rsidR="00F37BC7" w:rsidRDefault="00F37BC7" w:rsidP="00806339">
      <w:pPr>
        <w:jc w:val="center"/>
        <w:rPr>
          <w:b/>
          <w:bCs/>
          <w:sz w:val="40"/>
          <w:szCs w:val="40"/>
        </w:rPr>
      </w:pPr>
    </w:p>
    <w:p w14:paraId="0DF5D393" w14:textId="1D17E44E" w:rsidR="00B36E66" w:rsidRDefault="00B36E66" w:rsidP="00806339">
      <w:pPr>
        <w:jc w:val="center"/>
        <w:rPr>
          <w:b/>
          <w:bCs/>
          <w:sz w:val="40"/>
          <w:szCs w:val="40"/>
        </w:rPr>
      </w:pPr>
      <w:r>
        <w:rPr>
          <w:b/>
          <w:bCs/>
          <w:sz w:val="40"/>
          <w:szCs w:val="40"/>
        </w:rPr>
        <w:t>Element 1:</w:t>
      </w:r>
    </w:p>
    <w:p w14:paraId="70554B99" w14:textId="36D113EA" w:rsidR="00806339" w:rsidRPr="00806339" w:rsidRDefault="00806339" w:rsidP="00806339">
      <w:pPr>
        <w:jc w:val="center"/>
        <w:rPr>
          <w:b/>
          <w:bCs/>
          <w:sz w:val="40"/>
          <w:szCs w:val="40"/>
        </w:rPr>
      </w:pPr>
      <w:r w:rsidRPr="00806339">
        <w:rPr>
          <w:b/>
          <w:bCs/>
          <w:sz w:val="40"/>
          <w:szCs w:val="40"/>
        </w:rPr>
        <w:t>A Reflective Comparison of Outdoor Learning in Mainstream Primary Provision and an Enhanced Inclusion Provision (EIP)</w:t>
      </w:r>
    </w:p>
    <w:p w14:paraId="6BA33970" w14:textId="19945CE5" w:rsidR="00806339" w:rsidRPr="00806339" w:rsidRDefault="00806339" w:rsidP="00806339">
      <w:pPr>
        <w:rPr>
          <w:sz w:val="24"/>
          <w:szCs w:val="24"/>
        </w:rPr>
      </w:pPr>
      <w:r w:rsidRPr="00806339">
        <w:rPr>
          <w:sz w:val="24"/>
          <w:szCs w:val="24"/>
        </w:rPr>
        <w:t>Outdoor learning has always been an important part of my practice, but working within an Enhanced Inclusion Provision (EIP) has changed the way I understand its purpose and potential. Supporting pupils with Additional Learning Needs (ALN) has shown me how powerful outdoor environments can be, not just for curriculum learning, but for emotional regulation, communication, and building confidence. This reflective essay compares outdoor learning in mainstream primary provision with the approach taken within an EIP, drawing on my own experiences, observations, and professional growth. The discussion is framed by relevant research and policy guidance, including the Curriculum for Wales, ALN legislation, and literature on outdoor learning and inclusion.</w:t>
      </w:r>
    </w:p>
    <w:p w14:paraId="6FDF7246" w14:textId="53BEADD5" w:rsidR="00806339" w:rsidRPr="00806339" w:rsidRDefault="00806339" w:rsidP="00806339"/>
    <w:p w14:paraId="6A2FD98B" w14:textId="6A160053" w:rsidR="00806339" w:rsidRPr="00806339" w:rsidRDefault="00806339" w:rsidP="00806339">
      <w:pPr>
        <w:jc w:val="center"/>
        <w:rPr>
          <w:b/>
          <w:bCs/>
          <w:sz w:val="36"/>
          <w:szCs w:val="36"/>
        </w:rPr>
      </w:pPr>
      <w:r w:rsidRPr="00806339">
        <w:rPr>
          <w:b/>
          <w:bCs/>
          <w:sz w:val="36"/>
          <w:szCs w:val="36"/>
        </w:rPr>
        <w:t>Introduction</w:t>
      </w:r>
    </w:p>
    <w:p w14:paraId="48B99BE9" w14:textId="77777777" w:rsidR="00806339" w:rsidRPr="00806339" w:rsidRDefault="00806339" w:rsidP="00806339">
      <w:pPr>
        <w:rPr>
          <w:sz w:val="24"/>
          <w:szCs w:val="24"/>
        </w:rPr>
      </w:pPr>
      <w:r w:rsidRPr="00806339">
        <w:rPr>
          <w:sz w:val="24"/>
          <w:szCs w:val="24"/>
        </w:rPr>
        <w:t>Outdoor learning is widely recognised as a valuable part of children’s development. The Curriculum for Wales (Welsh Government, 2022) emphasises experiential, play</w:t>
      </w:r>
      <w:r w:rsidRPr="00806339">
        <w:rPr>
          <w:sz w:val="24"/>
          <w:szCs w:val="24"/>
        </w:rPr>
        <w:noBreakHyphen/>
        <w:t>based, and holistic learning, much of which can be supported outdoors. In mainstream primary settings, outdoor learning is often structured around curriculum objectives and whole</w:t>
      </w:r>
      <w:r w:rsidRPr="00806339">
        <w:rPr>
          <w:sz w:val="24"/>
          <w:szCs w:val="24"/>
        </w:rPr>
        <w:noBreakHyphen/>
        <w:t>class teaching. In contrast, within an EIP, outdoor learning is shaped by individual needs, sensory profiles, and personalised targets.</w:t>
      </w:r>
    </w:p>
    <w:p w14:paraId="139F2180" w14:textId="77777777" w:rsidR="00806339" w:rsidRPr="00806339" w:rsidRDefault="00806339" w:rsidP="00806339">
      <w:pPr>
        <w:rPr>
          <w:sz w:val="24"/>
          <w:szCs w:val="24"/>
        </w:rPr>
      </w:pPr>
      <w:r w:rsidRPr="00806339">
        <w:rPr>
          <w:sz w:val="24"/>
          <w:szCs w:val="24"/>
        </w:rPr>
        <w:lastRenderedPageBreak/>
        <w:t>As a specialist teaching assistant, I regularly adapt outdoor activities to ensure pupils with ALN can access learning in a way that feels safe, meaningful, and developmentally appropriate. Reflecting on my practice has helped me understand how outdoor learning can either enable or restrict engagement depending on how it is designed and delivered.</w:t>
      </w:r>
    </w:p>
    <w:p w14:paraId="5AD4D589" w14:textId="413D88D4" w:rsidR="00806339" w:rsidRPr="00806339" w:rsidRDefault="00806339" w:rsidP="00806339"/>
    <w:p w14:paraId="3210BECA" w14:textId="7801774B" w:rsidR="00806339" w:rsidRPr="00806339" w:rsidRDefault="00806339" w:rsidP="00806339">
      <w:pPr>
        <w:jc w:val="center"/>
        <w:rPr>
          <w:b/>
          <w:bCs/>
          <w:sz w:val="36"/>
          <w:szCs w:val="36"/>
        </w:rPr>
      </w:pPr>
      <w:r w:rsidRPr="00806339">
        <w:rPr>
          <w:b/>
          <w:bCs/>
          <w:sz w:val="36"/>
          <w:szCs w:val="36"/>
        </w:rPr>
        <w:t>Scope of Outdoor Learning in a Mainstream Primary Setting</w:t>
      </w:r>
    </w:p>
    <w:p w14:paraId="477412F0" w14:textId="77777777" w:rsidR="00806339" w:rsidRPr="00806339" w:rsidRDefault="00806339" w:rsidP="00806339">
      <w:pPr>
        <w:rPr>
          <w:sz w:val="24"/>
          <w:szCs w:val="24"/>
        </w:rPr>
      </w:pPr>
      <w:r w:rsidRPr="00806339">
        <w:rPr>
          <w:sz w:val="24"/>
          <w:szCs w:val="24"/>
        </w:rPr>
        <w:t>In mainstream primary provision, the scope of outdoor learning is largely determined by curriculum requirements. Teachers plan outdoor activities that link to specific learning objectives, and outdoor spaces are used to support subjects such as science, expressive arts, and PE. This aligns with research showing that outdoor learning can enhance motivation, physical development, and problem</w:t>
      </w:r>
      <w:r w:rsidRPr="00806339">
        <w:rPr>
          <w:sz w:val="24"/>
          <w:szCs w:val="24"/>
        </w:rPr>
        <w:noBreakHyphen/>
        <w:t>solving skills (Waite, 2017).</w:t>
      </w:r>
    </w:p>
    <w:p w14:paraId="4B076CEF" w14:textId="77777777" w:rsidR="00806339" w:rsidRPr="00806339" w:rsidRDefault="00806339" w:rsidP="00806339">
      <w:pPr>
        <w:rPr>
          <w:sz w:val="24"/>
          <w:szCs w:val="24"/>
        </w:rPr>
      </w:pPr>
      <w:r w:rsidRPr="00806339">
        <w:rPr>
          <w:sz w:val="24"/>
          <w:szCs w:val="24"/>
        </w:rPr>
        <w:t>However, mainstream outdoor environments are typically designed for large groups, with equipment that encourages physical play and social interaction. While this supports many pupils, it does not always meet the needs of those who require quieter spaces, sensory regulation, or more individualised support. Studies highlight that busy playgrounds can be overwhelming for pupils with sensory processing differences or social communication needs (Ashburner et al., 2014).</w:t>
      </w:r>
    </w:p>
    <w:p w14:paraId="76EAEE4E" w14:textId="77777777" w:rsidR="00806339" w:rsidRPr="00806339" w:rsidRDefault="00806339" w:rsidP="00806339">
      <w:pPr>
        <w:rPr>
          <w:sz w:val="24"/>
          <w:szCs w:val="24"/>
        </w:rPr>
      </w:pPr>
      <w:r w:rsidRPr="00806339">
        <w:rPr>
          <w:sz w:val="24"/>
          <w:szCs w:val="24"/>
        </w:rPr>
        <w:t>Reflecting on my time supporting mainstream classes, I remember how loud and unpredictable outdoor sessions could be. Many pupils enjoyed this, but others found it challenging. This has made me more aware of how easily pupils’ needs can be overlooked when outdoor learning is designed for the majority.</w:t>
      </w:r>
    </w:p>
    <w:p w14:paraId="2DC50C3D" w14:textId="7371C13E" w:rsidR="00806339" w:rsidRPr="00806339" w:rsidRDefault="00806339" w:rsidP="00806339"/>
    <w:p w14:paraId="7B735B32" w14:textId="7FF01F93" w:rsidR="00806339" w:rsidRPr="00806339" w:rsidRDefault="00806339" w:rsidP="00806339">
      <w:pPr>
        <w:jc w:val="center"/>
        <w:rPr>
          <w:b/>
          <w:bCs/>
          <w:sz w:val="36"/>
          <w:szCs w:val="36"/>
        </w:rPr>
      </w:pPr>
      <w:r w:rsidRPr="00806339">
        <w:rPr>
          <w:b/>
          <w:bCs/>
          <w:sz w:val="36"/>
          <w:szCs w:val="36"/>
        </w:rPr>
        <w:t>Approach to Outdoor Learning in a Mainstream Primary Setting</w:t>
      </w:r>
    </w:p>
    <w:p w14:paraId="137E819B" w14:textId="0219F31A" w:rsidR="00806339" w:rsidRPr="00806339" w:rsidRDefault="00806339" w:rsidP="00806339">
      <w:pPr>
        <w:rPr>
          <w:sz w:val="24"/>
          <w:szCs w:val="24"/>
        </w:rPr>
      </w:pPr>
      <w:r w:rsidRPr="00806339">
        <w:rPr>
          <w:sz w:val="24"/>
          <w:szCs w:val="24"/>
        </w:rPr>
        <w:t>The mainstream approach tends to be teacher</w:t>
      </w:r>
      <w:r w:rsidRPr="00806339">
        <w:rPr>
          <w:sz w:val="24"/>
          <w:szCs w:val="24"/>
        </w:rPr>
        <w:noBreakHyphen/>
        <w:t>led and consistent with classroom routines. Activities are planned, expectations are clear, and the focus is on curriculum coverage and whole</w:t>
      </w:r>
      <w:r w:rsidRPr="00806339">
        <w:rPr>
          <w:sz w:val="24"/>
          <w:szCs w:val="24"/>
        </w:rPr>
        <w:noBreakHyphen/>
        <w:t>class engagement. This aligns with traditional pedagogical models where outdoor learning is an extension of indoor teaching (Beames, Higgins &amp; Nicol, 2012).</w:t>
      </w:r>
    </w:p>
    <w:p w14:paraId="773ED545" w14:textId="77777777" w:rsidR="00806339" w:rsidRPr="00806339" w:rsidRDefault="00806339" w:rsidP="00806339">
      <w:pPr>
        <w:rPr>
          <w:sz w:val="24"/>
          <w:szCs w:val="24"/>
        </w:rPr>
      </w:pPr>
      <w:r w:rsidRPr="00806339">
        <w:rPr>
          <w:sz w:val="24"/>
          <w:szCs w:val="24"/>
        </w:rPr>
        <w:t xml:space="preserve">However, for pupils with ALN, the sensory and social demands of mainstream outdoor environments can create barriers. Research suggests that pupils with autism, ADHD, or sensory processing needs may struggle with unstructured outdoor spaces unless additional support is </w:t>
      </w:r>
      <w:r w:rsidRPr="00806339">
        <w:rPr>
          <w:sz w:val="24"/>
          <w:szCs w:val="24"/>
        </w:rPr>
        <w:lastRenderedPageBreak/>
        <w:t>provided (Conn, 2018). I often supported children who became dysregulated during outdoor sessions—not because they didn’t want to participate, but because the environment was simply too unpredictable.</w:t>
      </w:r>
    </w:p>
    <w:p w14:paraId="4088C096" w14:textId="77777777" w:rsidR="00806339" w:rsidRPr="00806339" w:rsidRDefault="00806339" w:rsidP="00806339">
      <w:pPr>
        <w:rPr>
          <w:sz w:val="24"/>
          <w:szCs w:val="24"/>
        </w:rPr>
      </w:pPr>
      <w:r w:rsidRPr="00806339">
        <w:rPr>
          <w:sz w:val="24"/>
          <w:szCs w:val="24"/>
        </w:rPr>
        <w:t>This reflection has helped me recognise the limitations of mainstream outdoor learning for pupils who require more personalised approaches.</w:t>
      </w:r>
    </w:p>
    <w:p w14:paraId="59511288" w14:textId="55072DCA" w:rsidR="00806339" w:rsidRPr="00806339" w:rsidRDefault="00806339" w:rsidP="00806339"/>
    <w:p w14:paraId="1640D5A8" w14:textId="3AEE7534" w:rsidR="00806339" w:rsidRPr="00806339" w:rsidRDefault="00806339" w:rsidP="00806339">
      <w:pPr>
        <w:jc w:val="center"/>
        <w:rPr>
          <w:b/>
          <w:bCs/>
          <w:sz w:val="36"/>
          <w:szCs w:val="36"/>
        </w:rPr>
      </w:pPr>
      <w:r w:rsidRPr="00806339">
        <w:rPr>
          <w:b/>
          <w:bCs/>
          <w:sz w:val="36"/>
          <w:szCs w:val="36"/>
        </w:rPr>
        <w:t>Scope of Outdoor Learning in an Enhanced Inclusion Provision (EIP)</w:t>
      </w:r>
    </w:p>
    <w:p w14:paraId="5051573C" w14:textId="77777777" w:rsidR="00806339" w:rsidRPr="00806339" w:rsidRDefault="00806339" w:rsidP="00806339">
      <w:pPr>
        <w:rPr>
          <w:sz w:val="24"/>
          <w:szCs w:val="24"/>
        </w:rPr>
      </w:pPr>
      <w:r w:rsidRPr="00806339">
        <w:rPr>
          <w:sz w:val="24"/>
          <w:szCs w:val="24"/>
        </w:rPr>
        <w:t>In the EIP, the scope of outdoor learning is shaped by the individual needs of pupils rather than the demands of the whole</w:t>
      </w:r>
      <w:r w:rsidRPr="00806339">
        <w:rPr>
          <w:sz w:val="24"/>
          <w:szCs w:val="24"/>
        </w:rPr>
        <w:noBreakHyphen/>
        <w:t>class curriculum. Outdoor spaces become extensions of our therapeutic and educational work, offering opportunities for sensory regulation, communication development, social interaction, and emotional expression.</w:t>
      </w:r>
    </w:p>
    <w:p w14:paraId="5B8C8464" w14:textId="77777777" w:rsidR="00806339" w:rsidRPr="00806339" w:rsidRDefault="00806339" w:rsidP="00806339">
      <w:pPr>
        <w:rPr>
          <w:sz w:val="24"/>
          <w:szCs w:val="24"/>
        </w:rPr>
      </w:pPr>
      <w:r w:rsidRPr="00806339">
        <w:rPr>
          <w:sz w:val="24"/>
          <w:szCs w:val="24"/>
        </w:rPr>
        <w:t>This aligns with the Additional Learning Needs and Education Tribunal (Wales) Act 2018, which emphasises person</w:t>
      </w:r>
      <w:r w:rsidRPr="00806339">
        <w:rPr>
          <w:sz w:val="24"/>
          <w:szCs w:val="24"/>
        </w:rPr>
        <w:noBreakHyphen/>
        <w:t>centred practice and the importance of adapting environments to meet individual needs. Outdoor learning within the EIP often supports IDP targets, such as communication, emotional regulation, or social skills.</w:t>
      </w:r>
    </w:p>
    <w:p w14:paraId="38BFEA3D" w14:textId="77777777" w:rsidR="00806339" w:rsidRPr="00806339" w:rsidRDefault="00806339" w:rsidP="00806339">
      <w:pPr>
        <w:rPr>
          <w:sz w:val="24"/>
          <w:szCs w:val="24"/>
        </w:rPr>
      </w:pPr>
      <w:r w:rsidRPr="00806339">
        <w:rPr>
          <w:sz w:val="24"/>
          <w:szCs w:val="24"/>
        </w:rPr>
        <w:t>The EIP environment is intentionally designed to be calming and accessible. We use visual supports, clear zoning, and predictable routines to help pupils understand expectations. Research supports the idea that structured outdoor environments can reduce anxiety and increase engagement for pupils with ALN (McArdle, 2019).</w:t>
      </w:r>
    </w:p>
    <w:p w14:paraId="3589EDF1" w14:textId="77777777" w:rsidR="00806339" w:rsidRPr="00806339" w:rsidRDefault="00806339" w:rsidP="00806339">
      <w:pPr>
        <w:rPr>
          <w:sz w:val="24"/>
          <w:szCs w:val="24"/>
        </w:rPr>
      </w:pPr>
      <w:r w:rsidRPr="00806339">
        <w:rPr>
          <w:sz w:val="24"/>
          <w:szCs w:val="24"/>
        </w:rPr>
        <w:t>Reflecting on this, I realise how much thought goes into creating an environment that truly supports inclusion. It is not just about having outdoor space; it is about shaping that space so every child can access it meaningfully.</w:t>
      </w:r>
    </w:p>
    <w:p w14:paraId="077A10D8" w14:textId="0D3907BD" w:rsidR="00806339" w:rsidRPr="00806339" w:rsidRDefault="00806339" w:rsidP="00806339">
      <w:pPr>
        <w:rPr>
          <w:sz w:val="24"/>
          <w:szCs w:val="24"/>
        </w:rPr>
      </w:pPr>
    </w:p>
    <w:p w14:paraId="30437709" w14:textId="77777777" w:rsidR="00806339" w:rsidRDefault="00806339" w:rsidP="00806339">
      <w:pPr>
        <w:jc w:val="center"/>
        <w:rPr>
          <w:b/>
          <w:bCs/>
          <w:sz w:val="36"/>
          <w:szCs w:val="36"/>
        </w:rPr>
      </w:pPr>
    </w:p>
    <w:p w14:paraId="70E4DD39" w14:textId="389B1362" w:rsidR="00806339" w:rsidRPr="00806339" w:rsidRDefault="00806339" w:rsidP="00806339">
      <w:pPr>
        <w:jc w:val="center"/>
        <w:rPr>
          <w:b/>
          <w:bCs/>
          <w:sz w:val="36"/>
          <w:szCs w:val="36"/>
        </w:rPr>
      </w:pPr>
      <w:r w:rsidRPr="00806339">
        <w:rPr>
          <w:b/>
          <w:bCs/>
          <w:sz w:val="36"/>
          <w:szCs w:val="36"/>
        </w:rPr>
        <w:t>Approach to Outdoor Learning in an EIP</w:t>
      </w:r>
    </w:p>
    <w:p w14:paraId="1707BABC" w14:textId="77777777" w:rsidR="00806339" w:rsidRPr="00806339" w:rsidRDefault="00806339" w:rsidP="00806339">
      <w:pPr>
        <w:rPr>
          <w:sz w:val="24"/>
          <w:szCs w:val="24"/>
        </w:rPr>
      </w:pPr>
      <w:r w:rsidRPr="00806339">
        <w:rPr>
          <w:sz w:val="24"/>
          <w:szCs w:val="24"/>
        </w:rPr>
        <w:lastRenderedPageBreak/>
        <w:t>The EIP approach is flexible, responsive, and deeply personalised. As a specialist TA, I adapt activities constantly based on pupils’ emotional states, sensory needs, and communication profiles. Outdoor learning is not something we “deliver”—it is something we co</w:t>
      </w:r>
      <w:r w:rsidRPr="00806339">
        <w:rPr>
          <w:sz w:val="24"/>
          <w:szCs w:val="24"/>
        </w:rPr>
        <w:noBreakHyphen/>
        <w:t>create with the pupils.</w:t>
      </w:r>
    </w:p>
    <w:p w14:paraId="1E938ED9" w14:textId="77777777" w:rsidR="00806339" w:rsidRPr="00806339" w:rsidRDefault="00806339" w:rsidP="00806339">
      <w:pPr>
        <w:rPr>
          <w:b/>
          <w:bCs/>
          <w:sz w:val="32"/>
          <w:szCs w:val="32"/>
        </w:rPr>
      </w:pPr>
      <w:r w:rsidRPr="00806339">
        <w:rPr>
          <w:b/>
          <w:bCs/>
          <w:sz w:val="32"/>
          <w:szCs w:val="32"/>
        </w:rPr>
        <w:t>a. Personalisation</w:t>
      </w:r>
    </w:p>
    <w:p w14:paraId="1DDBD86D" w14:textId="77777777" w:rsidR="00806339" w:rsidRPr="00806339" w:rsidRDefault="00806339" w:rsidP="00806339">
      <w:pPr>
        <w:rPr>
          <w:sz w:val="24"/>
          <w:szCs w:val="24"/>
        </w:rPr>
      </w:pPr>
      <w:r w:rsidRPr="00806339">
        <w:rPr>
          <w:sz w:val="24"/>
          <w:szCs w:val="24"/>
        </w:rPr>
        <w:t>Activities are tailored to each pupil’s developmental stage, interests, and targets. This reflects child</w:t>
      </w:r>
      <w:r w:rsidRPr="00806339">
        <w:rPr>
          <w:sz w:val="24"/>
          <w:szCs w:val="24"/>
        </w:rPr>
        <w:noBreakHyphen/>
        <w:t>centred pedagogies that emphasise autonomy and agency (Brooks, 2020).</w:t>
      </w:r>
    </w:p>
    <w:p w14:paraId="160A8CEA" w14:textId="77777777" w:rsidR="00806339" w:rsidRPr="00806339" w:rsidRDefault="00806339" w:rsidP="00806339">
      <w:pPr>
        <w:rPr>
          <w:b/>
          <w:bCs/>
          <w:sz w:val="32"/>
          <w:szCs w:val="32"/>
        </w:rPr>
      </w:pPr>
      <w:r w:rsidRPr="00806339">
        <w:rPr>
          <w:b/>
          <w:bCs/>
          <w:sz w:val="32"/>
          <w:szCs w:val="32"/>
        </w:rPr>
        <w:t>b. Therapeutic use of space</w:t>
      </w:r>
    </w:p>
    <w:p w14:paraId="2DCCB324" w14:textId="24C5FB8F" w:rsidR="00806339" w:rsidRPr="00806339" w:rsidRDefault="00806339" w:rsidP="00806339">
      <w:pPr>
        <w:rPr>
          <w:sz w:val="24"/>
          <w:szCs w:val="24"/>
        </w:rPr>
      </w:pPr>
      <w:r w:rsidRPr="00806339">
        <w:rPr>
          <w:sz w:val="24"/>
          <w:szCs w:val="24"/>
        </w:rPr>
        <w:t>Outdoor areas are essential for supporting emotional regulation. Nature-based environments have been shown to reduce stress and support well-being, particularly for neurodivergent pupils (Kaplan &amp; Kaplan, 1989).</w:t>
      </w:r>
    </w:p>
    <w:p w14:paraId="21014685" w14:textId="77777777" w:rsidR="00806339" w:rsidRPr="00806339" w:rsidRDefault="00806339" w:rsidP="00806339">
      <w:pPr>
        <w:rPr>
          <w:b/>
          <w:bCs/>
          <w:sz w:val="32"/>
          <w:szCs w:val="32"/>
        </w:rPr>
      </w:pPr>
      <w:r w:rsidRPr="00806339">
        <w:rPr>
          <w:b/>
          <w:bCs/>
          <w:sz w:val="32"/>
          <w:szCs w:val="32"/>
        </w:rPr>
        <w:t>c. Communication-focused practice</w:t>
      </w:r>
    </w:p>
    <w:p w14:paraId="48FB1902" w14:textId="77777777" w:rsidR="00806339" w:rsidRPr="00806339" w:rsidRDefault="00806339" w:rsidP="00806339">
      <w:pPr>
        <w:rPr>
          <w:sz w:val="24"/>
          <w:szCs w:val="24"/>
        </w:rPr>
      </w:pPr>
      <w:r w:rsidRPr="00806339">
        <w:rPr>
          <w:sz w:val="24"/>
          <w:szCs w:val="24"/>
        </w:rPr>
        <w:t>We embed communication strategies such as visual timetables, modelling language, and AAC. Outdoor contexts often reduce pressure, enabling more spontaneous communication (Norwich, 2014).</w:t>
      </w:r>
    </w:p>
    <w:p w14:paraId="63FB4082" w14:textId="77777777" w:rsidR="00806339" w:rsidRPr="00806339" w:rsidRDefault="00806339" w:rsidP="00806339">
      <w:pPr>
        <w:rPr>
          <w:b/>
          <w:bCs/>
          <w:sz w:val="32"/>
          <w:szCs w:val="32"/>
        </w:rPr>
      </w:pPr>
      <w:r w:rsidRPr="00806339">
        <w:rPr>
          <w:b/>
          <w:bCs/>
          <w:sz w:val="32"/>
          <w:szCs w:val="32"/>
        </w:rPr>
        <w:t>d. High staff-to-pupil ratio</w:t>
      </w:r>
    </w:p>
    <w:p w14:paraId="38E6B2D0" w14:textId="77777777" w:rsidR="00806339" w:rsidRPr="00806339" w:rsidRDefault="00806339" w:rsidP="00806339">
      <w:pPr>
        <w:rPr>
          <w:sz w:val="24"/>
          <w:szCs w:val="24"/>
        </w:rPr>
      </w:pPr>
      <w:r w:rsidRPr="00806339">
        <w:rPr>
          <w:sz w:val="24"/>
          <w:szCs w:val="24"/>
        </w:rPr>
        <w:t>This allows for close observation, modelling, and scaffolding. Research highlights the importance of adult mediation in supporting ALN pupils outdoors (Knight, 2013).</w:t>
      </w:r>
    </w:p>
    <w:p w14:paraId="0566AB82" w14:textId="77777777" w:rsidR="00806339" w:rsidRPr="00806339" w:rsidRDefault="00806339" w:rsidP="00806339">
      <w:pPr>
        <w:rPr>
          <w:b/>
          <w:bCs/>
          <w:sz w:val="32"/>
          <w:szCs w:val="32"/>
        </w:rPr>
      </w:pPr>
      <w:r w:rsidRPr="00806339">
        <w:rPr>
          <w:b/>
          <w:bCs/>
          <w:sz w:val="32"/>
          <w:szCs w:val="32"/>
        </w:rPr>
        <w:t>e. Flexibility and responsiveness</w:t>
      </w:r>
    </w:p>
    <w:p w14:paraId="4ECE5AD0" w14:textId="77777777" w:rsidR="00806339" w:rsidRPr="00806339" w:rsidRDefault="00806339" w:rsidP="00806339">
      <w:pPr>
        <w:rPr>
          <w:sz w:val="24"/>
          <w:szCs w:val="24"/>
        </w:rPr>
      </w:pPr>
      <w:r w:rsidRPr="00806339">
        <w:rPr>
          <w:sz w:val="24"/>
          <w:szCs w:val="24"/>
        </w:rPr>
        <w:t>If a pupil becomes overwhelmed, we change the plan. This aligns with trauma</w:t>
      </w:r>
      <w:r w:rsidRPr="00806339">
        <w:rPr>
          <w:sz w:val="24"/>
          <w:szCs w:val="24"/>
        </w:rPr>
        <w:noBreakHyphen/>
        <w:t>informed and neurodiversity</w:t>
      </w:r>
      <w:r w:rsidRPr="00806339">
        <w:rPr>
          <w:sz w:val="24"/>
          <w:szCs w:val="24"/>
        </w:rPr>
        <w:noBreakHyphen/>
        <w:t>affirming approaches that prioritise emotional safety (Porges, 2011).</w:t>
      </w:r>
    </w:p>
    <w:p w14:paraId="5D7ECD6E" w14:textId="77777777" w:rsidR="00806339" w:rsidRPr="00806339" w:rsidRDefault="00806339" w:rsidP="00806339">
      <w:pPr>
        <w:rPr>
          <w:sz w:val="24"/>
          <w:szCs w:val="24"/>
        </w:rPr>
      </w:pPr>
      <w:r w:rsidRPr="00806339">
        <w:rPr>
          <w:sz w:val="24"/>
          <w:szCs w:val="24"/>
        </w:rPr>
        <w:t>Reflecting on this, I have learned to value the process of learning as much as the outcome.</w:t>
      </w:r>
    </w:p>
    <w:p w14:paraId="649BD611" w14:textId="2E29E3F4" w:rsidR="00806339" w:rsidRPr="00806339" w:rsidRDefault="00806339" w:rsidP="00806339"/>
    <w:p w14:paraId="4970339A" w14:textId="250C26CF" w:rsidR="00806339" w:rsidRPr="00806339" w:rsidRDefault="00806339" w:rsidP="00806339">
      <w:pPr>
        <w:jc w:val="center"/>
        <w:rPr>
          <w:b/>
          <w:bCs/>
          <w:sz w:val="36"/>
          <w:szCs w:val="36"/>
        </w:rPr>
      </w:pPr>
      <w:r w:rsidRPr="00806339">
        <w:rPr>
          <w:b/>
          <w:bCs/>
          <w:sz w:val="36"/>
          <w:szCs w:val="36"/>
        </w:rPr>
        <w:lastRenderedPageBreak/>
        <w:t>Similarities Between the Two Settings</w:t>
      </w:r>
    </w:p>
    <w:p w14:paraId="70786439" w14:textId="77777777" w:rsidR="00806339" w:rsidRPr="00806339" w:rsidRDefault="00806339" w:rsidP="00806339">
      <w:pPr>
        <w:rPr>
          <w:sz w:val="24"/>
          <w:szCs w:val="24"/>
        </w:rPr>
      </w:pPr>
      <w:r w:rsidRPr="00806339">
        <w:rPr>
          <w:sz w:val="24"/>
          <w:szCs w:val="24"/>
        </w:rPr>
        <w:t>Despite the differences, both settings share important aims:</w:t>
      </w:r>
    </w:p>
    <w:p w14:paraId="55A9D145" w14:textId="77777777" w:rsidR="00806339" w:rsidRPr="00806339" w:rsidRDefault="00806339" w:rsidP="00806339">
      <w:pPr>
        <w:numPr>
          <w:ilvl w:val="0"/>
          <w:numId w:val="1"/>
        </w:numPr>
        <w:rPr>
          <w:sz w:val="24"/>
          <w:szCs w:val="24"/>
        </w:rPr>
      </w:pPr>
      <w:r w:rsidRPr="00806339">
        <w:rPr>
          <w:sz w:val="24"/>
          <w:szCs w:val="24"/>
        </w:rPr>
        <w:t>Supporting physical development</w:t>
      </w:r>
    </w:p>
    <w:p w14:paraId="6ECE39ED" w14:textId="77777777" w:rsidR="00806339" w:rsidRPr="00806339" w:rsidRDefault="00806339" w:rsidP="00806339">
      <w:pPr>
        <w:numPr>
          <w:ilvl w:val="0"/>
          <w:numId w:val="1"/>
        </w:numPr>
        <w:rPr>
          <w:sz w:val="24"/>
          <w:szCs w:val="24"/>
        </w:rPr>
      </w:pPr>
      <w:r w:rsidRPr="00806339">
        <w:rPr>
          <w:sz w:val="24"/>
          <w:szCs w:val="24"/>
        </w:rPr>
        <w:t>Encouraging exploration and curiosity</w:t>
      </w:r>
    </w:p>
    <w:p w14:paraId="78912E95" w14:textId="77777777" w:rsidR="00806339" w:rsidRPr="00806339" w:rsidRDefault="00806339" w:rsidP="00806339">
      <w:pPr>
        <w:numPr>
          <w:ilvl w:val="0"/>
          <w:numId w:val="1"/>
        </w:numPr>
        <w:rPr>
          <w:sz w:val="24"/>
          <w:szCs w:val="24"/>
        </w:rPr>
      </w:pPr>
      <w:r w:rsidRPr="00806339">
        <w:rPr>
          <w:sz w:val="24"/>
          <w:szCs w:val="24"/>
        </w:rPr>
        <w:t>Promoting social interaction</w:t>
      </w:r>
    </w:p>
    <w:p w14:paraId="74B50323" w14:textId="77777777" w:rsidR="00806339" w:rsidRPr="00806339" w:rsidRDefault="00806339" w:rsidP="00806339">
      <w:pPr>
        <w:numPr>
          <w:ilvl w:val="0"/>
          <w:numId w:val="1"/>
        </w:numPr>
        <w:rPr>
          <w:sz w:val="24"/>
          <w:szCs w:val="24"/>
        </w:rPr>
      </w:pPr>
      <w:r w:rsidRPr="00806339">
        <w:rPr>
          <w:sz w:val="24"/>
          <w:szCs w:val="24"/>
        </w:rPr>
        <w:t>Providing experiential learning opportunities</w:t>
      </w:r>
    </w:p>
    <w:p w14:paraId="5F463D0A" w14:textId="493D3240" w:rsidR="00806339" w:rsidRPr="00806339" w:rsidRDefault="00806339" w:rsidP="00806339">
      <w:pPr>
        <w:numPr>
          <w:ilvl w:val="0"/>
          <w:numId w:val="1"/>
        </w:numPr>
        <w:rPr>
          <w:sz w:val="24"/>
          <w:szCs w:val="24"/>
        </w:rPr>
      </w:pPr>
      <w:r w:rsidRPr="00806339">
        <w:rPr>
          <w:sz w:val="24"/>
          <w:szCs w:val="24"/>
        </w:rPr>
        <w:t xml:space="preserve">Recognising the </w:t>
      </w:r>
      <w:r>
        <w:rPr>
          <w:sz w:val="24"/>
          <w:szCs w:val="24"/>
        </w:rPr>
        <w:t>well-being</w:t>
      </w:r>
      <w:r w:rsidRPr="00806339">
        <w:rPr>
          <w:sz w:val="24"/>
          <w:szCs w:val="24"/>
        </w:rPr>
        <w:t xml:space="preserve"> benefits of outdoor environments</w:t>
      </w:r>
    </w:p>
    <w:p w14:paraId="24A0950E" w14:textId="77777777" w:rsidR="00806339" w:rsidRPr="00806339" w:rsidRDefault="00806339" w:rsidP="00806339">
      <w:pPr>
        <w:rPr>
          <w:sz w:val="24"/>
          <w:szCs w:val="24"/>
        </w:rPr>
      </w:pPr>
      <w:r w:rsidRPr="00806339">
        <w:rPr>
          <w:sz w:val="24"/>
          <w:szCs w:val="24"/>
        </w:rPr>
        <w:t>Both settings also require careful risk assessment and consistent supervision. Reflecting on this, I can see that the core values are similar, even if the approaches differ.</w:t>
      </w:r>
    </w:p>
    <w:p w14:paraId="3F830D8E" w14:textId="6F5848B3" w:rsidR="00806339" w:rsidRPr="00806339" w:rsidRDefault="00806339" w:rsidP="00806339"/>
    <w:p w14:paraId="21ABE7C4" w14:textId="0DF28987" w:rsidR="00806339" w:rsidRPr="00806339" w:rsidRDefault="00806339" w:rsidP="00806339">
      <w:pPr>
        <w:jc w:val="center"/>
        <w:rPr>
          <w:b/>
          <w:bCs/>
          <w:sz w:val="36"/>
          <w:szCs w:val="36"/>
        </w:rPr>
      </w:pPr>
      <w:r w:rsidRPr="00806339">
        <w:rPr>
          <w:b/>
          <w:bCs/>
          <w:sz w:val="36"/>
          <w:szCs w:val="36"/>
        </w:rPr>
        <w:t>Differences Between the Two Settings</w:t>
      </w:r>
    </w:p>
    <w:p w14:paraId="5AE70240" w14:textId="77777777" w:rsidR="00806339" w:rsidRPr="00806339" w:rsidRDefault="00806339" w:rsidP="00806339">
      <w:r w:rsidRPr="00806339">
        <w:t>The key differences lie in purpose, structure, and flexibility.</w:t>
      </w:r>
    </w:p>
    <w:p w14:paraId="6B4E25FE" w14:textId="77777777" w:rsidR="00806339" w:rsidRPr="00806339" w:rsidRDefault="00806339" w:rsidP="00806339">
      <w:pPr>
        <w:rPr>
          <w:b/>
          <w:bCs/>
          <w:sz w:val="32"/>
          <w:szCs w:val="32"/>
        </w:rPr>
      </w:pPr>
      <w:r w:rsidRPr="00806339">
        <w:rPr>
          <w:b/>
          <w:bCs/>
          <w:sz w:val="32"/>
          <w:szCs w:val="32"/>
        </w:rPr>
        <w:t>a. Purpose</w:t>
      </w:r>
    </w:p>
    <w:p w14:paraId="30146BD3" w14:textId="77777777" w:rsidR="00806339" w:rsidRPr="00806339" w:rsidRDefault="00806339" w:rsidP="00806339">
      <w:pPr>
        <w:numPr>
          <w:ilvl w:val="0"/>
          <w:numId w:val="2"/>
        </w:numPr>
        <w:rPr>
          <w:sz w:val="24"/>
          <w:szCs w:val="24"/>
        </w:rPr>
      </w:pPr>
      <w:r w:rsidRPr="00806339">
        <w:rPr>
          <w:b/>
          <w:bCs/>
          <w:sz w:val="24"/>
          <w:szCs w:val="24"/>
        </w:rPr>
        <w:t>Mainstream:</w:t>
      </w:r>
      <w:r w:rsidRPr="00806339">
        <w:rPr>
          <w:sz w:val="24"/>
          <w:szCs w:val="24"/>
        </w:rPr>
        <w:t xml:space="preserve"> Curriculum</w:t>
      </w:r>
      <w:r w:rsidRPr="00806339">
        <w:rPr>
          <w:sz w:val="24"/>
          <w:szCs w:val="24"/>
        </w:rPr>
        <w:noBreakHyphen/>
        <w:t>driven</w:t>
      </w:r>
    </w:p>
    <w:p w14:paraId="1A793C85" w14:textId="77777777" w:rsidR="00806339" w:rsidRPr="00806339" w:rsidRDefault="00806339" w:rsidP="00806339">
      <w:pPr>
        <w:numPr>
          <w:ilvl w:val="0"/>
          <w:numId w:val="2"/>
        </w:numPr>
        <w:rPr>
          <w:sz w:val="24"/>
          <w:szCs w:val="24"/>
        </w:rPr>
      </w:pPr>
      <w:r w:rsidRPr="00806339">
        <w:rPr>
          <w:b/>
          <w:bCs/>
          <w:sz w:val="24"/>
          <w:szCs w:val="24"/>
        </w:rPr>
        <w:t>EIP:</w:t>
      </w:r>
      <w:r w:rsidRPr="00806339">
        <w:rPr>
          <w:sz w:val="24"/>
          <w:szCs w:val="24"/>
        </w:rPr>
        <w:t xml:space="preserve"> Needs</w:t>
      </w:r>
      <w:r w:rsidRPr="00806339">
        <w:rPr>
          <w:sz w:val="24"/>
          <w:szCs w:val="24"/>
        </w:rPr>
        <w:noBreakHyphen/>
        <w:t>driven and therapeutic</w:t>
      </w:r>
    </w:p>
    <w:p w14:paraId="38137D01" w14:textId="77777777" w:rsidR="00806339" w:rsidRPr="00806339" w:rsidRDefault="00806339" w:rsidP="00806339">
      <w:pPr>
        <w:rPr>
          <w:b/>
          <w:bCs/>
          <w:sz w:val="32"/>
          <w:szCs w:val="32"/>
        </w:rPr>
      </w:pPr>
      <w:r w:rsidRPr="00806339">
        <w:rPr>
          <w:b/>
          <w:bCs/>
          <w:sz w:val="32"/>
          <w:szCs w:val="32"/>
        </w:rPr>
        <w:t>b. Structure</w:t>
      </w:r>
    </w:p>
    <w:p w14:paraId="5EAF5C2A" w14:textId="77777777" w:rsidR="00806339" w:rsidRPr="00806339" w:rsidRDefault="00806339" w:rsidP="00806339">
      <w:pPr>
        <w:numPr>
          <w:ilvl w:val="0"/>
          <w:numId w:val="3"/>
        </w:numPr>
        <w:rPr>
          <w:sz w:val="24"/>
          <w:szCs w:val="24"/>
        </w:rPr>
      </w:pPr>
      <w:r w:rsidRPr="00806339">
        <w:rPr>
          <w:b/>
          <w:bCs/>
          <w:sz w:val="24"/>
          <w:szCs w:val="24"/>
        </w:rPr>
        <w:t>Mainstream:</w:t>
      </w:r>
      <w:r w:rsidRPr="00806339">
        <w:rPr>
          <w:sz w:val="24"/>
          <w:szCs w:val="24"/>
        </w:rPr>
        <w:t xml:space="preserve"> Timetabled and whole</w:t>
      </w:r>
      <w:r w:rsidRPr="00806339">
        <w:rPr>
          <w:sz w:val="24"/>
          <w:szCs w:val="24"/>
        </w:rPr>
        <w:noBreakHyphen/>
        <w:t>class</w:t>
      </w:r>
    </w:p>
    <w:p w14:paraId="086F9812" w14:textId="77777777" w:rsidR="00806339" w:rsidRPr="00806339" w:rsidRDefault="00806339" w:rsidP="00806339">
      <w:pPr>
        <w:numPr>
          <w:ilvl w:val="0"/>
          <w:numId w:val="3"/>
        </w:numPr>
      </w:pPr>
      <w:r w:rsidRPr="00806339">
        <w:rPr>
          <w:b/>
          <w:bCs/>
          <w:sz w:val="24"/>
          <w:szCs w:val="24"/>
        </w:rPr>
        <w:t>EIP:</w:t>
      </w:r>
      <w:r w:rsidRPr="00806339">
        <w:rPr>
          <w:sz w:val="24"/>
          <w:szCs w:val="24"/>
        </w:rPr>
        <w:t xml:space="preserve"> Flexible and individualised</w:t>
      </w:r>
    </w:p>
    <w:p w14:paraId="3C2991BA" w14:textId="77777777" w:rsidR="00806339" w:rsidRPr="00806339" w:rsidRDefault="00806339" w:rsidP="00806339">
      <w:pPr>
        <w:rPr>
          <w:b/>
          <w:bCs/>
          <w:sz w:val="32"/>
          <w:szCs w:val="32"/>
        </w:rPr>
      </w:pPr>
      <w:r w:rsidRPr="00806339">
        <w:rPr>
          <w:b/>
          <w:bCs/>
          <w:sz w:val="32"/>
          <w:szCs w:val="32"/>
        </w:rPr>
        <w:lastRenderedPageBreak/>
        <w:t>c. Environment</w:t>
      </w:r>
    </w:p>
    <w:p w14:paraId="21C86656" w14:textId="77777777" w:rsidR="00806339" w:rsidRPr="00806339" w:rsidRDefault="00806339" w:rsidP="00806339">
      <w:pPr>
        <w:numPr>
          <w:ilvl w:val="0"/>
          <w:numId w:val="4"/>
        </w:numPr>
        <w:rPr>
          <w:sz w:val="24"/>
          <w:szCs w:val="24"/>
        </w:rPr>
      </w:pPr>
      <w:r w:rsidRPr="00806339">
        <w:rPr>
          <w:b/>
          <w:bCs/>
          <w:sz w:val="24"/>
          <w:szCs w:val="24"/>
        </w:rPr>
        <w:t>Mainstream:</w:t>
      </w:r>
      <w:r w:rsidRPr="00806339">
        <w:rPr>
          <w:sz w:val="24"/>
          <w:szCs w:val="24"/>
        </w:rPr>
        <w:t xml:space="preserve"> Designed for large groups</w:t>
      </w:r>
    </w:p>
    <w:p w14:paraId="200ABBF3" w14:textId="77777777" w:rsidR="00806339" w:rsidRPr="00806339" w:rsidRDefault="00806339" w:rsidP="00806339">
      <w:pPr>
        <w:numPr>
          <w:ilvl w:val="0"/>
          <w:numId w:val="4"/>
        </w:numPr>
        <w:rPr>
          <w:sz w:val="24"/>
          <w:szCs w:val="24"/>
        </w:rPr>
      </w:pPr>
      <w:r w:rsidRPr="00806339">
        <w:rPr>
          <w:b/>
          <w:bCs/>
          <w:sz w:val="24"/>
          <w:szCs w:val="24"/>
        </w:rPr>
        <w:t>EIP:</w:t>
      </w:r>
      <w:r w:rsidRPr="00806339">
        <w:rPr>
          <w:sz w:val="24"/>
          <w:szCs w:val="24"/>
        </w:rPr>
        <w:t xml:space="preserve"> Adapted for sensory and communication needs</w:t>
      </w:r>
    </w:p>
    <w:p w14:paraId="56D9106C" w14:textId="77777777" w:rsidR="00806339" w:rsidRPr="00806339" w:rsidRDefault="00806339" w:rsidP="00806339">
      <w:pPr>
        <w:rPr>
          <w:b/>
          <w:bCs/>
          <w:sz w:val="32"/>
          <w:szCs w:val="32"/>
        </w:rPr>
      </w:pPr>
      <w:r w:rsidRPr="00806339">
        <w:rPr>
          <w:b/>
          <w:bCs/>
          <w:sz w:val="32"/>
          <w:szCs w:val="32"/>
        </w:rPr>
        <w:t>d. Staffing</w:t>
      </w:r>
    </w:p>
    <w:p w14:paraId="6057F372" w14:textId="77777777" w:rsidR="00806339" w:rsidRPr="00806339" w:rsidRDefault="00806339" w:rsidP="00806339">
      <w:pPr>
        <w:numPr>
          <w:ilvl w:val="0"/>
          <w:numId w:val="5"/>
        </w:numPr>
        <w:rPr>
          <w:sz w:val="24"/>
          <w:szCs w:val="24"/>
        </w:rPr>
      </w:pPr>
      <w:r w:rsidRPr="00806339">
        <w:rPr>
          <w:b/>
          <w:bCs/>
          <w:sz w:val="24"/>
          <w:szCs w:val="24"/>
        </w:rPr>
        <w:t>Mainstream:</w:t>
      </w:r>
      <w:r w:rsidRPr="00806339">
        <w:rPr>
          <w:sz w:val="24"/>
          <w:szCs w:val="24"/>
        </w:rPr>
        <w:t xml:space="preserve"> One teacher + limited TA support</w:t>
      </w:r>
    </w:p>
    <w:p w14:paraId="2923520E" w14:textId="77777777" w:rsidR="00806339" w:rsidRPr="00806339" w:rsidRDefault="00806339" w:rsidP="00806339">
      <w:pPr>
        <w:numPr>
          <w:ilvl w:val="0"/>
          <w:numId w:val="5"/>
        </w:numPr>
        <w:rPr>
          <w:sz w:val="24"/>
          <w:szCs w:val="24"/>
        </w:rPr>
      </w:pPr>
      <w:r w:rsidRPr="00806339">
        <w:rPr>
          <w:b/>
          <w:bCs/>
          <w:sz w:val="24"/>
          <w:szCs w:val="24"/>
        </w:rPr>
        <w:t>EIP:</w:t>
      </w:r>
      <w:r w:rsidRPr="00806339">
        <w:rPr>
          <w:sz w:val="24"/>
          <w:szCs w:val="24"/>
        </w:rPr>
        <w:t xml:space="preserve"> Higher staffing ratios with specialist training</w:t>
      </w:r>
    </w:p>
    <w:p w14:paraId="4B0F9D4E" w14:textId="77777777" w:rsidR="00806339" w:rsidRPr="00806339" w:rsidRDefault="00806339" w:rsidP="00806339">
      <w:pPr>
        <w:rPr>
          <w:b/>
          <w:bCs/>
          <w:sz w:val="32"/>
          <w:szCs w:val="32"/>
        </w:rPr>
      </w:pPr>
      <w:r w:rsidRPr="00806339">
        <w:rPr>
          <w:b/>
          <w:bCs/>
          <w:sz w:val="32"/>
          <w:szCs w:val="32"/>
        </w:rPr>
        <w:t>e. Pupil experience</w:t>
      </w:r>
    </w:p>
    <w:p w14:paraId="31129859" w14:textId="77777777" w:rsidR="00806339" w:rsidRPr="00806339" w:rsidRDefault="00806339" w:rsidP="00806339">
      <w:pPr>
        <w:numPr>
          <w:ilvl w:val="0"/>
          <w:numId w:val="6"/>
        </w:numPr>
        <w:rPr>
          <w:sz w:val="24"/>
          <w:szCs w:val="24"/>
        </w:rPr>
      </w:pPr>
      <w:r w:rsidRPr="00806339">
        <w:rPr>
          <w:b/>
          <w:bCs/>
          <w:sz w:val="24"/>
          <w:szCs w:val="24"/>
        </w:rPr>
        <w:t>Mainstream:</w:t>
      </w:r>
      <w:r w:rsidRPr="00806339">
        <w:rPr>
          <w:sz w:val="24"/>
          <w:szCs w:val="24"/>
        </w:rPr>
        <w:t xml:space="preserve"> Can be overwhelming for pupils with ALN</w:t>
      </w:r>
    </w:p>
    <w:p w14:paraId="316B4E19" w14:textId="77777777" w:rsidR="00806339" w:rsidRPr="00806339" w:rsidRDefault="00806339" w:rsidP="00806339">
      <w:pPr>
        <w:numPr>
          <w:ilvl w:val="0"/>
          <w:numId w:val="6"/>
        </w:numPr>
        <w:rPr>
          <w:sz w:val="24"/>
          <w:szCs w:val="24"/>
        </w:rPr>
      </w:pPr>
      <w:r w:rsidRPr="00806339">
        <w:rPr>
          <w:b/>
          <w:bCs/>
          <w:sz w:val="24"/>
          <w:szCs w:val="24"/>
        </w:rPr>
        <w:t>EIP:</w:t>
      </w:r>
      <w:r w:rsidRPr="00806339">
        <w:rPr>
          <w:sz w:val="24"/>
          <w:szCs w:val="24"/>
        </w:rPr>
        <w:t xml:space="preserve"> Designed to reduce anxiety and support regulation</w:t>
      </w:r>
    </w:p>
    <w:p w14:paraId="7C9FDEA9" w14:textId="4E601963" w:rsidR="00806339" w:rsidRPr="00806339" w:rsidRDefault="00806339" w:rsidP="00806339">
      <w:pPr>
        <w:rPr>
          <w:sz w:val="24"/>
          <w:szCs w:val="24"/>
        </w:rPr>
      </w:pPr>
      <w:r w:rsidRPr="00806339">
        <w:rPr>
          <w:sz w:val="24"/>
          <w:szCs w:val="24"/>
        </w:rPr>
        <w:t xml:space="preserve">Reflecting on these differences has helped me understand why some pupils struggle in mainstream outdoor environments and why the EIP approach is so essential for their </w:t>
      </w:r>
      <w:r w:rsidR="00250D15">
        <w:rPr>
          <w:sz w:val="24"/>
          <w:szCs w:val="24"/>
        </w:rPr>
        <w:t>well-being</w:t>
      </w:r>
      <w:r w:rsidRPr="00806339">
        <w:rPr>
          <w:sz w:val="24"/>
          <w:szCs w:val="24"/>
        </w:rPr>
        <w:t>.</w:t>
      </w:r>
    </w:p>
    <w:p w14:paraId="1C2DE179" w14:textId="297FCFC2" w:rsidR="00806339" w:rsidRPr="00806339" w:rsidRDefault="00806339" w:rsidP="00806339"/>
    <w:p w14:paraId="4928B2A1" w14:textId="77777777" w:rsidR="00F37BC7" w:rsidRDefault="00F37BC7" w:rsidP="00806339">
      <w:pPr>
        <w:jc w:val="center"/>
        <w:rPr>
          <w:b/>
          <w:bCs/>
          <w:sz w:val="36"/>
          <w:szCs w:val="36"/>
        </w:rPr>
      </w:pPr>
    </w:p>
    <w:p w14:paraId="4212B8E2" w14:textId="77777777" w:rsidR="00F37BC7" w:rsidRDefault="00F37BC7" w:rsidP="00806339">
      <w:pPr>
        <w:jc w:val="center"/>
        <w:rPr>
          <w:b/>
          <w:bCs/>
          <w:sz w:val="36"/>
          <w:szCs w:val="36"/>
        </w:rPr>
      </w:pPr>
    </w:p>
    <w:p w14:paraId="62EC9898" w14:textId="77777777" w:rsidR="00F37BC7" w:rsidRDefault="00F37BC7" w:rsidP="00806339">
      <w:pPr>
        <w:jc w:val="center"/>
        <w:rPr>
          <w:b/>
          <w:bCs/>
          <w:sz w:val="36"/>
          <w:szCs w:val="36"/>
        </w:rPr>
      </w:pPr>
    </w:p>
    <w:p w14:paraId="042C203C" w14:textId="77777777" w:rsidR="00F37BC7" w:rsidRDefault="00F37BC7" w:rsidP="00806339">
      <w:pPr>
        <w:jc w:val="center"/>
        <w:rPr>
          <w:b/>
          <w:bCs/>
          <w:sz w:val="36"/>
          <w:szCs w:val="36"/>
        </w:rPr>
      </w:pPr>
    </w:p>
    <w:p w14:paraId="61B7FC4D" w14:textId="77777777" w:rsidR="00F37BC7" w:rsidRDefault="00F37BC7" w:rsidP="00806339">
      <w:pPr>
        <w:jc w:val="center"/>
        <w:rPr>
          <w:b/>
          <w:bCs/>
          <w:sz w:val="36"/>
          <w:szCs w:val="36"/>
        </w:rPr>
      </w:pPr>
    </w:p>
    <w:p w14:paraId="28767F7B" w14:textId="77777777" w:rsidR="00F37BC7" w:rsidRDefault="00F37BC7" w:rsidP="00806339">
      <w:pPr>
        <w:jc w:val="center"/>
        <w:rPr>
          <w:b/>
          <w:bCs/>
          <w:sz w:val="36"/>
          <w:szCs w:val="36"/>
        </w:rPr>
      </w:pPr>
    </w:p>
    <w:p w14:paraId="190C871C" w14:textId="77777777" w:rsidR="00F37BC7" w:rsidRDefault="00F37BC7" w:rsidP="00806339">
      <w:pPr>
        <w:jc w:val="center"/>
        <w:rPr>
          <w:b/>
          <w:bCs/>
          <w:sz w:val="36"/>
          <w:szCs w:val="36"/>
        </w:rPr>
      </w:pPr>
    </w:p>
    <w:p w14:paraId="15ED404C" w14:textId="77777777" w:rsidR="00F37BC7" w:rsidRDefault="00F37BC7" w:rsidP="00806339">
      <w:pPr>
        <w:jc w:val="center"/>
        <w:rPr>
          <w:b/>
          <w:bCs/>
          <w:sz w:val="36"/>
          <w:szCs w:val="36"/>
        </w:rPr>
      </w:pPr>
    </w:p>
    <w:p w14:paraId="2928B17B" w14:textId="77777777" w:rsidR="00F37BC7" w:rsidRDefault="00F37BC7" w:rsidP="00806339">
      <w:pPr>
        <w:jc w:val="center"/>
        <w:rPr>
          <w:b/>
          <w:bCs/>
          <w:sz w:val="36"/>
          <w:szCs w:val="36"/>
        </w:rPr>
      </w:pPr>
    </w:p>
    <w:p w14:paraId="01950C79" w14:textId="77777777" w:rsidR="00F37BC7" w:rsidRDefault="00F37BC7" w:rsidP="00806339">
      <w:pPr>
        <w:jc w:val="center"/>
        <w:rPr>
          <w:b/>
          <w:bCs/>
          <w:sz w:val="36"/>
          <w:szCs w:val="36"/>
        </w:rPr>
      </w:pPr>
    </w:p>
    <w:p w14:paraId="272F9DF9" w14:textId="192D8005" w:rsidR="00806339" w:rsidRPr="00806339" w:rsidRDefault="00806339" w:rsidP="00806339">
      <w:pPr>
        <w:jc w:val="center"/>
        <w:rPr>
          <w:b/>
          <w:bCs/>
          <w:sz w:val="36"/>
          <w:szCs w:val="36"/>
        </w:rPr>
      </w:pPr>
      <w:r w:rsidRPr="00806339">
        <w:rPr>
          <w:b/>
          <w:bCs/>
          <w:sz w:val="36"/>
          <w:szCs w:val="36"/>
        </w:rPr>
        <w:t>Conclusion</w:t>
      </w:r>
    </w:p>
    <w:p w14:paraId="68CC2A14" w14:textId="77777777" w:rsidR="00806339" w:rsidRPr="00806339" w:rsidRDefault="00806339" w:rsidP="00806339">
      <w:pPr>
        <w:rPr>
          <w:sz w:val="24"/>
          <w:szCs w:val="24"/>
        </w:rPr>
      </w:pPr>
      <w:r w:rsidRPr="00806339">
        <w:rPr>
          <w:sz w:val="24"/>
          <w:szCs w:val="24"/>
        </w:rPr>
        <w:t>Outdoor learning plays a valuable role in both mainstream primary settings and Enhanced Inclusion Provisions, but the way it is delivered differs significantly. Working within the EIP has made me more reflective about the purpose of outdoor learning. I have learned to see the outdoors not just as a place for physical activity or curriculum tasks, but as a space where pupils can regulate, communicate, and build confidence.</w:t>
      </w:r>
    </w:p>
    <w:p w14:paraId="7B772C2F" w14:textId="28FE135F" w:rsidR="00806339" w:rsidRPr="00806339" w:rsidRDefault="00806339" w:rsidP="00806339">
      <w:pPr>
        <w:rPr>
          <w:sz w:val="24"/>
          <w:szCs w:val="24"/>
        </w:rPr>
      </w:pPr>
      <w:r w:rsidRPr="00806339">
        <w:rPr>
          <w:sz w:val="24"/>
          <w:szCs w:val="24"/>
        </w:rPr>
        <w:t xml:space="preserve">This experience has shaped my practice and deepened my understanding of inclusion. Outdoor learning, when thoughtfully adapted, has the power to transform pupils’ experiences and </w:t>
      </w:r>
      <w:r w:rsidRPr="008A4610">
        <w:rPr>
          <w:sz w:val="24"/>
          <w:szCs w:val="24"/>
        </w:rPr>
        <w:t>open</w:t>
      </w:r>
      <w:r w:rsidRPr="00806339">
        <w:rPr>
          <w:sz w:val="24"/>
          <w:szCs w:val="24"/>
        </w:rPr>
        <w:t xml:space="preserve"> opportunities that may not be possible indoors. For many of our pupils, the outdoors is not an “extra</w:t>
      </w:r>
      <w:r w:rsidR="00B36E66">
        <w:rPr>
          <w:sz w:val="24"/>
          <w:szCs w:val="24"/>
        </w:rPr>
        <w:t xml:space="preserve">”, </w:t>
      </w:r>
      <w:r w:rsidRPr="00806339">
        <w:rPr>
          <w:sz w:val="24"/>
          <w:szCs w:val="24"/>
        </w:rPr>
        <w:t>it is essential.</w:t>
      </w:r>
    </w:p>
    <w:p w14:paraId="25E70EFF" w14:textId="0475080D" w:rsidR="00806339" w:rsidRPr="00806339" w:rsidRDefault="00806339" w:rsidP="00806339"/>
    <w:p w14:paraId="69C796B8" w14:textId="77777777" w:rsidR="00B36E66" w:rsidRDefault="00B36E66" w:rsidP="00806339">
      <w:pPr>
        <w:jc w:val="center"/>
        <w:rPr>
          <w:b/>
          <w:bCs/>
          <w:sz w:val="24"/>
          <w:szCs w:val="24"/>
        </w:rPr>
      </w:pPr>
    </w:p>
    <w:p w14:paraId="4CE90F5F" w14:textId="77777777" w:rsidR="00B36E66" w:rsidRDefault="00B36E66" w:rsidP="00806339">
      <w:pPr>
        <w:jc w:val="center"/>
        <w:rPr>
          <w:b/>
          <w:bCs/>
          <w:sz w:val="24"/>
          <w:szCs w:val="24"/>
        </w:rPr>
      </w:pPr>
    </w:p>
    <w:p w14:paraId="1E44E7DC" w14:textId="77777777" w:rsidR="00B36E66" w:rsidRDefault="00B36E66" w:rsidP="00806339">
      <w:pPr>
        <w:jc w:val="center"/>
        <w:rPr>
          <w:b/>
          <w:bCs/>
          <w:sz w:val="24"/>
          <w:szCs w:val="24"/>
        </w:rPr>
      </w:pPr>
    </w:p>
    <w:p w14:paraId="402F1C68" w14:textId="77777777" w:rsidR="00B36E66" w:rsidRDefault="00B36E66" w:rsidP="00806339">
      <w:pPr>
        <w:jc w:val="center"/>
        <w:rPr>
          <w:b/>
          <w:bCs/>
          <w:sz w:val="24"/>
          <w:szCs w:val="24"/>
        </w:rPr>
      </w:pPr>
    </w:p>
    <w:p w14:paraId="2C37134C" w14:textId="4A1134A4" w:rsidR="00806339" w:rsidRPr="00B36E66" w:rsidRDefault="00806339" w:rsidP="004422CE">
      <w:pPr>
        <w:jc w:val="center"/>
        <w:rPr>
          <w:b/>
          <w:bCs/>
          <w:sz w:val="28"/>
          <w:szCs w:val="28"/>
        </w:rPr>
      </w:pPr>
      <w:r w:rsidRPr="00B36E66">
        <w:rPr>
          <w:b/>
          <w:bCs/>
          <w:sz w:val="28"/>
          <w:szCs w:val="28"/>
        </w:rPr>
        <w:lastRenderedPageBreak/>
        <w:t>Harvard Reference List</w:t>
      </w:r>
    </w:p>
    <w:p w14:paraId="57EC0919" w14:textId="61FEE4BD" w:rsidR="00806339" w:rsidRPr="00F37BC7" w:rsidRDefault="00806339" w:rsidP="00806339">
      <w:pPr>
        <w:rPr>
          <w:sz w:val="28"/>
          <w:szCs w:val="28"/>
        </w:rPr>
      </w:pPr>
      <w:r w:rsidRPr="00F37BC7">
        <w:rPr>
          <w:sz w:val="28"/>
          <w:szCs w:val="28"/>
        </w:rPr>
        <w:t>Ashburner, J., Ziviani, J. &amp; Rodger, S. (2014)</w:t>
      </w:r>
      <w:r w:rsidR="00F37BC7">
        <w:rPr>
          <w:sz w:val="28"/>
          <w:szCs w:val="28"/>
        </w:rPr>
        <w:t>.</w:t>
      </w:r>
      <w:r w:rsidRPr="00F37BC7">
        <w:rPr>
          <w:sz w:val="28"/>
          <w:szCs w:val="28"/>
        </w:rPr>
        <w:t xml:space="preserve"> ‘Sensory processing and classroom emotional, behavioural, and educational outcomes in children with autism spectrum disorder’, </w:t>
      </w:r>
      <w:r w:rsidRPr="00F37BC7">
        <w:rPr>
          <w:i/>
          <w:iCs/>
          <w:sz w:val="28"/>
          <w:szCs w:val="28"/>
        </w:rPr>
        <w:t>American Journal of Occupational Therapy</w:t>
      </w:r>
      <w:r w:rsidRPr="00F37BC7">
        <w:rPr>
          <w:sz w:val="28"/>
          <w:szCs w:val="28"/>
        </w:rPr>
        <w:t>, 68(5), pp. 562–571.</w:t>
      </w:r>
    </w:p>
    <w:p w14:paraId="1525F0A8" w14:textId="3044C97E" w:rsidR="00806339" w:rsidRPr="00F37BC7" w:rsidRDefault="00806339" w:rsidP="00806339">
      <w:pPr>
        <w:rPr>
          <w:sz w:val="28"/>
          <w:szCs w:val="28"/>
        </w:rPr>
      </w:pPr>
      <w:r w:rsidRPr="00F37BC7">
        <w:rPr>
          <w:sz w:val="28"/>
          <w:szCs w:val="28"/>
        </w:rPr>
        <w:t>Beames, S., Higgins, P. &amp; Nicol, R. (2012)</w:t>
      </w:r>
      <w:r w:rsidR="00F37BC7">
        <w:rPr>
          <w:sz w:val="28"/>
          <w:szCs w:val="28"/>
        </w:rPr>
        <w:t>.</w:t>
      </w:r>
      <w:r w:rsidRPr="00F37BC7">
        <w:rPr>
          <w:sz w:val="28"/>
          <w:szCs w:val="28"/>
        </w:rPr>
        <w:t xml:space="preserve"> </w:t>
      </w:r>
      <w:r w:rsidRPr="00F37BC7">
        <w:rPr>
          <w:i/>
          <w:iCs/>
          <w:sz w:val="28"/>
          <w:szCs w:val="28"/>
        </w:rPr>
        <w:t>Learning Outside the Classroom: Theory and Guidelines for Practice</w:t>
      </w:r>
      <w:r w:rsidRPr="00F37BC7">
        <w:rPr>
          <w:sz w:val="28"/>
          <w:szCs w:val="28"/>
        </w:rPr>
        <w:t>. London: Routledge.</w:t>
      </w:r>
    </w:p>
    <w:p w14:paraId="6B8E1813" w14:textId="006C0073" w:rsidR="00806339" w:rsidRPr="00F37BC7" w:rsidRDefault="00806339" w:rsidP="00806339">
      <w:pPr>
        <w:rPr>
          <w:sz w:val="28"/>
          <w:szCs w:val="28"/>
        </w:rPr>
      </w:pPr>
      <w:r w:rsidRPr="00F37BC7">
        <w:rPr>
          <w:sz w:val="28"/>
          <w:szCs w:val="28"/>
        </w:rPr>
        <w:t>Brooks, R. (2020)</w:t>
      </w:r>
      <w:r w:rsidR="00F37BC7">
        <w:rPr>
          <w:sz w:val="28"/>
          <w:szCs w:val="28"/>
        </w:rPr>
        <w:t>.</w:t>
      </w:r>
      <w:r w:rsidRPr="00F37BC7">
        <w:rPr>
          <w:sz w:val="28"/>
          <w:szCs w:val="28"/>
        </w:rPr>
        <w:t xml:space="preserve"> ‘Child</w:t>
      </w:r>
      <w:r w:rsidRPr="00F37BC7">
        <w:rPr>
          <w:sz w:val="28"/>
          <w:szCs w:val="28"/>
        </w:rPr>
        <w:noBreakHyphen/>
        <w:t xml:space="preserve">centred learning and inclusive practice’, </w:t>
      </w:r>
      <w:r w:rsidRPr="00F37BC7">
        <w:rPr>
          <w:i/>
          <w:iCs/>
          <w:sz w:val="28"/>
          <w:szCs w:val="28"/>
        </w:rPr>
        <w:t>British Journal of Special Education</w:t>
      </w:r>
      <w:r w:rsidRPr="00F37BC7">
        <w:rPr>
          <w:sz w:val="28"/>
          <w:szCs w:val="28"/>
        </w:rPr>
        <w:t>, 47(3), pp. 289–304.</w:t>
      </w:r>
    </w:p>
    <w:p w14:paraId="453E6FD6" w14:textId="7E98B5E4" w:rsidR="00806339" w:rsidRPr="00F37BC7" w:rsidRDefault="00806339" w:rsidP="00806339">
      <w:pPr>
        <w:rPr>
          <w:sz w:val="28"/>
          <w:szCs w:val="28"/>
        </w:rPr>
      </w:pPr>
      <w:r w:rsidRPr="00F37BC7">
        <w:rPr>
          <w:sz w:val="28"/>
          <w:szCs w:val="28"/>
        </w:rPr>
        <w:t>Conn, C. (2018)</w:t>
      </w:r>
      <w:r w:rsidR="00F37BC7">
        <w:rPr>
          <w:sz w:val="28"/>
          <w:szCs w:val="28"/>
        </w:rPr>
        <w:t>.</w:t>
      </w:r>
      <w:r w:rsidRPr="00F37BC7">
        <w:rPr>
          <w:sz w:val="28"/>
          <w:szCs w:val="28"/>
        </w:rPr>
        <w:t xml:space="preserve"> </w:t>
      </w:r>
      <w:r w:rsidRPr="00F37BC7">
        <w:rPr>
          <w:i/>
          <w:iCs/>
          <w:sz w:val="28"/>
          <w:szCs w:val="28"/>
        </w:rPr>
        <w:t>Sensory Play for Children with Autism</w:t>
      </w:r>
      <w:r w:rsidRPr="00F37BC7">
        <w:rPr>
          <w:sz w:val="28"/>
          <w:szCs w:val="28"/>
        </w:rPr>
        <w:t>. London: Jessica Kingsley Publishers.</w:t>
      </w:r>
    </w:p>
    <w:p w14:paraId="075543FB" w14:textId="0CAF671B" w:rsidR="00806339" w:rsidRPr="00F37BC7" w:rsidRDefault="00806339" w:rsidP="00806339">
      <w:pPr>
        <w:rPr>
          <w:sz w:val="28"/>
          <w:szCs w:val="28"/>
        </w:rPr>
      </w:pPr>
      <w:r w:rsidRPr="00F37BC7">
        <w:rPr>
          <w:sz w:val="28"/>
          <w:szCs w:val="28"/>
        </w:rPr>
        <w:t>Kaplan, R. &amp; Kaplan, S. (1989)</w:t>
      </w:r>
      <w:r w:rsidR="00F37BC7">
        <w:rPr>
          <w:sz w:val="28"/>
          <w:szCs w:val="28"/>
        </w:rPr>
        <w:t>.</w:t>
      </w:r>
      <w:r w:rsidRPr="00F37BC7">
        <w:rPr>
          <w:sz w:val="28"/>
          <w:szCs w:val="28"/>
        </w:rPr>
        <w:t xml:space="preserve"> </w:t>
      </w:r>
      <w:r w:rsidRPr="00F37BC7">
        <w:rPr>
          <w:i/>
          <w:iCs/>
          <w:sz w:val="28"/>
          <w:szCs w:val="28"/>
        </w:rPr>
        <w:t>The Experience of Nature: A Psychological Perspective</w:t>
      </w:r>
      <w:r w:rsidRPr="00F37BC7">
        <w:rPr>
          <w:sz w:val="28"/>
          <w:szCs w:val="28"/>
        </w:rPr>
        <w:t>. Cambridge: Cambridge University Press.</w:t>
      </w:r>
    </w:p>
    <w:p w14:paraId="6D1DA27D" w14:textId="2E697BB2" w:rsidR="00806339" w:rsidRPr="00F37BC7" w:rsidRDefault="00806339" w:rsidP="00806339">
      <w:pPr>
        <w:rPr>
          <w:sz w:val="28"/>
          <w:szCs w:val="28"/>
        </w:rPr>
      </w:pPr>
      <w:r w:rsidRPr="00F37BC7">
        <w:rPr>
          <w:sz w:val="28"/>
          <w:szCs w:val="28"/>
        </w:rPr>
        <w:t>Knight, S. (2013)</w:t>
      </w:r>
      <w:r w:rsidR="00F37BC7">
        <w:rPr>
          <w:sz w:val="28"/>
          <w:szCs w:val="28"/>
        </w:rPr>
        <w:t>.</w:t>
      </w:r>
      <w:r w:rsidRPr="00F37BC7">
        <w:rPr>
          <w:sz w:val="28"/>
          <w:szCs w:val="28"/>
        </w:rPr>
        <w:t xml:space="preserve"> </w:t>
      </w:r>
      <w:r w:rsidRPr="00F37BC7">
        <w:rPr>
          <w:i/>
          <w:iCs/>
          <w:sz w:val="28"/>
          <w:szCs w:val="28"/>
        </w:rPr>
        <w:t>Forest School and Outdoor Learning in the Early Years</w:t>
      </w:r>
      <w:r w:rsidRPr="00F37BC7">
        <w:rPr>
          <w:sz w:val="28"/>
          <w:szCs w:val="28"/>
        </w:rPr>
        <w:t xml:space="preserve">. 2nd </w:t>
      </w:r>
      <w:proofErr w:type="spellStart"/>
      <w:r w:rsidRPr="00F37BC7">
        <w:rPr>
          <w:sz w:val="28"/>
          <w:szCs w:val="28"/>
        </w:rPr>
        <w:t>edn</w:t>
      </w:r>
      <w:proofErr w:type="spellEnd"/>
      <w:r w:rsidRPr="00F37BC7">
        <w:rPr>
          <w:sz w:val="28"/>
          <w:szCs w:val="28"/>
        </w:rPr>
        <w:t>. London: Sage.</w:t>
      </w:r>
    </w:p>
    <w:p w14:paraId="24EF78FE" w14:textId="52D21FAB" w:rsidR="00806339" w:rsidRPr="00F37BC7" w:rsidRDefault="00806339" w:rsidP="00806339">
      <w:pPr>
        <w:rPr>
          <w:sz w:val="28"/>
          <w:szCs w:val="28"/>
        </w:rPr>
      </w:pPr>
      <w:r w:rsidRPr="00F37BC7">
        <w:rPr>
          <w:sz w:val="28"/>
          <w:szCs w:val="28"/>
        </w:rPr>
        <w:t>McArdle, K. (2019)</w:t>
      </w:r>
      <w:r w:rsidR="00F37BC7">
        <w:rPr>
          <w:sz w:val="28"/>
          <w:szCs w:val="28"/>
        </w:rPr>
        <w:t>.</w:t>
      </w:r>
      <w:r w:rsidRPr="00F37BC7">
        <w:rPr>
          <w:sz w:val="28"/>
          <w:szCs w:val="28"/>
        </w:rPr>
        <w:t xml:space="preserve"> ‘Outdoor learning and children with additional needs’, </w:t>
      </w:r>
      <w:r w:rsidRPr="00F37BC7">
        <w:rPr>
          <w:i/>
          <w:iCs/>
          <w:sz w:val="28"/>
          <w:szCs w:val="28"/>
        </w:rPr>
        <w:t>Support for Learning</w:t>
      </w:r>
      <w:r w:rsidRPr="00F37BC7">
        <w:rPr>
          <w:sz w:val="28"/>
          <w:szCs w:val="28"/>
        </w:rPr>
        <w:t>, 34(2), pp. 123–140.</w:t>
      </w:r>
    </w:p>
    <w:p w14:paraId="12016B30" w14:textId="50289EAA" w:rsidR="00806339" w:rsidRPr="00F37BC7" w:rsidRDefault="00806339" w:rsidP="00806339">
      <w:pPr>
        <w:rPr>
          <w:sz w:val="28"/>
          <w:szCs w:val="28"/>
        </w:rPr>
      </w:pPr>
      <w:r w:rsidRPr="00F37BC7">
        <w:rPr>
          <w:sz w:val="28"/>
          <w:szCs w:val="28"/>
        </w:rPr>
        <w:t>Norwich, B. (2014)</w:t>
      </w:r>
      <w:r w:rsidR="00F37BC7">
        <w:rPr>
          <w:sz w:val="28"/>
          <w:szCs w:val="28"/>
        </w:rPr>
        <w:t>.</w:t>
      </w:r>
      <w:r w:rsidRPr="00F37BC7">
        <w:rPr>
          <w:sz w:val="28"/>
          <w:szCs w:val="28"/>
        </w:rPr>
        <w:t xml:space="preserve"> </w:t>
      </w:r>
      <w:r w:rsidRPr="00F37BC7">
        <w:rPr>
          <w:i/>
          <w:iCs/>
          <w:sz w:val="28"/>
          <w:szCs w:val="28"/>
        </w:rPr>
        <w:t>Addressing Tensions and Dilemmas in Inclusive Education</w:t>
      </w:r>
      <w:r w:rsidRPr="00F37BC7">
        <w:rPr>
          <w:sz w:val="28"/>
          <w:szCs w:val="28"/>
        </w:rPr>
        <w:t>. London: Routledge.</w:t>
      </w:r>
    </w:p>
    <w:p w14:paraId="5B79CBC8" w14:textId="1A4E919C" w:rsidR="00806339" w:rsidRPr="00F37BC7" w:rsidRDefault="00806339" w:rsidP="00806339">
      <w:pPr>
        <w:rPr>
          <w:sz w:val="28"/>
          <w:szCs w:val="28"/>
        </w:rPr>
      </w:pPr>
      <w:r w:rsidRPr="00F37BC7">
        <w:rPr>
          <w:sz w:val="28"/>
          <w:szCs w:val="28"/>
        </w:rPr>
        <w:t>Porges, S. (2011)</w:t>
      </w:r>
      <w:r w:rsidR="00F37BC7">
        <w:rPr>
          <w:sz w:val="28"/>
          <w:szCs w:val="28"/>
        </w:rPr>
        <w:t>.</w:t>
      </w:r>
      <w:r w:rsidRPr="00F37BC7">
        <w:rPr>
          <w:sz w:val="28"/>
          <w:szCs w:val="28"/>
        </w:rPr>
        <w:t xml:space="preserve"> </w:t>
      </w:r>
      <w:r w:rsidRPr="00F37BC7">
        <w:rPr>
          <w:i/>
          <w:iCs/>
          <w:sz w:val="28"/>
          <w:szCs w:val="28"/>
        </w:rPr>
        <w:t>The Polyvagal Theory: Neurophysiological Foundations of Emotions, Attachment, Communication, and Self</w:t>
      </w:r>
      <w:r w:rsidRPr="00F37BC7">
        <w:rPr>
          <w:i/>
          <w:iCs/>
          <w:sz w:val="28"/>
          <w:szCs w:val="28"/>
        </w:rPr>
        <w:noBreakHyphen/>
        <w:t>Regulation</w:t>
      </w:r>
      <w:r w:rsidRPr="00F37BC7">
        <w:rPr>
          <w:sz w:val="28"/>
          <w:szCs w:val="28"/>
        </w:rPr>
        <w:t>. New York: Norton.</w:t>
      </w:r>
    </w:p>
    <w:p w14:paraId="6A8B8C19" w14:textId="6A619ED6" w:rsidR="00806339" w:rsidRPr="00F37BC7" w:rsidRDefault="00806339" w:rsidP="00806339">
      <w:pPr>
        <w:rPr>
          <w:sz w:val="28"/>
          <w:szCs w:val="28"/>
        </w:rPr>
      </w:pPr>
      <w:r w:rsidRPr="00F37BC7">
        <w:rPr>
          <w:sz w:val="28"/>
          <w:szCs w:val="28"/>
        </w:rPr>
        <w:t>Waite, S. (2017)</w:t>
      </w:r>
      <w:r w:rsidR="00F37BC7">
        <w:rPr>
          <w:sz w:val="28"/>
          <w:szCs w:val="28"/>
        </w:rPr>
        <w:t>.</w:t>
      </w:r>
      <w:r w:rsidRPr="00F37BC7">
        <w:rPr>
          <w:sz w:val="28"/>
          <w:szCs w:val="28"/>
        </w:rPr>
        <w:t xml:space="preserve"> </w:t>
      </w:r>
      <w:r w:rsidRPr="00F37BC7">
        <w:rPr>
          <w:i/>
          <w:iCs/>
          <w:sz w:val="28"/>
          <w:szCs w:val="28"/>
        </w:rPr>
        <w:t>Children Learning Outside the Classroom: From Birth to Eleven</w:t>
      </w:r>
      <w:r w:rsidRPr="00F37BC7">
        <w:rPr>
          <w:sz w:val="28"/>
          <w:szCs w:val="28"/>
        </w:rPr>
        <w:t>. London: Sage.</w:t>
      </w:r>
    </w:p>
    <w:p w14:paraId="068A9020" w14:textId="77777777" w:rsidR="00806339" w:rsidRPr="00F37BC7" w:rsidRDefault="00806339" w:rsidP="00806339">
      <w:pPr>
        <w:rPr>
          <w:sz w:val="28"/>
          <w:szCs w:val="28"/>
        </w:rPr>
      </w:pPr>
      <w:r w:rsidRPr="00F37BC7">
        <w:rPr>
          <w:sz w:val="28"/>
          <w:szCs w:val="28"/>
        </w:rPr>
        <w:t xml:space="preserve">Welsh Government (2022) </w:t>
      </w:r>
      <w:r w:rsidRPr="00F37BC7">
        <w:rPr>
          <w:i/>
          <w:iCs/>
          <w:sz w:val="28"/>
          <w:szCs w:val="28"/>
        </w:rPr>
        <w:t>Curriculum for Wales Guidance</w:t>
      </w:r>
      <w:r w:rsidRPr="00F37BC7">
        <w:rPr>
          <w:sz w:val="28"/>
          <w:szCs w:val="28"/>
        </w:rPr>
        <w:t>. Cardiff: Welsh Government.</w:t>
      </w:r>
    </w:p>
    <w:p w14:paraId="0CC7C477" w14:textId="190B8339" w:rsidR="00806339" w:rsidRPr="00F37BC7" w:rsidRDefault="00806339" w:rsidP="00806339">
      <w:pPr>
        <w:rPr>
          <w:sz w:val="28"/>
          <w:szCs w:val="28"/>
        </w:rPr>
      </w:pPr>
      <w:r w:rsidRPr="00F37BC7">
        <w:rPr>
          <w:sz w:val="28"/>
          <w:szCs w:val="28"/>
        </w:rPr>
        <w:t>Welsh Government (2018)</w:t>
      </w:r>
      <w:r w:rsidR="00F37BC7">
        <w:rPr>
          <w:sz w:val="28"/>
          <w:szCs w:val="28"/>
        </w:rPr>
        <w:t>.</w:t>
      </w:r>
      <w:r w:rsidRPr="00F37BC7">
        <w:rPr>
          <w:sz w:val="28"/>
          <w:szCs w:val="28"/>
        </w:rPr>
        <w:t xml:space="preserve"> </w:t>
      </w:r>
      <w:r w:rsidRPr="00F37BC7">
        <w:rPr>
          <w:i/>
          <w:iCs/>
          <w:sz w:val="28"/>
          <w:szCs w:val="28"/>
        </w:rPr>
        <w:t>Additional Learning Needs and Education Tribunal (Wales) Act 2018</w:t>
      </w:r>
      <w:r w:rsidRPr="00F37BC7">
        <w:rPr>
          <w:sz w:val="28"/>
          <w:szCs w:val="28"/>
        </w:rPr>
        <w:t>. Cardiff: Welsh Government.</w:t>
      </w:r>
    </w:p>
    <w:p w14:paraId="41D34E1E" w14:textId="77777777" w:rsidR="00B36E66" w:rsidRPr="00F37BC7" w:rsidRDefault="00B36E66" w:rsidP="00806339">
      <w:pPr>
        <w:rPr>
          <w:sz w:val="28"/>
          <w:szCs w:val="28"/>
        </w:rPr>
      </w:pPr>
    </w:p>
    <w:p w14:paraId="1FCCB1E2" w14:textId="77777777" w:rsidR="00F37BC7" w:rsidRDefault="00F37BC7" w:rsidP="00806339">
      <w:pPr>
        <w:rPr>
          <w:sz w:val="28"/>
          <w:szCs w:val="28"/>
        </w:rPr>
      </w:pPr>
    </w:p>
    <w:p w14:paraId="0BFA2E4B" w14:textId="77777777" w:rsidR="00F37BC7" w:rsidRDefault="00F37BC7" w:rsidP="00806339">
      <w:pPr>
        <w:rPr>
          <w:sz w:val="28"/>
          <w:szCs w:val="28"/>
        </w:rPr>
      </w:pPr>
    </w:p>
    <w:p w14:paraId="6C7D48C9" w14:textId="77777777" w:rsidR="00F37BC7" w:rsidRDefault="00F37BC7" w:rsidP="00806339">
      <w:pPr>
        <w:rPr>
          <w:sz w:val="28"/>
          <w:szCs w:val="28"/>
        </w:rPr>
      </w:pPr>
    </w:p>
    <w:p w14:paraId="40477C6C" w14:textId="77777777" w:rsidR="00F37BC7" w:rsidRDefault="00F37BC7" w:rsidP="00806339">
      <w:pPr>
        <w:rPr>
          <w:sz w:val="28"/>
          <w:szCs w:val="28"/>
        </w:rPr>
      </w:pPr>
    </w:p>
    <w:p w14:paraId="0844D891" w14:textId="77777777" w:rsidR="00F37BC7" w:rsidRDefault="00F37BC7" w:rsidP="00806339">
      <w:pPr>
        <w:rPr>
          <w:sz w:val="28"/>
          <w:szCs w:val="28"/>
        </w:rPr>
      </w:pPr>
    </w:p>
    <w:p w14:paraId="63CB086D" w14:textId="117D2017" w:rsidR="00B36E66" w:rsidRPr="00F37BC7" w:rsidRDefault="00F37BC7" w:rsidP="00806339">
      <w:pPr>
        <w:rPr>
          <w:sz w:val="28"/>
          <w:szCs w:val="28"/>
        </w:rPr>
      </w:pPr>
      <w:r>
        <w:rPr>
          <w:sz w:val="28"/>
          <w:szCs w:val="28"/>
        </w:rPr>
        <w:t xml:space="preserve">Element 2: </w:t>
      </w:r>
    </w:p>
    <w:p w14:paraId="05052732" w14:textId="77777777" w:rsidR="00B36E66" w:rsidRPr="00F37BC7" w:rsidRDefault="00B36E66" w:rsidP="00806339">
      <w:pPr>
        <w:rPr>
          <w:sz w:val="28"/>
          <w:szCs w:val="28"/>
        </w:rPr>
      </w:pPr>
    </w:p>
    <w:p w14:paraId="4686E90C" w14:textId="77777777" w:rsidR="00B36E66" w:rsidRPr="00F37BC7" w:rsidRDefault="00B36E66" w:rsidP="00806339">
      <w:pPr>
        <w:rPr>
          <w:sz w:val="28"/>
          <w:szCs w:val="28"/>
        </w:rPr>
      </w:pPr>
    </w:p>
    <w:p w14:paraId="6B92857E" w14:textId="77777777" w:rsidR="00B36E66" w:rsidRDefault="00B36E66" w:rsidP="00806339">
      <w:pPr>
        <w:rPr>
          <w:sz w:val="24"/>
          <w:szCs w:val="24"/>
        </w:rPr>
      </w:pPr>
    </w:p>
    <w:p w14:paraId="0BAB1220" w14:textId="77777777" w:rsidR="00B36E66" w:rsidRDefault="00B36E66" w:rsidP="00806339">
      <w:pPr>
        <w:rPr>
          <w:sz w:val="24"/>
          <w:szCs w:val="24"/>
        </w:rPr>
      </w:pPr>
    </w:p>
    <w:p w14:paraId="6F1462C4" w14:textId="77777777" w:rsidR="00B36E66" w:rsidRDefault="00B36E66" w:rsidP="00806339">
      <w:pPr>
        <w:rPr>
          <w:sz w:val="24"/>
          <w:szCs w:val="24"/>
        </w:rPr>
      </w:pPr>
    </w:p>
    <w:p w14:paraId="249420ED" w14:textId="77777777" w:rsidR="00B36E66" w:rsidRDefault="00B36E66" w:rsidP="00806339">
      <w:pPr>
        <w:rPr>
          <w:sz w:val="24"/>
          <w:szCs w:val="24"/>
        </w:rPr>
      </w:pPr>
    </w:p>
    <w:p w14:paraId="6FC2C69C" w14:textId="77777777" w:rsidR="00B36E66" w:rsidRDefault="00B36E66" w:rsidP="00806339">
      <w:pPr>
        <w:rPr>
          <w:sz w:val="24"/>
          <w:szCs w:val="24"/>
        </w:rPr>
      </w:pPr>
    </w:p>
    <w:p w14:paraId="7B259325" w14:textId="53A44281" w:rsidR="00B36E66" w:rsidRPr="00B36E66" w:rsidRDefault="00B36E66" w:rsidP="00B36E66">
      <w:pPr>
        <w:rPr>
          <w:sz w:val="24"/>
          <w:szCs w:val="24"/>
        </w:rPr>
      </w:pPr>
      <w:r w:rsidRPr="00B36E66">
        <w:rPr>
          <w:sz w:val="24"/>
          <w:szCs w:val="24"/>
        </w:rPr>
        <w:lastRenderedPageBreak/>
        <w:drawing>
          <wp:inline distT="0" distB="0" distL="0" distR="0" wp14:anchorId="3478035B" wp14:editId="22D3FBA4">
            <wp:extent cx="8496300" cy="5127817"/>
            <wp:effectExtent l="0" t="0" r="0" b="0"/>
            <wp:docPr id="5206779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00003" cy="5130052"/>
                    </a:xfrm>
                    <a:prstGeom prst="rect">
                      <a:avLst/>
                    </a:prstGeom>
                    <a:noFill/>
                    <a:ln>
                      <a:noFill/>
                    </a:ln>
                  </pic:spPr>
                </pic:pic>
              </a:graphicData>
            </a:graphic>
          </wp:inline>
        </w:drawing>
      </w:r>
    </w:p>
    <w:p w14:paraId="282BB0AD" w14:textId="77777777" w:rsidR="00B36E66" w:rsidRDefault="00B36E66" w:rsidP="00B36E66">
      <w:pPr>
        <w:rPr>
          <w:sz w:val="24"/>
          <w:szCs w:val="24"/>
        </w:rPr>
      </w:pPr>
    </w:p>
    <w:p w14:paraId="61A64DA0" w14:textId="1A617755" w:rsidR="00B36E66" w:rsidRDefault="00B36E66" w:rsidP="00B36E66">
      <w:pPr>
        <w:jc w:val="center"/>
        <w:rPr>
          <w:b/>
          <w:bCs/>
          <w:color w:val="000000" w:themeColor="text1"/>
          <w:sz w:val="28"/>
          <w:szCs w:val="28"/>
        </w:rPr>
      </w:pPr>
      <w:r w:rsidRPr="00B36E66">
        <w:rPr>
          <w:b/>
          <w:bCs/>
          <w:color w:val="000000" w:themeColor="text1"/>
          <w:sz w:val="28"/>
          <w:szCs w:val="28"/>
        </w:rPr>
        <w:lastRenderedPageBreak/>
        <w:t>Reference List</w:t>
      </w:r>
    </w:p>
    <w:p w14:paraId="180C92E3" w14:textId="77777777" w:rsidR="00B36E66" w:rsidRPr="00B36E66" w:rsidRDefault="00B36E66" w:rsidP="00B36E66">
      <w:pPr>
        <w:jc w:val="center"/>
        <w:rPr>
          <w:color w:val="000000" w:themeColor="text1"/>
          <w:sz w:val="28"/>
          <w:szCs w:val="28"/>
        </w:rPr>
      </w:pPr>
      <w:r w:rsidRPr="00B36E66">
        <w:rPr>
          <w:color w:val="000000" w:themeColor="text1"/>
          <w:sz w:val="28"/>
          <w:szCs w:val="28"/>
        </w:rPr>
        <w:t xml:space="preserve">Ayres, A.J. (2005) </w:t>
      </w:r>
      <w:r w:rsidRPr="00B36E66">
        <w:rPr>
          <w:i/>
          <w:iCs/>
          <w:color w:val="000000" w:themeColor="text1"/>
          <w:sz w:val="28"/>
          <w:szCs w:val="28"/>
        </w:rPr>
        <w:t>Sensory Integration and the Child</w:t>
      </w:r>
      <w:r w:rsidRPr="00B36E66">
        <w:rPr>
          <w:color w:val="000000" w:themeColor="text1"/>
          <w:sz w:val="28"/>
          <w:szCs w:val="28"/>
        </w:rPr>
        <w:t xml:space="preserve">. 25th anniversary </w:t>
      </w:r>
      <w:proofErr w:type="spellStart"/>
      <w:r w:rsidRPr="00B36E66">
        <w:rPr>
          <w:color w:val="000000" w:themeColor="text1"/>
          <w:sz w:val="28"/>
          <w:szCs w:val="28"/>
        </w:rPr>
        <w:t>edn</w:t>
      </w:r>
      <w:proofErr w:type="spellEnd"/>
      <w:r w:rsidRPr="00B36E66">
        <w:rPr>
          <w:color w:val="000000" w:themeColor="text1"/>
          <w:sz w:val="28"/>
          <w:szCs w:val="28"/>
        </w:rPr>
        <w:t>. Los Angeles: Western Psychological Services.</w:t>
      </w:r>
    </w:p>
    <w:p w14:paraId="356BD80C" w14:textId="77777777" w:rsidR="00B36E66" w:rsidRPr="00B36E66" w:rsidRDefault="00B36E66" w:rsidP="00B36E66">
      <w:pPr>
        <w:jc w:val="center"/>
        <w:rPr>
          <w:color w:val="000000" w:themeColor="text1"/>
          <w:sz w:val="28"/>
          <w:szCs w:val="28"/>
        </w:rPr>
      </w:pPr>
      <w:proofErr w:type="spellStart"/>
      <w:r w:rsidRPr="00B36E66">
        <w:rPr>
          <w:color w:val="000000" w:themeColor="text1"/>
          <w:sz w:val="28"/>
          <w:szCs w:val="28"/>
        </w:rPr>
        <w:t>Bogdashina</w:t>
      </w:r>
      <w:proofErr w:type="spellEnd"/>
      <w:r w:rsidRPr="00B36E66">
        <w:rPr>
          <w:color w:val="000000" w:themeColor="text1"/>
          <w:sz w:val="28"/>
          <w:szCs w:val="28"/>
        </w:rPr>
        <w:t xml:space="preserve">, O. (2016) </w:t>
      </w:r>
      <w:r w:rsidRPr="00B36E66">
        <w:rPr>
          <w:i/>
          <w:iCs/>
          <w:color w:val="000000" w:themeColor="text1"/>
          <w:sz w:val="28"/>
          <w:szCs w:val="28"/>
        </w:rPr>
        <w:t>Sensory Perceptual Issues in Autism and Asperger Syndrome: Different Sensory Experiences – Different Perceptual Worlds</w:t>
      </w:r>
      <w:r w:rsidRPr="00B36E66">
        <w:rPr>
          <w:color w:val="000000" w:themeColor="text1"/>
          <w:sz w:val="28"/>
          <w:szCs w:val="28"/>
        </w:rPr>
        <w:t xml:space="preserve">. 2nd </w:t>
      </w:r>
      <w:proofErr w:type="spellStart"/>
      <w:r w:rsidRPr="00B36E66">
        <w:rPr>
          <w:color w:val="000000" w:themeColor="text1"/>
          <w:sz w:val="28"/>
          <w:szCs w:val="28"/>
        </w:rPr>
        <w:t>edn</w:t>
      </w:r>
      <w:proofErr w:type="spellEnd"/>
      <w:r w:rsidRPr="00B36E66">
        <w:rPr>
          <w:color w:val="000000" w:themeColor="text1"/>
          <w:sz w:val="28"/>
          <w:szCs w:val="28"/>
        </w:rPr>
        <w:t>. London: Jessica Kingsley Publishers.</w:t>
      </w:r>
    </w:p>
    <w:p w14:paraId="054C0613" w14:textId="77777777" w:rsidR="00B36E66" w:rsidRPr="00B36E66" w:rsidRDefault="00B36E66" w:rsidP="00B36E66">
      <w:pPr>
        <w:jc w:val="center"/>
        <w:rPr>
          <w:color w:val="000000" w:themeColor="text1"/>
          <w:sz w:val="28"/>
          <w:szCs w:val="28"/>
        </w:rPr>
      </w:pPr>
      <w:r w:rsidRPr="00B36E66">
        <w:rPr>
          <w:color w:val="000000" w:themeColor="text1"/>
          <w:sz w:val="28"/>
          <w:szCs w:val="28"/>
        </w:rPr>
        <w:t xml:space="preserve">Curriculum for Wales (2022) </w:t>
      </w:r>
      <w:r w:rsidRPr="00B36E66">
        <w:rPr>
          <w:i/>
          <w:iCs/>
          <w:color w:val="000000" w:themeColor="text1"/>
          <w:sz w:val="28"/>
          <w:szCs w:val="28"/>
        </w:rPr>
        <w:t>Curriculum for Wales Guidance</w:t>
      </w:r>
      <w:r w:rsidRPr="00B36E66">
        <w:rPr>
          <w:color w:val="000000" w:themeColor="text1"/>
          <w:sz w:val="28"/>
          <w:szCs w:val="28"/>
        </w:rPr>
        <w:t>. Welsh Government. Available at: https://hwb.gov.wales/curriculum-for-wales (</w:t>
      </w:r>
      <w:proofErr w:type="spellStart"/>
      <w:proofErr w:type="gramStart"/>
      <w:r w:rsidRPr="00B36E66">
        <w:rPr>
          <w:color w:val="000000" w:themeColor="text1"/>
          <w:sz w:val="28"/>
          <w:szCs w:val="28"/>
        </w:rPr>
        <w:t>hwb.gov.wales</w:t>
      </w:r>
      <w:proofErr w:type="spellEnd"/>
      <w:proofErr w:type="gramEnd"/>
      <w:r w:rsidRPr="00B36E66">
        <w:rPr>
          <w:color w:val="000000" w:themeColor="text1"/>
          <w:sz w:val="28"/>
          <w:szCs w:val="28"/>
        </w:rPr>
        <w:t xml:space="preserve"> in Bing) (Accessed: [insert date]).</w:t>
      </w:r>
    </w:p>
    <w:p w14:paraId="5091C5D7" w14:textId="77777777" w:rsidR="00B36E66" w:rsidRPr="00B36E66" w:rsidRDefault="00B36E66" w:rsidP="00B36E66">
      <w:pPr>
        <w:jc w:val="center"/>
        <w:rPr>
          <w:color w:val="000000" w:themeColor="text1"/>
          <w:sz w:val="28"/>
          <w:szCs w:val="28"/>
        </w:rPr>
      </w:pPr>
      <w:r w:rsidRPr="00B36E66">
        <w:rPr>
          <w:color w:val="000000" w:themeColor="text1"/>
          <w:sz w:val="28"/>
          <w:szCs w:val="28"/>
        </w:rPr>
        <w:t xml:space="preserve">Department for Education (2015) </w:t>
      </w:r>
      <w:r w:rsidRPr="00B36E66">
        <w:rPr>
          <w:i/>
          <w:iCs/>
          <w:color w:val="000000" w:themeColor="text1"/>
          <w:sz w:val="28"/>
          <w:szCs w:val="28"/>
        </w:rPr>
        <w:t>What Works for Children and Young People with SEND?</w:t>
      </w:r>
      <w:r w:rsidRPr="00B36E66">
        <w:rPr>
          <w:color w:val="000000" w:themeColor="text1"/>
          <w:sz w:val="28"/>
          <w:szCs w:val="28"/>
        </w:rPr>
        <w:t xml:space="preserve"> London: DfE.</w:t>
      </w:r>
    </w:p>
    <w:p w14:paraId="035FB921" w14:textId="77777777" w:rsidR="00B36E66" w:rsidRPr="00B36E66" w:rsidRDefault="00B36E66" w:rsidP="00B36E66">
      <w:pPr>
        <w:jc w:val="center"/>
        <w:rPr>
          <w:color w:val="000000" w:themeColor="text1"/>
          <w:sz w:val="28"/>
          <w:szCs w:val="28"/>
        </w:rPr>
      </w:pPr>
      <w:r w:rsidRPr="00B36E66">
        <w:rPr>
          <w:color w:val="000000" w:themeColor="text1"/>
          <w:sz w:val="28"/>
          <w:szCs w:val="28"/>
        </w:rPr>
        <w:t xml:space="preserve">Dunn, W. (2014) </w:t>
      </w:r>
      <w:r w:rsidRPr="00B36E66">
        <w:rPr>
          <w:i/>
          <w:iCs/>
          <w:color w:val="000000" w:themeColor="text1"/>
          <w:sz w:val="28"/>
          <w:szCs w:val="28"/>
        </w:rPr>
        <w:t>Sensory Profile 2: User’s Manual</w:t>
      </w:r>
      <w:r w:rsidRPr="00B36E66">
        <w:rPr>
          <w:color w:val="000000" w:themeColor="text1"/>
          <w:sz w:val="28"/>
          <w:szCs w:val="28"/>
        </w:rPr>
        <w:t>. San Antonio, TX: Pearson.</w:t>
      </w:r>
    </w:p>
    <w:p w14:paraId="0A4DC94F" w14:textId="77777777" w:rsidR="00B36E66" w:rsidRPr="00B36E66" w:rsidRDefault="00B36E66" w:rsidP="00B36E66">
      <w:pPr>
        <w:jc w:val="center"/>
        <w:rPr>
          <w:color w:val="000000" w:themeColor="text1"/>
          <w:sz w:val="28"/>
          <w:szCs w:val="28"/>
        </w:rPr>
      </w:pPr>
      <w:r w:rsidRPr="00B36E66">
        <w:rPr>
          <w:color w:val="000000" w:themeColor="text1"/>
          <w:sz w:val="28"/>
          <w:szCs w:val="28"/>
        </w:rPr>
        <w:t xml:space="preserve">Kranowitz, C.S. (2005) </w:t>
      </w:r>
      <w:r w:rsidRPr="00B36E66">
        <w:rPr>
          <w:i/>
          <w:iCs/>
          <w:color w:val="000000" w:themeColor="text1"/>
          <w:sz w:val="28"/>
          <w:szCs w:val="28"/>
        </w:rPr>
        <w:t>The Out-of-Sync Child: Recognizing and Coping with Sensory Processing Disorder</w:t>
      </w:r>
      <w:r w:rsidRPr="00B36E66">
        <w:rPr>
          <w:color w:val="000000" w:themeColor="text1"/>
          <w:sz w:val="28"/>
          <w:szCs w:val="28"/>
        </w:rPr>
        <w:t>. New York: Perigee.</w:t>
      </w:r>
    </w:p>
    <w:p w14:paraId="65309684" w14:textId="77777777" w:rsidR="00B36E66" w:rsidRPr="00B36E66" w:rsidRDefault="00B36E66" w:rsidP="00B36E66">
      <w:pPr>
        <w:jc w:val="center"/>
        <w:rPr>
          <w:color w:val="000000" w:themeColor="text1"/>
          <w:sz w:val="28"/>
          <w:szCs w:val="28"/>
        </w:rPr>
      </w:pPr>
      <w:r w:rsidRPr="00B36E66">
        <w:rPr>
          <w:color w:val="000000" w:themeColor="text1"/>
          <w:sz w:val="28"/>
          <w:szCs w:val="28"/>
        </w:rPr>
        <w:t xml:space="preserve">Lane, S.J. and Schaaf, R.C. (2010) ‘Examining the neuroscience evidence for sensory-driven neuroplasticity’, </w:t>
      </w:r>
      <w:r w:rsidRPr="00B36E66">
        <w:rPr>
          <w:i/>
          <w:iCs/>
          <w:color w:val="000000" w:themeColor="text1"/>
          <w:sz w:val="28"/>
          <w:szCs w:val="28"/>
        </w:rPr>
        <w:t>Journal of Autism and Developmental Disorders</w:t>
      </w:r>
      <w:r w:rsidRPr="00B36E66">
        <w:rPr>
          <w:color w:val="000000" w:themeColor="text1"/>
          <w:sz w:val="28"/>
          <w:szCs w:val="28"/>
        </w:rPr>
        <w:t>, 40(9), pp. 1137–1147.</w:t>
      </w:r>
    </w:p>
    <w:p w14:paraId="140B3659" w14:textId="77777777" w:rsidR="00B36E66" w:rsidRPr="00B36E66" w:rsidRDefault="00B36E66" w:rsidP="00B36E66">
      <w:pPr>
        <w:jc w:val="center"/>
        <w:rPr>
          <w:color w:val="000000" w:themeColor="text1"/>
          <w:sz w:val="28"/>
          <w:szCs w:val="28"/>
        </w:rPr>
      </w:pPr>
      <w:r w:rsidRPr="00B36E66">
        <w:rPr>
          <w:color w:val="000000" w:themeColor="text1"/>
          <w:sz w:val="28"/>
          <w:szCs w:val="28"/>
        </w:rPr>
        <w:t xml:space="preserve">Pfeiffer, B., Henry, A., Miller, S. and Witherell, S. (2008) ‘Effectiveness of sensory integration interventions in children with autism spectrum disorders’, </w:t>
      </w:r>
      <w:r w:rsidRPr="00B36E66">
        <w:rPr>
          <w:i/>
          <w:iCs/>
          <w:color w:val="000000" w:themeColor="text1"/>
          <w:sz w:val="28"/>
          <w:szCs w:val="28"/>
        </w:rPr>
        <w:t>American Journal of Occupational Therapy</w:t>
      </w:r>
      <w:r w:rsidRPr="00B36E66">
        <w:rPr>
          <w:color w:val="000000" w:themeColor="text1"/>
          <w:sz w:val="28"/>
          <w:szCs w:val="28"/>
        </w:rPr>
        <w:t>, 62(5), pp. 528–540.</w:t>
      </w:r>
    </w:p>
    <w:p w14:paraId="0D30B97F" w14:textId="77777777" w:rsidR="00B36E66" w:rsidRPr="00B36E66" w:rsidRDefault="00B36E66" w:rsidP="00B36E66">
      <w:pPr>
        <w:jc w:val="center"/>
        <w:rPr>
          <w:color w:val="000000" w:themeColor="text1"/>
          <w:sz w:val="28"/>
          <w:szCs w:val="28"/>
        </w:rPr>
      </w:pPr>
      <w:r w:rsidRPr="00B36E66">
        <w:rPr>
          <w:color w:val="000000" w:themeColor="text1"/>
          <w:sz w:val="28"/>
          <w:szCs w:val="28"/>
        </w:rPr>
        <w:t xml:space="preserve">Sensory Integration Education (2023) </w:t>
      </w:r>
      <w:r w:rsidRPr="00B36E66">
        <w:rPr>
          <w:i/>
          <w:iCs/>
          <w:color w:val="000000" w:themeColor="text1"/>
          <w:sz w:val="28"/>
          <w:szCs w:val="28"/>
        </w:rPr>
        <w:t>Introduction to Sensory Integration</w:t>
      </w:r>
      <w:r w:rsidRPr="00B36E66">
        <w:rPr>
          <w:color w:val="000000" w:themeColor="text1"/>
          <w:sz w:val="28"/>
          <w:szCs w:val="28"/>
        </w:rPr>
        <w:t>. Available at: https://sensoryintegration.org.uk (sensoryintegration.org.uk in Bing) (Accessed: [insert date]).</w:t>
      </w:r>
    </w:p>
    <w:p w14:paraId="2148E35A" w14:textId="77777777" w:rsidR="00B36E66" w:rsidRPr="00B36E66" w:rsidRDefault="00B36E66" w:rsidP="00B36E66">
      <w:pPr>
        <w:jc w:val="center"/>
        <w:rPr>
          <w:color w:val="000000" w:themeColor="text1"/>
          <w:sz w:val="28"/>
          <w:szCs w:val="28"/>
        </w:rPr>
      </w:pPr>
      <w:r w:rsidRPr="00B36E66">
        <w:rPr>
          <w:color w:val="000000" w:themeColor="text1"/>
          <w:sz w:val="28"/>
          <w:szCs w:val="28"/>
        </w:rPr>
        <w:t xml:space="preserve">Williams, M.S. and Shellenberger, S. (1996) </w:t>
      </w:r>
      <w:r w:rsidRPr="00B36E66">
        <w:rPr>
          <w:i/>
          <w:iCs/>
          <w:color w:val="000000" w:themeColor="text1"/>
          <w:sz w:val="28"/>
          <w:szCs w:val="28"/>
        </w:rPr>
        <w:t>How Does Your Engine Run? A Leader’s Guide to the Alert Program for Self-Regulation</w:t>
      </w:r>
      <w:r w:rsidRPr="00B36E66">
        <w:rPr>
          <w:color w:val="000000" w:themeColor="text1"/>
          <w:sz w:val="28"/>
          <w:szCs w:val="28"/>
        </w:rPr>
        <w:t xml:space="preserve">. Albuquerque, NM: </w:t>
      </w:r>
      <w:proofErr w:type="spellStart"/>
      <w:r w:rsidRPr="00B36E66">
        <w:rPr>
          <w:color w:val="000000" w:themeColor="text1"/>
          <w:sz w:val="28"/>
          <w:szCs w:val="28"/>
        </w:rPr>
        <w:t>TherapyWorks</w:t>
      </w:r>
      <w:proofErr w:type="spellEnd"/>
      <w:r w:rsidRPr="00B36E66">
        <w:rPr>
          <w:color w:val="000000" w:themeColor="text1"/>
          <w:sz w:val="28"/>
          <w:szCs w:val="28"/>
        </w:rPr>
        <w:t>.</w:t>
      </w:r>
    </w:p>
    <w:p w14:paraId="2CEC8637" w14:textId="77777777" w:rsidR="00B36E66" w:rsidRPr="00F37BC7" w:rsidRDefault="00B36E66" w:rsidP="00B36E66">
      <w:pPr>
        <w:jc w:val="center"/>
        <w:rPr>
          <w:color w:val="000000" w:themeColor="text1"/>
          <w:sz w:val="28"/>
          <w:szCs w:val="28"/>
        </w:rPr>
      </w:pPr>
    </w:p>
    <w:p w14:paraId="037A3420" w14:textId="77777777" w:rsidR="00B36E66" w:rsidRPr="00F37BC7" w:rsidRDefault="00B36E66" w:rsidP="00B36E66">
      <w:pPr>
        <w:jc w:val="center"/>
        <w:rPr>
          <w:color w:val="000000" w:themeColor="text1"/>
          <w:sz w:val="28"/>
          <w:szCs w:val="28"/>
        </w:rPr>
      </w:pPr>
    </w:p>
    <w:p w14:paraId="492F5E84" w14:textId="77777777" w:rsidR="00B36E66" w:rsidRDefault="00B36E66" w:rsidP="00B36E66">
      <w:pPr>
        <w:jc w:val="center"/>
        <w:rPr>
          <w:b/>
          <w:bCs/>
          <w:color w:val="000000" w:themeColor="text1"/>
          <w:sz w:val="28"/>
          <w:szCs w:val="28"/>
        </w:rPr>
      </w:pPr>
    </w:p>
    <w:p w14:paraId="5DCBBBA8" w14:textId="77777777" w:rsidR="00B36E66" w:rsidRDefault="00B36E66" w:rsidP="00B36E66">
      <w:pPr>
        <w:jc w:val="center"/>
        <w:rPr>
          <w:b/>
          <w:bCs/>
          <w:color w:val="000000" w:themeColor="text1"/>
          <w:sz w:val="28"/>
          <w:szCs w:val="28"/>
        </w:rPr>
      </w:pPr>
    </w:p>
    <w:p w14:paraId="33681556" w14:textId="7B1A7AF6" w:rsidR="00B36E66" w:rsidRPr="00B36E66" w:rsidRDefault="00B36E66" w:rsidP="00B36E66">
      <w:pPr>
        <w:rPr>
          <w:b/>
          <w:bCs/>
          <w:color w:val="000000" w:themeColor="text1"/>
          <w:sz w:val="32"/>
          <w:szCs w:val="32"/>
        </w:rPr>
      </w:pPr>
      <w:r w:rsidRPr="00B36E66">
        <w:rPr>
          <w:b/>
          <w:bCs/>
          <w:color w:val="000000" w:themeColor="text1"/>
          <w:sz w:val="32"/>
          <w:szCs w:val="32"/>
        </w:rPr>
        <w:t>Element 3:</w:t>
      </w:r>
    </w:p>
    <w:p w14:paraId="53BFA7E5" w14:textId="77777777" w:rsidR="00B36E66" w:rsidRPr="00117C97" w:rsidRDefault="00B36E66" w:rsidP="00B36E66">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7A98D61A" w14:textId="77777777" w:rsidR="00B36E66" w:rsidRPr="00117C97" w:rsidRDefault="00B36E66" w:rsidP="00B36E66">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01"/>
        <w:gridCol w:w="7256"/>
        <w:gridCol w:w="1655"/>
        <w:gridCol w:w="2728"/>
      </w:tblGrid>
      <w:tr w:rsidR="00B36E66" w:rsidRPr="00117C97" w14:paraId="672A8D98" w14:textId="77777777" w:rsidTr="00313D26">
        <w:tc>
          <w:tcPr>
            <w:tcW w:w="2268" w:type="dxa"/>
            <w:shd w:val="clear" w:color="auto" w:fill="D9D9D9"/>
          </w:tcPr>
          <w:p w14:paraId="545AA273" w14:textId="77777777" w:rsidR="00B36E66" w:rsidRPr="00117C97" w:rsidRDefault="00B36E66" w:rsidP="00313D26">
            <w:pPr>
              <w:rPr>
                <w:rFonts w:ascii="Calibri" w:hAnsi="Calibri"/>
                <w:sz w:val="24"/>
                <w:szCs w:val="24"/>
              </w:rPr>
            </w:pPr>
            <w:r w:rsidRPr="00117C97">
              <w:rPr>
                <w:rFonts w:ascii="Calibri" w:hAnsi="Calibri"/>
                <w:b/>
                <w:sz w:val="24"/>
                <w:szCs w:val="24"/>
              </w:rPr>
              <w:t>Location / Activity:</w:t>
            </w:r>
          </w:p>
        </w:tc>
        <w:tc>
          <w:tcPr>
            <w:tcW w:w="7655" w:type="dxa"/>
          </w:tcPr>
          <w:p w14:paraId="3416EB1F" w14:textId="77777777" w:rsidR="00B36E66" w:rsidRPr="00117C97" w:rsidRDefault="00B36E66" w:rsidP="00313D26">
            <w:pPr>
              <w:rPr>
                <w:rFonts w:ascii="Calibri" w:hAnsi="Calibri"/>
                <w:sz w:val="24"/>
                <w:szCs w:val="24"/>
              </w:rPr>
            </w:pPr>
            <w:r w:rsidRPr="00954795">
              <w:rPr>
                <w:rFonts w:ascii="Calibri" w:hAnsi="Calibri"/>
                <w:sz w:val="24"/>
                <w:szCs w:val="24"/>
              </w:rPr>
              <w:t>Outdoor Sensory Circuits</w:t>
            </w:r>
          </w:p>
        </w:tc>
        <w:tc>
          <w:tcPr>
            <w:tcW w:w="1701" w:type="dxa"/>
            <w:shd w:val="clear" w:color="auto" w:fill="D9D9D9"/>
          </w:tcPr>
          <w:p w14:paraId="6E46D9D4" w14:textId="77777777" w:rsidR="00B36E66" w:rsidRPr="00117C97" w:rsidRDefault="00B36E66" w:rsidP="00313D26">
            <w:pPr>
              <w:rPr>
                <w:rFonts w:ascii="Calibri" w:hAnsi="Calibri"/>
                <w:sz w:val="24"/>
                <w:szCs w:val="24"/>
              </w:rPr>
            </w:pPr>
            <w:r w:rsidRPr="00117C97">
              <w:rPr>
                <w:rFonts w:ascii="Calibri" w:hAnsi="Calibri"/>
                <w:b/>
                <w:sz w:val="24"/>
                <w:szCs w:val="24"/>
              </w:rPr>
              <w:t>Date:</w:t>
            </w:r>
          </w:p>
        </w:tc>
        <w:tc>
          <w:tcPr>
            <w:tcW w:w="2835" w:type="dxa"/>
          </w:tcPr>
          <w:p w14:paraId="2F1F847D" w14:textId="77777777" w:rsidR="00B36E66" w:rsidRPr="00117C97" w:rsidRDefault="00B36E66" w:rsidP="00313D26">
            <w:pPr>
              <w:rPr>
                <w:rFonts w:ascii="Calibri" w:hAnsi="Calibri"/>
                <w:sz w:val="24"/>
                <w:szCs w:val="24"/>
              </w:rPr>
            </w:pPr>
            <w:r>
              <w:rPr>
                <w:rFonts w:ascii="Calibri" w:hAnsi="Calibri"/>
                <w:sz w:val="24"/>
                <w:szCs w:val="24"/>
              </w:rPr>
              <w:t>15.04.26</w:t>
            </w:r>
          </w:p>
        </w:tc>
      </w:tr>
      <w:tr w:rsidR="00B36E66" w:rsidRPr="00117C97" w14:paraId="0D332DE8" w14:textId="77777777" w:rsidTr="00313D26">
        <w:tc>
          <w:tcPr>
            <w:tcW w:w="2268" w:type="dxa"/>
            <w:shd w:val="clear" w:color="auto" w:fill="D9D9D9"/>
          </w:tcPr>
          <w:p w14:paraId="6686E66B" w14:textId="77777777" w:rsidR="00B36E66" w:rsidRPr="00117C97" w:rsidRDefault="00B36E66" w:rsidP="00313D26">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60428DC8" w14:textId="77777777" w:rsidR="00B36E66" w:rsidRPr="00117C97" w:rsidRDefault="00B36E66" w:rsidP="00313D26">
            <w:pPr>
              <w:rPr>
                <w:rFonts w:ascii="Calibri" w:hAnsi="Calibri"/>
                <w:sz w:val="24"/>
                <w:szCs w:val="24"/>
              </w:rPr>
            </w:pPr>
            <w:r>
              <w:rPr>
                <w:rFonts w:ascii="Calibri" w:hAnsi="Calibri"/>
                <w:sz w:val="24"/>
                <w:szCs w:val="24"/>
              </w:rPr>
              <w:t>Lyndsey Copp</w:t>
            </w:r>
          </w:p>
        </w:tc>
        <w:tc>
          <w:tcPr>
            <w:tcW w:w="1701" w:type="dxa"/>
            <w:shd w:val="clear" w:color="auto" w:fill="D9D9D9"/>
          </w:tcPr>
          <w:p w14:paraId="7446159C" w14:textId="77777777" w:rsidR="00B36E66" w:rsidRPr="00117C97" w:rsidRDefault="00B36E66" w:rsidP="00313D26">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3FB7E75A" w14:textId="77777777" w:rsidR="00B36E66" w:rsidRPr="00117C97" w:rsidRDefault="00B36E66" w:rsidP="00313D26">
            <w:pPr>
              <w:rPr>
                <w:rFonts w:ascii="Calibri" w:hAnsi="Calibri"/>
                <w:sz w:val="24"/>
                <w:szCs w:val="24"/>
              </w:rPr>
            </w:pPr>
            <w:r>
              <w:rPr>
                <w:rFonts w:ascii="Calibri" w:hAnsi="Calibri"/>
                <w:sz w:val="24"/>
                <w:szCs w:val="24"/>
              </w:rPr>
              <w:t>15.06.26</w:t>
            </w:r>
          </w:p>
        </w:tc>
      </w:tr>
    </w:tbl>
    <w:p w14:paraId="7F74D852" w14:textId="77777777" w:rsidR="00B36E66" w:rsidRPr="00117C97" w:rsidRDefault="00B36E66" w:rsidP="00B36E66">
      <w:pPr>
        <w:spacing w:after="0" w:line="240" w:lineRule="auto"/>
        <w:rPr>
          <w:rFonts w:ascii="Calibri" w:eastAsia="MS Mincho" w:hAnsi="Calibri" w:cs="Times New Roman"/>
          <w:sz w:val="16"/>
          <w:szCs w:val="16"/>
        </w:rPr>
      </w:pPr>
    </w:p>
    <w:p w14:paraId="409BC716" w14:textId="77777777" w:rsidR="00B36E66" w:rsidRPr="00117C97" w:rsidRDefault="00B36E66" w:rsidP="00B36E66">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3331763A" w14:textId="77777777" w:rsidR="00B36E66" w:rsidRPr="00117C97" w:rsidRDefault="00B36E66" w:rsidP="00B36E66">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0B9163BE" w14:textId="77777777" w:rsidR="00B36E66" w:rsidRPr="00117C97" w:rsidRDefault="00B36E66" w:rsidP="00B36E66">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B36E66" w:rsidRPr="00117C97" w14:paraId="368413D3" w14:textId="77777777" w:rsidTr="00313D26">
        <w:trPr>
          <w:cantSplit/>
          <w:tblHeader/>
        </w:trPr>
        <w:tc>
          <w:tcPr>
            <w:tcW w:w="1560" w:type="dxa"/>
            <w:shd w:val="clear" w:color="auto" w:fill="D9D9D9"/>
            <w:vAlign w:val="center"/>
          </w:tcPr>
          <w:p w14:paraId="63AC2D3D" w14:textId="77777777" w:rsidR="00B36E66" w:rsidRPr="00117C97" w:rsidRDefault="00B36E66" w:rsidP="00313D26">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5F50665C" w14:textId="77777777" w:rsidR="00B36E66" w:rsidRPr="00117C97" w:rsidRDefault="00B36E66" w:rsidP="00313D26">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2A73B229" w14:textId="77777777" w:rsidR="00B36E66" w:rsidRPr="00117C97" w:rsidRDefault="00B36E66" w:rsidP="00313D26">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3386A776" w14:textId="77777777" w:rsidR="00B36E66" w:rsidRPr="00117C97" w:rsidRDefault="00B36E66" w:rsidP="00313D26">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4FD3282B" w14:textId="77777777" w:rsidR="00B36E66" w:rsidRPr="00117C97" w:rsidRDefault="00B36E66" w:rsidP="00313D26">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72B8CC57" w14:textId="77777777" w:rsidR="00B36E66" w:rsidRPr="00117C97" w:rsidRDefault="00B36E66" w:rsidP="00313D26">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B36E66" w:rsidRPr="00117C97" w14:paraId="4554CAFF" w14:textId="77777777" w:rsidTr="00313D26">
        <w:trPr>
          <w:cantSplit/>
          <w:trHeight w:val="1361"/>
        </w:trPr>
        <w:tc>
          <w:tcPr>
            <w:tcW w:w="1560" w:type="dxa"/>
            <w:vAlign w:val="center"/>
          </w:tcPr>
          <w:p w14:paraId="03F966FD" w14:textId="77777777" w:rsidR="00B36E66" w:rsidRPr="00954795" w:rsidRDefault="00B36E66" w:rsidP="00313D26">
            <w:pPr>
              <w:autoSpaceDE w:val="0"/>
              <w:autoSpaceDN w:val="0"/>
              <w:adjustRightInd w:val="0"/>
              <w:rPr>
                <w:rFonts w:ascii="Abadi" w:hAnsi="Abadi" w:cs="Helvetica"/>
                <w:sz w:val="20"/>
                <w:szCs w:val="20"/>
              </w:rPr>
            </w:pPr>
            <w:r w:rsidRPr="00954795">
              <w:rPr>
                <w:rFonts w:ascii="Abadi" w:hAnsi="Abadi"/>
                <w:sz w:val="20"/>
                <w:szCs w:val="20"/>
              </w:rPr>
              <w:t>Outdoor Sensory Circuits: Alerting, Organising &amp; Calming Zones</w:t>
            </w:r>
          </w:p>
        </w:tc>
        <w:tc>
          <w:tcPr>
            <w:tcW w:w="2976" w:type="dxa"/>
            <w:vAlign w:val="center"/>
          </w:tcPr>
          <w:p w14:paraId="11F0A984" w14:textId="77777777" w:rsidR="00B36E66" w:rsidRPr="00954795" w:rsidRDefault="00B36E66" w:rsidP="00313D26">
            <w:pPr>
              <w:autoSpaceDE w:val="0"/>
              <w:autoSpaceDN w:val="0"/>
              <w:adjustRightInd w:val="0"/>
              <w:rPr>
                <w:rFonts w:ascii="Abadi" w:hAnsi="Abadi" w:cs="Helvetica"/>
                <w:sz w:val="20"/>
                <w:szCs w:val="20"/>
              </w:rPr>
            </w:pPr>
            <w:r w:rsidRPr="00954795">
              <w:rPr>
                <w:rFonts w:ascii="Abadi" w:hAnsi="Abadi" w:cs="Helvetica"/>
                <w:sz w:val="20"/>
                <w:szCs w:val="20"/>
              </w:rPr>
              <w:t>Supports emotional regulation and readiness to learn</w:t>
            </w:r>
            <w:r w:rsidRPr="00954795">
              <w:rPr>
                <w:rFonts w:ascii="Abadi" w:hAnsi="Abadi" w:cs="Helvetica"/>
                <w:sz w:val="20"/>
                <w:szCs w:val="20"/>
              </w:rPr>
              <w:br/>
              <w:t>Improves balance, coordination and gross motor skills</w:t>
            </w:r>
            <w:r w:rsidRPr="00954795">
              <w:rPr>
                <w:rFonts w:ascii="Abadi" w:hAnsi="Abadi" w:cs="Helvetica"/>
                <w:sz w:val="20"/>
                <w:szCs w:val="20"/>
              </w:rPr>
              <w:br/>
              <w:t>Provides structured sensory input beneficial for ALN pupils</w:t>
            </w:r>
            <w:r w:rsidRPr="00954795">
              <w:rPr>
                <w:rFonts w:ascii="Abadi" w:hAnsi="Abadi" w:cs="Helvetica"/>
                <w:sz w:val="20"/>
                <w:szCs w:val="20"/>
              </w:rPr>
              <w:br/>
              <w:t>Encourages confidence, independence and problem-solving</w:t>
            </w:r>
            <w:r w:rsidRPr="00954795">
              <w:rPr>
                <w:rFonts w:ascii="Abadi" w:hAnsi="Abadi" w:cs="Helvetica"/>
                <w:sz w:val="20"/>
                <w:szCs w:val="20"/>
              </w:rPr>
              <w:br/>
              <w:t>Promotes physical activity and wellbeing</w:t>
            </w:r>
            <w:r w:rsidRPr="00954795">
              <w:rPr>
                <w:rFonts w:ascii="Abadi" w:hAnsi="Abadi" w:cs="Helvetica"/>
                <w:sz w:val="20"/>
                <w:szCs w:val="20"/>
              </w:rPr>
              <w:br/>
              <w:t>Enhances communication, turn-taking and teamwork</w:t>
            </w:r>
          </w:p>
        </w:tc>
        <w:tc>
          <w:tcPr>
            <w:tcW w:w="2268" w:type="dxa"/>
            <w:vAlign w:val="center"/>
          </w:tcPr>
          <w:p w14:paraId="58A3E9DE" w14:textId="77777777" w:rsidR="00B36E66" w:rsidRPr="00954795" w:rsidRDefault="00B36E66" w:rsidP="00313D26">
            <w:pPr>
              <w:rPr>
                <w:rFonts w:ascii="Abadi" w:hAnsi="Abadi"/>
                <w:sz w:val="20"/>
                <w:szCs w:val="20"/>
              </w:rPr>
            </w:pPr>
            <w:r w:rsidRPr="00954795">
              <w:rPr>
                <w:rFonts w:ascii="Abadi" w:hAnsi="Abadi"/>
                <w:sz w:val="20"/>
                <w:szCs w:val="20"/>
              </w:rPr>
              <w:t>Slips, trips and falls</w:t>
            </w:r>
            <w:r w:rsidRPr="00954795">
              <w:rPr>
                <w:rFonts w:ascii="Abadi" w:hAnsi="Abadi"/>
                <w:sz w:val="20"/>
                <w:szCs w:val="20"/>
              </w:rPr>
              <w:br/>
              <w:t>Collisions during running or scooter board activities</w:t>
            </w:r>
            <w:r w:rsidRPr="00954795">
              <w:rPr>
                <w:rFonts w:ascii="Abadi" w:hAnsi="Abadi"/>
                <w:sz w:val="20"/>
                <w:szCs w:val="20"/>
              </w:rPr>
              <w:br/>
              <w:t>Overexertion or fatigue</w:t>
            </w:r>
            <w:r w:rsidRPr="00954795">
              <w:rPr>
                <w:rFonts w:ascii="Abadi" w:hAnsi="Abadi"/>
                <w:sz w:val="20"/>
                <w:szCs w:val="20"/>
              </w:rPr>
              <w:br/>
              <w:t>Sensory overload</w:t>
            </w:r>
            <w:r w:rsidRPr="00954795">
              <w:rPr>
                <w:rFonts w:ascii="Abadi" w:hAnsi="Abadi"/>
                <w:sz w:val="20"/>
                <w:szCs w:val="20"/>
              </w:rPr>
              <w:br/>
              <w:t>Misuse of equipment</w:t>
            </w:r>
            <w:r w:rsidRPr="00954795">
              <w:rPr>
                <w:rFonts w:ascii="Abadi" w:hAnsi="Abadi"/>
                <w:sz w:val="20"/>
                <w:szCs w:val="20"/>
              </w:rPr>
              <w:br/>
              <w:t>Weather-related risks</w:t>
            </w:r>
            <w:r w:rsidRPr="00954795">
              <w:rPr>
                <w:rFonts w:ascii="Abadi" w:hAnsi="Abadi"/>
                <w:sz w:val="20"/>
                <w:szCs w:val="20"/>
              </w:rPr>
              <w:br/>
              <w:t>Minor scratches or stings</w:t>
            </w:r>
          </w:p>
        </w:tc>
        <w:tc>
          <w:tcPr>
            <w:tcW w:w="993" w:type="dxa"/>
            <w:vAlign w:val="center"/>
          </w:tcPr>
          <w:p w14:paraId="234FDD57" w14:textId="77777777" w:rsidR="00B36E66" w:rsidRPr="00954795" w:rsidRDefault="00B36E66" w:rsidP="00313D26">
            <w:pPr>
              <w:rPr>
                <w:rFonts w:ascii="Abadi" w:hAnsi="Abadi"/>
                <w:sz w:val="20"/>
                <w:szCs w:val="20"/>
              </w:rPr>
            </w:pPr>
            <w:r w:rsidRPr="00954795">
              <w:rPr>
                <w:rFonts w:ascii="Abadi" w:hAnsi="Abadi"/>
                <w:sz w:val="20"/>
                <w:szCs w:val="20"/>
              </w:rPr>
              <w:t>Young people, adults</w:t>
            </w:r>
          </w:p>
        </w:tc>
        <w:tc>
          <w:tcPr>
            <w:tcW w:w="5670" w:type="dxa"/>
            <w:vAlign w:val="center"/>
          </w:tcPr>
          <w:p w14:paraId="49EB1777" w14:textId="7397DB98" w:rsidR="00B36E66" w:rsidRPr="00954795" w:rsidRDefault="00B36E66" w:rsidP="00313D26">
            <w:pPr>
              <w:contextualSpacing/>
              <w:rPr>
                <w:rFonts w:ascii="Abadi" w:hAnsi="Abadi" w:cs="Helvetica"/>
                <w:sz w:val="20"/>
                <w:szCs w:val="20"/>
              </w:rPr>
            </w:pPr>
            <w:r w:rsidRPr="00954795">
              <w:rPr>
                <w:rFonts w:ascii="Abadi" w:hAnsi="Abadi" w:cs="Helvetica"/>
                <w:sz w:val="20"/>
                <w:szCs w:val="20"/>
              </w:rPr>
              <w:t xml:space="preserve">Pre-session site </w:t>
            </w:r>
            <w:r w:rsidRPr="00954795">
              <w:rPr>
                <w:rFonts w:ascii="Abadi" w:hAnsi="Abadi" w:cs="Helvetica"/>
                <w:sz w:val="20"/>
                <w:szCs w:val="20"/>
              </w:rPr>
              <w:t>checks</w:t>
            </w:r>
            <w:r w:rsidRPr="00954795">
              <w:rPr>
                <w:rFonts w:ascii="Abadi" w:hAnsi="Abadi" w:cs="Helvetica"/>
                <w:sz w:val="20"/>
                <w:szCs w:val="20"/>
              </w:rPr>
              <w:br/>
              <w:t>Clear boundaries</w:t>
            </w:r>
            <w:r w:rsidRPr="00954795">
              <w:rPr>
                <w:rFonts w:ascii="Abadi" w:hAnsi="Abadi" w:cs="Helvetica"/>
                <w:sz w:val="20"/>
                <w:szCs w:val="20"/>
              </w:rPr>
              <w:br/>
              <w:t>1:3 ratio</w:t>
            </w:r>
            <w:r w:rsidRPr="00954795">
              <w:rPr>
                <w:rFonts w:ascii="Abadi" w:hAnsi="Abadi" w:cs="Helvetica"/>
                <w:sz w:val="20"/>
                <w:szCs w:val="20"/>
              </w:rPr>
              <w:br/>
              <w:t>Demonstrations</w:t>
            </w:r>
            <w:r w:rsidRPr="00954795">
              <w:rPr>
                <w:rFonts w:ascii="Abadi" w:hAnsi="Abadi" w:cs="Helvetica"/>
                <w:sz w:val="20"/>
                <w:szCs w:val="20"/>
              </w:rPr>
              <w:br/>
              <w:t>Equipment checks</w:t>
            </w:r>
            <w:r w:rsidRPr="00954795">
              <w:rPr>
                <w:rFonts w:ascii="Abadi" w:hAnsi="Abadi" w:cs="Helvetica"/>
                <w:sz w:val="20"/>
                <w:szCs w:val="20"/>
              </w:rPr>
              <w:br/>
              <w:t>Spaced activities</w:t>
            </w:r>
            <w:r w:rsidRPr="00954795">
              <w:rPr>
                <w:rFonts w:ascii="Abadi" w:hAnsi="Abadi" w:cs="Helvetica"/>
                <w:sz w:val="20"/>
                <w:szCs w:val="20"/>
              </w:rPr>
              <w:br/>
              <w:t>Weather-appropriate adjustments</w:t>
            </w:r>
            <w:r w:rsidRPr="00954795">
              <w:rPr>
                <w:rFonts w:ascii="Abadi" w:hAnsi="Abadi" w:cs="Helvetica"/>
                <w:sz w:val="20"/>
                <w:szCs w:val="20"/>
              </w:rPr>
              <w:br/>
              <w:t>Hydration breaks</w:t>
            </w:r>
            <w:r w:rsidRPr="00954795">
              <w:rPr>
                <w:rFonts w:ascii="Abadi" w:hAnsi="Abadi" w:cs="Helvetica"/>
                <w:sz w:val="20"/>
                <w:szCs w:val="20"/>
              </w:rPr>
              <w:br/>
              <w:t>Alternative tasks</w:t>
            </w:r>
            <w:r w:rsidRPr="00954795">
              <w:rPr>
                <w:rFonts w:ascii="Abadi" w:hAnsi="Abadi" w:cs="Helvetica"/>
                <w:sz w:val="20"/>
                <w:szCs w:val="20"/>
              </w:rPr>
              <w:br/>
              <w:t>Staff are aware of needs</w:t>
            </w:r>
            <w:r w:rsidRPr="00954795">
              <w:rPr>
                <w:rFonts w:ascii="Abadi" w:hAnsi="Abadi" w:cs="Helvetica"/>
                <w:sz w:val="20"/>
                <w:szCs w:val="20"/>
              </w:rPr>
              <w:br/>
              <w:t>First aid available</w:t>
            </w:r>
          </w:p>
        </w:tc>
        <w:tc>
          <w:tcPr>
            <w:tcW w:w="1134" w:type="dxa"/>
            <w:vAlign w:val="center"/>
          </w:tcPr>
          <w:p w14:paraId="5AF0074C" w14:textId="77777777" w:rsidR="00B36E66" w:rsidRPr="00954795" w:rsidRDefault="00B36E66" w:rsidP="00313D26">
            <w:pPr>
              <w:rPr>
                <w:rFonts w:ascii="Abadi" w:hAnsi="Abadi"/>
              </w:rPr>
            </w:pPr>
            <w:r w:rsidRPr="00954795">
              <w:rPr>
                <w:rFonts w:ascii="Abadi" w:hAnsi="Abadi"/>
              </w:rPr>
              <w:t>Medium</w:t>
            </w:r>
          </w:p>
        </w:tc>
      </w:tr>
      <w:tr w:rsidR="00B36E66" w:rsidRPr="00117C97" w14:paraId="3E9B7D1E" w14:textId="77777777" w:rsidTr="00313D26">
        <w:trPr>
          <w:cantSplit/>
          <w:trHeight w:val="1284"/>
        </w:trPr>
        <w:tc>
          <w:tcPr>
            <w:tcW w:w="1560" w:type="dxa"/>
            <w:vAlign w:val="center"/>
          </w:tcPr>
          <w:p w14:paraId="60FC710D" w14:textId="77777777" w:rsidR="00B36E66" w:rsidRPr="00954795" w:rsidRDefault="00B36E66" w:rsidP="00313D26">
            <w:pPr>
              <w:autoSpaceDE w:val="0"/>
              <w:autoSpaceDN w:val="0"/>
              <w:adjustRightInd w:val="0"/>
              <w:rPr>
                <w:rFonts w:ascii="Abadi" w:hAnsi="Abadi" w:cs="Helvetica"/>
                <w:sz w:val="20"/>
                <w:szCs w:val="20"/>
              </w:rPr>
            </w:pPr>
            <w:r w:rsidRPr="00954795">
              <w:rPr>
                <w:rFonts w:ascii="Abadi" w:hAnsi="Abadi" w:cs="Helvetica"/>
                <w:sz w:val="20"/>
                <w:szCs w:val="20"/>
              </w:rPr>
              <w:lastRenderedPageBreak/>
              <w:t>Use of Natural Materials (logs, stepping stones, loose parts)</w:t>
            </w:r>
          </w:p>
        </w:tc>
        <w:tc>
          <w:tcPr>
            <w:tcW w:w="2976" w:type="dxa"/>
            <w:vAlign w:val="center"/>
          </w:tcPr>
          <w:p w14:paraId="4F89E673" w14:textId="77777777" w:rsidR="00B36E66" w:rsidRPr="00954795" w:rsidRDefault="00B36E66" w:rsidP="00313D26">
            <w:pPr>
              <w:autoSpaceDE w:val="0"/>
              <w:autoSpaceDN w:val="0"/>
              <w:adjustRightInd w:val="0"/>
              <w:rPr>
                <w:rFonts w:ascii="Abadi" w:hAnsi="Abadi" w:cs="Helvetica"/>
                <w:sz w:val="20"/>
                <w:szCs w:val="20"/>
              </w:rPr>
            </w:pPr>
            <w:r w:rsidRPr="00954795">
              <w:rPr>
                <w:rFonts w:ascii="Abadi" w:hAnsi="Abadi" w:cs="Helvetica"/>
                <w:sz w:val="20"/>
                <w:szCs w:val="20"/>
              </w:rPr>
              <w:t>Encourages exploration and problem-solving</w:t>
            </w:r>
            <w:r w:rsidRPr="00954795">
              <w:rPr>
                <w:rFonts w:ascii="Abadi" w:hAnsi="Abadi" w:cs="Helvetica"/>
                <w:sz w:val="20"/>
                <w:szCs w:val="20"/>
              </w:rPr>
              <w:br/>
              <w:t>Develops balance, coordination and motor planning</w:t>
            </w:r>
            <w:r w:rsidRPr="00954795">
              <w:rPr>
                <w:rFonts w:ascii="Abadi" w:hAnsi="Abadi" w:cs="Helvetica"/>
                <w:sz w:val="20"/>
                <w:szCs w:val="20"/>
              </w:rPr>
              <w:br/>
              <w:t>Provides tactile sensory input</w:t>
            </w:r>
            <w:r w:rsidRPr="00954795">
              <w:rPr>
                <w:rFonts w:ascii="Abadi" w:hAnsi="Abadi" w:cs="Helvetica"/>
                <w:sz w:val="20"/>
                <w:szCs w:val="20"/>
              </w:rPr>
              <w:br/>
              <w:t>Supports imaginative play</w:t>
            </w:r>
          </w:p>
        </w:tc>
        <w:tc>
          <w:tcPr>
            <w:tcW w:w="2268" w:type="dxa"/>
            <w:vAlign w:val="center"/>
          </w:tcPr>
          <w:p w14:paraId="785AA4BD" w14:textId="77777777" w:rsidR="00B36E66" w:rsidRPr="00954795" w:rsidRDefault="00B36E66" w:rsidP="00313D26">
            <w:pPr>
              <w:ind w:left="360"/>
              <w:contextualSpacing/>
              <w:rPr>
                <w:rFonts w:ascii="Abadi" w:hAnsi="Abadi" w:cs="Helvetica"/>
                <w:sz w:val="20"/>
                <w:szCs w:val="20"/>
              </w:rPr>
            </w:pPr>
            <w:r w:rsidRPr="00954795">
              <w:rPr>
                <w:rFonts w:ascii="Abadi" w:hAnsi="Abadi" w:cs="Helvetica"/>
                <w:sz w:val="20"/>
                <w:szCs w:val="20"/>
              </w:rPr>
              <w:t>Splinters, minor cuts or grazes</w:t>
            </w:r>
            <w:r w:rsidRPr="00954795">
              <w:rPr>
                <w:rFonts w:ascii="Abadi" w:hAnsi="Abadi" w:cs="Helvetica"/>
                <w:sz w:val="20"/>
                <w:szCs w:val="20"/>
              </w:rPr>
              <w:br/>
              <w:t>Slips or falls</w:t>
            </w:r>
            <w:r w:rsidRPr="00954795">
              <w:rPr>
                <w:rFonts w:ascii="Abadi" w:hAnsi="Abadi" w:cs="Helvetica"/>
                <w:sz w:val="20"/>
                <w:szCs w:val="20"/>
              </w:rPr>
              <w:br/>
              <w:t>Loose materials</w:t>
            </w:r>
            <w:r>
              <w:rPr>
                <w:rFonts w:ascii="Abadi" w:hAnsi="Abadi" w:cs="Helvetica"/>
                <w:sz w:val="20"/>
                <w:szCs w:val="20"/>
              </w:rPr>
              <w:t xml:space="preserve"> </w:t>
            </w:r>
            <w:r w:rsidRPr="00954795">
              <w:rPr>
                <w:rFonts w:ascii="Abadi" w:hAnsi="Abadi" w:cs="Helvetica"/>
                <w:sz w:val="20"/>
                <w:szCs w:val="20"/>
              </w:rPr>
              <w:t>becoming trip hazards</w:t>
            </w:r>
          </w:p>
        </w:tc>
        <w:tc>
          <w:tcPr>
            <w:tcW w:w="993" w:type="dxa"/>
            <w:vAlign w:val="center"/>
          </w:tcPr>
          <w:p w14:paraId="486ED421" w14:textId="77777777" w:rsidR="00B36E66" w:rsidRPr="00954795" w:rsidRDefault="00B36E66" w:rsidP="00313D26">
            <w:pPr>
              <w:autoSpaceDE w:val="0"/>
              <w:autoSpaceDN w:val="0"/>
              <w:adjustRightInd w:val="0"/>
              <w:rPr>
                <w:rFonts w:ascii="Abadi" w:hAnsi="Abadi" w:cs="Helvetica"/>
                <w:sz w:val="20"/>
                <w:szCs w:val="20"/>
              </w:rPr>
            </w:pPr>
            <w:r>
              <w:rPr>
                <w:rFonts w:ascii="Abadi" w:hAnsi="Abadi" w:cs="Helvetica"/>
                <w:sz w:val="20"/>
                <w:szCs w:val="20"/>
              </w:rPr>
              <w:t>Young people</w:t>
            </w:r>
          </w:p>
        </w:tc>
        <w:tc>
          <w:tcPr>
            <w:tcW w:w="5670" w:type="dxa"/>
            <w:vAlign w:val="center"/>
          </w:tcPr>
          <w:p w14:paraId="5ECCDE5D" w14:textId="77777777" w:rsidR="00B36E66" w:rsidRPr="00954795" w:rsidRDefault="00B36E66" w:rsidP="00313D26">
            <w:pPr>
              <w:autoSpaceDE w:val="0"/>
              <w:autoSpaceDN w:val="0"/>
              <w:adjustRightInd w:val="0"/>
              <w:ind w:left="360"/>
              <w:contextualSpacing/>
              <w:rPr>
                <w:rFonts w:ascii="Abadi" w:hAnsi="Abadi" w:cs="Helvetica"/>
                <w:sz w:val="20"/>
                <w:szCs w:val="20"/>
              </w:rPr>
            </w:pPr>
            <w:r w:rsidRPr="00954795">
              <w:rPr>
                <w:rFonts w:ascii="Abadi" w:hAnsi="Abadi" w:cs="Helvetica"/>
                <w:sz w:val="20"/>
                <w:szCs w:val="20"/>
              </w:rPr>
              <w:t>Logs and stones checked</w:t>
            </w:r>
            <w:r w:rsidRPr="00954795">
              <w:rPr>
                <w:rFonts w:ascii="Abadi" w:hAnsi="Abadi" w:cs="Helvetica"/>
                <w:sz w:val="20"/>
                <w:szCs w:val="20"/>
              </w:rPr>
              <w:br/>
              <w:t>Remove debris</w:t>
            </w:r>
            <w:r w:rsidRPr="00954795">
              <w:rPr>
                <w:rFonts w:ascii="Abadi" w:hAnsi="Abadi" w:cs="Helvetica"/>
                <w:sz w:val="20"/>
                <w:szCs w:val="20"/>
              </w:rPr>
              <w:br/>
              <w:t>Ensure dry surfaces</w:t>
            </w:r>
            <w:r w:rsidRPr="00954795">
              <w:rPr>
                <w:rFonts w:ascii="Abadi" w:hAnsi="Abadi" w:cs="Helvetica"/>
                <w:sz w:val="20"/>
                <w:szCs w:val="20"/>
              </w:rPr>
              <w:br/>
              <w:t>Adult supervision</w:t>
            </w:r>
            <w:r w:rsidRPr="00954795">
              <w:rPr>
                <w:rFonts w:ascii="Abadi" w:hAnsi="Abadi" w:cs="Helvetica"/>
                <w:sz w:val="20"/>
                <w:szCs w:val="20"/>
              </w:rPr>
              <w:br/>
              <w:t>Clear instructions</w:t>
            </w:r>
          </w:p>
        </w:tc>
        <w:tc>
          <w:tcPr>
            <w:tcW w:w="1134" w:type="dxa"/>
            <w:vAlign w:val="center"/>
          </w:tcPr>
          <w:p w14:paraId="747B7098" w14:textId="77777777" w:rsidR="00B36E66" w:rsidRPr="00117C97" w:rsidRDefault="00B36E66" w:rsidP="00313D26">
            <w:pPr>
              <w:rPr>
                <w:rFonts w:ascii="Calibri" w:hAnsi="Calibri"/>
                <w:sz w:val="24"/>
                <w:szCs w:val="24"/>
              </w:rPr>
            </w:pPr>
            <w:r>
              <w:rPr>
                <w:rFonts w:ascii="Calibri" w:hAnsi="Calibri"/>
                <w:sz w:val="24"/>
                <w:szCs w:val="24"/>
              </w:rPr>
              <w:t>Medium</w:t>
            </w:r>
          </w:p>
        </w:tc>
      </w:tr>
      <w:tr w:rsidR="00B36E66" w:rsidRPr="00117C97" w14:paraId="2615E63F" w14:textId="77777777" w:rsidTr="00313D26">
        <w:trPr>
          <w:cantSplit/>
          <w:trHeight w:val="1274"/>
        </w:trPr>
        <w:tc>
          <w:tcPr>
            <w:tcW w:w="1560" w:type="dxa"/>
            <w:vAlign w:val="center"/>
          </w:tcPr>
          <w:p w14:paraId="6E1BB226" w14:textId="77777777" w:rsidR="00B36E66" w:rsidRPr="00954795" w:rsidRDefault="00B36E66" w:rsidP="00313D26">
            <w:pPr>
              <w:rPr>
                <w:rFonts w:ascii="Abadi" w:hAnsi="Abadi" w:cs="Helvetica"/>
                <w:sz w:val="20"/>
                <w:szCs w:val="20"/>
              </w:rPr>
            </w:pPr>
            <w:r w:rsidRPr="00954795">
              <w:rPr>
                <w:rFonts w:ascii="Abadi" w:hAnsi="Abadi" w:cs="Helvetica"/>
                <w:sz w:val="20"/>
                <w:szCs w:val="20"/>
              </w:rPr>
              <w:t>Calming Zone (breathing, mindfulness, quiet tent)</w:t>
            </w:r>
          </w:p>
        </w:tc>
        <w:tc>
          <w:tcPr>
            <w:tcW w:w="2976" w:type="dxa"/>
            <w:vAlign w:val="center"/>
          </w:tcPr>
          <w:p w14:paraId="378E5C3C" w14:textId="77777777" w:rsidR="00B36E66" w:rsidRPr="00954795" w:rsidRDefault="00B36E66" w:rsidP="00313D26">
            <w:pPr>
              <w:autoSpaceDE w:val="0"/>
              <w:autoSpaceDN w:val="0"/>
              <w:adjustRightInd w:val="0"/>
              <w:rPr>
                <w:rFonts w:ascii="Abadi" w:hAnsi="Abadi" w:cs="Helvetica"/>
                <w:sz w:val="20"/>
                <w:szCs w:val="20"/>
              </w:rPr>
            </w:pPr>
            <w:r w:rsidRPr="00954795">
              <w:rPr>
                <w:rFonts w:ascii="Abadi" w:hAnsi="Abadi" w:cs="Helvetica"/>
                <w:sz w:val="20"/>
                <w:szCs w:val="20"/>
              </w:rPr>
              <w:t>Supports emotional regulation</w:t>
            </w:r>
            <w:r w:rsidRPr="00954795">
              <w:rPr>
                <w:rFonts w:ascii="Abadi" w:hAnsi="Abadi" w:cs="Helvetica"/>
                <w:sz w:val="20"/>
                <w:szCs w:val="20"/>
              </w:rPr>
              <w:br/>
              <w:t>Reduces anxiety</w:t>
            </w:r>
            <w:r w:rsidRPr="00954795">
              <w:rPr>
                <w:rFonts w:ascii="Abadi" w:hAnsi="Abadi" w:cs="Helvetica"/>
                <w:sz w:val="20"/>
                <w:szCs w:val="20"/>
              </w:rPr>
              <w:br/>
              <w:t>Encourages self-awareness</w:t>
            </w:r>
            <w:r w:rsidRPr="00954795">
              <w:rPr>
                <w:rFonts w:ascii="Abadi" w:hAnsi="Abadi" w:cs="Helvetica"/>
                <w:sz w:val="20"/>
                <w:szCs w:val="20"/>
              </w:rPr>
              <w:br/>
              <w:t>Provides a safe space</w:t>
            </w:r>
          </w:p>
        </w:tc>
        <w:tc>
          <w:tcPr>
            <w:tcW w:w="2268" w:type="dxa"/>
            <w:vAlign w:val="center"/>
          </w:tcPr>
          <w:p w14:paraId="6B752A28" w14:textId="77777777" w:rsidR="00B36E66" w:rsidRPr="00954795" w:rsidRDefault="00B36E66" w:rsidP="00313D26">
            <w:pPr>
              <w:ind w:left="360"/>
              <w:contextualSpacing/>
              <w:rPr>
                <w:rFonts w:ascii="Abadi" w:hAnsi="Abadi" w:cs="Helvetica"/>
                <w:sz w:val="20"/>
                <w:szCs w:val="20"/>
              </w:rPr>
            </w:pPr>
            <w:r w:rsidRPr="00954795">
              <w:rPr>
                <w:rFonts w:ascii="Abadi" w:hAnsi="Abadi" w:cs="Helvetica"/>
                <w:sz w:val="20"/>
                <w:szCs w:val="20"/>
              </w:rPr>
              <w:t>Tripping on tent lines or cushions</w:t>
            </w:r>
            <w:r w:rsidRPr="00954795">
              <w:rPr>
                <w:rFonts w:ascii="Abadi" w:hAnsi="Abadi" w:cs="Helvetica"/>
                <w:sz w:val="20"/>
                <w:szCs w:val="20"/>
              </w:rPr>
              <w:br/>
              <w:t>Overcrowding</w:t>
            </w:r>
            <w:r w:rsidRPr="00954795">
              <w:rPr>
                <w:rFonts w:ascii="Abadi" w:hAnsi="Abadi" w:cs="Helvetica"/>
                <w:sz w:val="20"/>
                <w:szCs w:val="20"/>
              </w:rPr>
              <w:br/>
              <w:t>Allergies</w:t>
            </w:r>
          </w:p>
        </w:tc>
        <w:tc>
          <w:tcPr>
            <w:tcW w:w="993" w:type="dxa"/>
            <w:vAlign w:val="center"/>
          </w:tcPr>
          <w:p w14:paraId="08DF41DC" w14:textId="77777777" w:rsidR="00B36E66" w:rsidRPr="00954795" w:rsidRDefault="00B36E66" w:rsidP="00313D26">
            <w:pPr>
              <w:autoSpaceDE w:val="0"/>
              <w:autoSpaceDN w:val="0"/>
              <w:adjustRightInd w:val="0"/>
              <w:rPr>
                <w:rFonts w:ascii="Abadi" w:hAnsi="Abadi" w:cs="Helvetica"/>
              </w:rPr>
            </w:pPr>
            <w:r w:rsidRPr="00954795">
              <w:rPr>
                <w:rFonts w:ascii="Abadi" w:hAnsi="Abadi" w:cs="Helvetica"/>
              </w:rPr>
              <w:t>Young people</w:t>
            </w:r>
          </w:p>
        </w:tc>
        <w:tc>
          <w:tcPr>
            <w:tcW w:w="5670" w:type="dxa"/>
            <w:vAlign w:val="center"/>
          </w:tcPr>
          <w:p w14:paraId="77EE5C2D" w14:textId="77777777" w:rsidR="00B36E66" w:rsidRPr="00954795" w:rsidRDefault="00B36E66" w:rsidP="00313D26">
            <w:pPr>
              <w:autoSpaceDE w:val="0"/>
              <w:autoSpaceDN w:val="0"/>
              <w:adjustRightInd w:val="0"/>
              <w:ind w:left="360"/>
              <w:contextualSpacing/>
              <w:rPr>
                <w:rFonts w:ascii="Abadi" w:hAnsi="Abadi" w:cs="Helvetica"/>
                <w:sz w:val="20"/>
                <w:szCs w:val="20"/>
              </w:rPr>
            </w:pPr>
            <w:r w:rsidRPr="00954795">
              <w:rPr>
                <w:rFonts w:ascii="Abadi" w:hAnsi="Abadi" w:cs="Helvetica"/>
                <w:sz w:val="20"/>
                <w:szCs w:val="20"/>
              </w:rPr>
              <w:t>Tent securely anchored</w:t>
            </w:r>
            <w:r w:rsidRPr="00954795">
              <w:rPr>
                <w:rFonts w:ascii="Abadi" w:hAnsi="Abadi" w:cs="Helvetica"/>
                <w:sz w:val="20"/>
                <w:szCs w:val="20"/>
              </w:rPr>
              <w:br/>
              <w:t>Limit numbers</w:t>
            </w:r>
            <w:r w:rsidRPr="00954795">
              <w:rPr>
                <w:rFonts w:ascii="Abadi" w:hAnsi="Abadi" w:cs="Helvetica"/>
                <w:sz w:val="20"/>
                <w:szCs w:val="20"/>
              </w:rPr>
              <w:br/>
              <w:t>Alternative calming tools</w:t>
            </w:r>
            <w:r w:rsidRPr="00954795">
              <w:rPr>
                <w:rFonts w:ascii="Abadi" w:hAnsi="Abadi" w:cs="Helvetica"/>
                <w:sz w:val="20"/>
                <w:szCs w:val="20"/>
              </w:rPr>
              <w:br/>
              <w:t>Adult supervision</w:t>
            </w:r>
          </w:p>
        </w:tc>
        <w:tc>
          <w:tcPr>
            <w:tcW w:w="1134" w:type="dxa"/>
            <w:vAlign w:val="center"/>
          </w:tcPr>
          <w:p w14:paraId="0E532096" w14:textId="77777777" w:rsidR="00B36E66" w:rsidRPr="00117C97" w:rsidRDefault="00B36E66" w:rsidP="00313D26">
            <w:pPr>
              <w:rPr>
                <w:rFonts w:ascii="Cambria" w:hAnsi="Cambria"/>
                <w:sz w:val="24"/>
                <w:szCs w:val="24"/>
              </w:rPr>
            </w:pPr>
            <w:r>
              <w:rPr>
                <w:rFonts w:ascii="Cambria" w:hAnsi="Cambria"/>
                <w:sz w:val="24"/>
                <w:szCs w:val="24"/>
              </w:rPr>
              <w:t xml:space="preserve">Low </w:t>
            </w:r>
          </w:p>
        </w:tc>
      </w:tr>
      <w:tr w:rsidR="00B36E66" w:rsidRPr="00117C97" w14:paraId="682075D5" w14:textId="77777777" w:rsidTr="00313D26">
        <w:trPr>
          <w:cantSplit/>
          <w:trHeight w:val="1277"/>
        </w:trPr>
        <w:tc>
          <w:tcPr>
            <w:tcW w:w="1560" w:type="dxa"/>
            <w:vAlign w:val="center"/>
          </w:tcPr>
          <w:p w14:paraId="312ECADE" w14:textId="77777777" w:rsidR="00B36E66" w:rsidRPr="002D4551" w:rsidRDefault="00B36E66" w:rsidP="00313D26">
            <w:pPr>
              <w:rPr>
                <w:rFonts w:ascii="Abadi" w:hAnsi="Abadi" w:cs="Helvetica"/>
                <w:sz w:val="20"/>
                <w:szCs w:val="20"/>
              </w:rPr>
            </w:pPr>
            <w:r w:rsidRPr="002D4551">
              <w:rPr>
                <w:rFonts w:ascii="Abadi" w:hAnsi="Abadi" w:cs="Helvetica"/>
                <w:sz w:val="20"/>
                <w:szCs w:val="20"/>
              </w:rPr>
              <w:t>Alerting Sensory Activities</w:t>
            </w:r>
          </w:p>
        </w:tc>
        <w:tc>
          <w:tcPr>
            <w:tcW w:w="2976" w:type="dxa"/>
            <w:vAlign w:val="center"/>
          </w:tcPr>
          <w:p w14:paraId="6B29612A" w14:textId="77777777" w:rsidR="00B36E66" w:rsidRPr="002D4551" w:rsidRDefault="00B36E66" w:rsidP="00313D26">
            <w:pPr>
              <w:autoSpaceDE w:val="0"/>
              <w:autoSpaceDN w:val="0"/>
              <w:adjustRightInd w:val="0"/>
              <w:rPr>
                <w:rFonts w:ascii="Abadi" w:hAnsi="Abadi" w:cs="Helvetica"/>
                <w:sz w:val="20"/>
                <w:szCs w:val="20"/>
              </w:rPr>
            </w:pPr>
            <w:r w:rsidRPr="002D4551">
              <w:rPr>
                <w:rFonts w:ascii="Abadi" w:hAnsi="Abadi" w:cs="Helvetica"/>
                <w:sz w:val="20"/>
                <w:szCs w:val="20"/>
              </w:rPr>
              <w:t>Increases energy levels and alertness</w:t>
            </w:r>
            <w:r w:rsidRPr="002D4551">
              <w:rPr>
                <w:rFonts w:ascii="Abadi" w:hAnsi="Abadi" w:cs="Helvetica"/>
                <w:sz w:val="20"/>
                <w:szCs w:val="20"/>
              </w:rPr>
              <w:br/>
              <w:t>Supports readiness to learn and engagement</w:t>
            </w:r>
            <w:r w:rsidRPr="002D4551">
              <w:rPr>
                <w:rFonts w:ascii="Abadi" w:hAnsi="Abadi" w:cs="Helvetica"/>
                <w:sz w:val="20"/>
                <w:szCs w:val="20"/>
              </w:rPr>
              <w:br/>
              <w:t>Improves focus and attention</w:t>
            </w:r>
            <w:r w:rsidRPr="002D4551">
              <w:rPr>
                <w:rFonts w:ascii="Abadi" w:hAnsi="Abadi" w:cs="Helvetica"/>
                <w:sz w:val="20"/>
                <w:szCs w:val="20"/>
              </w:rPr>
              <w:br/>
              <w:t>Provides appropriate sensory stimulation</w:t>
            </w:r>
            <w:r w:rsidRPr="002D4551">
              <w:rPr>
                <w:rFonts w:ascii="Abadi" w:hAnsi="Abadi" w:cs="Helvetica"/>
                <w:sz w:val="20"/>
                <w:szCs w:val="20"/>
              </w:rPr>
              <w:br/>
              <w:t>Promotes physical activity and wellbeing</w:t>
            </w:r>
          </w:p>
        </w:tc>
        <w:tc>
          <w:tcPr>
            <w:tcW w:w="2268" w:type="dxa"/>
            <w:vAlign w:val="center"/>
          </w:tcPr>
          <w:p w14:paraId="2D818324" w14:textId="77777777" w:rsidR="00B36E66" w:rsidRPr="002D4551" w:rsidRDefault="00B36E66" w:rsidP="00313D26">
            <w:pPr>
              <w:ind w:left="360"/>
              <w:contextualSpacing/>
              <w:rPr>
                <w:rFonts w:ascii="Abadi" w:hAnsi="Abadi" w:cs="Helvetica"/>
                <w:sz w:val="20"/>
                <w:szCs w:val="20"/>
              </w:rPr>
            </w:pPr>
            <w:r w:rsidRPr="002D4551">
              <w:rPr>
                <w:rFonts w:ascii="Abadi" w:hAnsi="Abadi" w:cs="Helvetica"/>
                <w:sz w:val="20"/>
                <w:szCs w:val="20"/>
              </w:rPr>
              <w:t>Collisions during running or fast-paced movement</w:t>
            </w:r>
            <w:r w:rsidRPr="002D4551">
              <w:rPr>
                <w:rFonts w:ascii="Abadi" w:hAnsi="Abadi" w:cs="Helvetica"/>
                <w:sz w:val="20"/>
                <w:szCs w:val="20"/>
              </w:rPr>
              <w:br/>
              <w:t>Slips, trips and falls</w:t>
            </w:r>
            <w:r w:rsidRPr="002D4551">
              <w:rPr>
                <w:rFonts w:ascii="Abadi" w:hAnsi="Abadi" w:cs="Helvetica"/>
                <w:sz w:val="20"/>
                <w:szCs w:val="20"/>
              </w:rPr>
              <w:br/>
              <w:t>Overexertion or fatigue</w:t>
            </w:r>
            <w:r w:rsidRPr="002D4551">
              <w:rPr>
                <w:rFonts w:ascii="Abadi" w:hAnsi="Abadi" w:cs="Helvetica"/>
                <w:sz w:val="20"/>
                <w:szCs w:val="20"/>
              </w:rPr>
              <w:br/>
              <w:t>Loss of spatial awareness</w:t>
            </w:r>
            <w:r w:rsidRPr="002D4551">
              <w:rPr>
                <w:rFonts w:ascii="Abadi" w:hAnsi="Abadi" w:cs="Helvetica"/>
                <w:sz w:val="20"/>
                <w:szCs w:val="20"/>
              </w:rPr>
              <w:br/>
              <w:t>Minor bumps or grazes</w:t>
            </w:r>
          </w:p>
        </w:tc>
        <w:tc>
          <w:tcPr>
            <w:tcW w:w="993" w:type="dxa"/>
            <w:vAlign w:val="center"/>
          </w:tcPr>
          <w:p w14:paraId="5C90D1B8" w14:textId="77777777" w:rsidR="00B36E66" w:rsidRPr="002D4551" w:rsidRDefault="00B36E66" w:rsidP="00313D26">
            <w:pPr>
              <w:autoSpaceDE w:val="0"/>
              <w:autoSpaceDN w:val="0"/>
              <w:adjustRightInd w:val="0"/>
              <w:rPr>
                <w:rFonts w:ascii="Abadi" w:hAnsi="Abadi" w:cs="Helvetica"/>
                <w:sz w:val="20"/>
                <w:szCs w:val="20"/>
              </w:rPr>
            </w:pPr>
            <w:r w:rsidRPr="002D4551">
              <w:rPr>
                <w:rFonts w:ascii="Abadi" w:hAnsi="Abadi" w:cs="Helvetica"/>
                <w:sz w:val="20"/>
                <w:szCs w:val="20"/>
              </w:rPr>
              <w:t>Young people</w:t>
            </w:r>
          </w:p>
        </w:tc>
        <w:tc>
          <w:tcPr>
            <w:tcW w:w="5670" w:type="dxa"/>
            <w:vAlign w:val="center"/>
          </w:tcPr>
          <w:p w14:paraId="3ACA7149" w14:textId="77777777" w:rsidR="00B36E66" w:rsidRPr="002D4551" w:rsidRDefault="00B36E66" w:rsidP="00313D26">
            <w:pPr>
              <w:autoSpaceDE w:val="0"/>
              <w:autoSpaceDN w:val="0"/>
              <w:adjustRightInd w:val="0"/>
              <w:ind w:left="360"/>
              <w:contextualSpacing/>
              <w:rPr>
                <w:rFonts w:ascii="Abadi" w:hAnsi="Abadi" w:cs="Helvetica"/>
                <w:sz w:val="20"/>
                <w:szCs w:val="20"/>
              </w:rPr>
            </w:pPr>
            <w:r w:rsidRPr="002D4551">
              <w:rPr>
                <w:rFonts w:ascii="Abadi" w:hAnsi="Abadi" w:cs="Helvetica"/>
                <w:sz w:val="20"/>
                <w:szCs w:val="20"/>
              </w:rPr>
              <w:t xml:space="preserve">Pre-session site </w:t>
            </w:r>
            <w:proofErr w:type="gramStart"/>
            <w:r w:rsidRPr="002D4551">
              <w:rPr>
                <w:rFonts w:ascii="Abadi" w:hAnsi="Abadi" w:cs="Helvetica"/>
                <w:sz w:val="20"/>
                <w:szCs w:val="20"/>
              </w:rPr>
              <w:t>check</w:t>
            </w:r>
            <w:proofErr w:type="gramEnd"/>
            <w:r w:rsidRPr="002D4551">
              <w:rPr>
                <w:rFonts w:ascii="Abadi" w:hAnsi="Abadi" w:cs="Helvetica"/>
                <w:sz w:val="20"/>
                <w:szCs w:val="20"/>
              </w:rPr>
              <w:br/>
              <w:t>Clear boundaries and designated running space</w:t>
            </w:r>
            <w:r w:rsidRPr="002D4551">
              <w:rPr>
                <w:rFonts w:ascii="Abadi" w:hAnsi="Abadi" w:cs="Helvetica"/>
                <w:sz w:val="20"/>
                <w:szCs w:val="20"/>
              </w:rPr>
              <w:br/>
              <w:t>1:3 staff ratio</w:t>
            </w:r>
            <w:r w:rsidRPr="002D4551">
              <w:rPr>
                <w:rFonts w:ascii="Abadi" w:hAnsi="Abadi" w:cs="Helvetica"/>
                <w:sz w:val="20"/>
                <w:szCs w:val="20"/>
              </w:rPr>
              <w:br/>
              <w:t xml:space="preserve">Adult supervision </w:t>
            </w:r>
            <w:proofErr w:type="gramStart"/>
            <w:r w:rsidRPr="002D4551">
              <w:rPr>
                <w:rFonts w:ascii="Abadi" w:hAnsi="Abadi" w:cs="Helvetica"/>
                <w:sz w:val="20"/>
                <w:szCs w:val="20"/>
              </w:rPr>
              <w:t>at all times</w:t>
            </w:r>
            <w:proofErr w:type="gramEnd"/>
            <w:r w:rsidRPr="002D4551">
              <w:rPr>
                <w:rFonts w:ascii="Abadi" w:hAnsi="Abadi" w:cs="Helvetica"/>
                <w:sz w:val="20"/>
                <w:szCs w:val="20"/>
              </w:rPr>
              <w:br/>
              <w:t>Clear instructions and demonstrations</w:t>
            </w:r>
            <w:r w:rsidRPr="002D4551">
              <w:rPr>
                <w:rFonts w:ascii="Abadi" w:hAnsi="Abadi" w:cs="Helvetica"/>
                <w:sz w:val="20"/>
                <w:szCs w:val="20"/>
              </w:rPr>
              <w:br/>
              <w:t>Spaced activities to reduce collisions</w:t>
            </w:r>
            <w:r w:rsidRPr="002D4551">
              <w:rPr>
                <w:rFonts w:ascii="Abadi" w:hAnsi="Abadi" w:cs="Helvetica"/>
                <w:sz w:val="20"/>
                <w:szCs w:val="20"/>
              </w:rPr>
              <w:br/>
              <w:t>Monitor for signs of fatigue</w:t>
            </w:r>
            <w:r w:rsidRPr="002D4551">
              <w:rPr>
                <w:rFonts w:ascii="Abadi" w:hAnsi="Abadi" w:cs="Helvetica"/>
                <w:sz w:val="20"/>
                <w:szCs w:val="20"/>
              </w:rPr>
              <w:br/>
              <w:t>Hydration breaks</w:t>
            </w:r>
            <w:r w:rsidRPr="002D4551">
              <w:rPr>
                <w:rFonts w:ascii="Abadi" w:hAnsi="Abadi" w:cs="Helvetica"/>
                <w:sz w:val="20"/>
                <w:szCs w:val="20"/>
              </w:rPr>
              <w:br/>
              <w:t>Appropriate footwear required</w:t>
            </w:r>
            <w:r w:rsidRPr="002D4551">
              <w:rPr>
                <w:rFonts w:ascii="Abadi" w:hAnsi="Abadi" w:cs="Helvetica"/>
                <w:sz w:val="20"/>
                <w:szCs w:val="20"/>
              </w:rPr>
              <w:br/>
              <w:t>First aid available</w:t>
            </w:r>
          </w:p>
        </w:tc>
        <w:tc>
          <w:tcPr>
            <w:tcW w:w="1134" w:type="dxa"/>
            <w:vAlign w:val="center"/>
          </w:tcPr>
          <w:p w14:paraId="0368D783" w14:textId="77777777" w:rsidR="00B36E66" w:rsidRPr="002D4551" w:rsidRDefault="00B36E66" w:rsidP="00313D26">
            <w:pPr>
              <w:rPr>
                <w:rFonts w:ascii="Abadi" w:hAnsi="Abadi"/>
                <w:sz w:val="20"/>
                <w:szCs w:val="20"/>
              </w:rPr>
            </w:pPr>
            <w:r w:rsidRPr="002D4551">
              <w:rPr>
                <w:rFonts w:ascii="Abadi" w:hAnsi="Abadi"/>
                <w:sz w:val="20"/>
                <w:szCs w:val="20"/>
              </w:rPr>
              <w:t>Medium</w:t>
            </w:r>
          </w:p>
        </w:tc>
      </w:tr>
      <w:tr w:rsidR="00B36E66" w:rsidRPr="00117C97" w14:paraId="3C65A0E1" w14:textId="77777777" w:rsidTr="00313D26">
        <w:trPr>
          <w:cantSplit/>
          <w:trHeight w:val="1277"/>
        </w:trPr>
        <w:tc>
          <w:tcPr>
            <w:tcW w:w="1560" w:type="dxa"/>
            <w:vAlign w:val="center"/>
          </w:tcPr>
          <w:p w14:paraId="405563E4" w14:textId="77777777" w:rsidR="00B36E66" w:rsidRPr="002D4551" w:rsidRDefault="00B36E66" w:rsidP="00313D26">
            <w:pPr>
              <w:rPr>
                <w:rFonts w:ascii="Abadi" w:hAnsi="Abadi" w:cs="Helvetica"/>
                <w:sz w:val="20"/>
                <w:szCs w:val="20"/>
              </w:rPr>
            </w:pPr>
            <w:r w:rsidRPr="002D4551">
              <w:rPr>
                <w:rFonts w:ascii="Abadi" w:hAnsi="Abadi" w:cs="Helvetica"/>
                <w:sz w:val="20"/>
                <w:szCs w:val="20"/>
              </w:rPr>
              <w:t>Organising Sensory Activities</w:t>
            </w:r>
          </w:p>
        </w:tc>
        <w:tc>
          <w:tcPr>
            <w:tcW w:w="2976" w:type="dxa"/>
            <w:vAlign w:val="center"/>
          </w:tcPr>
          <w:p w14:paraId="26E5F0CE" w14:textId="77777777" w:rsidR="00B36E66" w:rsidRPr="002D4551" w:rsidRDefault="00B36E66" w:rsidP="00313D26">
            <w:pPr>
              <w:autoSpaceDE w:val="0"/>
              <w:autoSpaceDN w:val="0"/>
              <w:adjustRightInd w:val="0"/>
              <w:rPr>
                <w:rFonts w:ascii="Abadi" w:hAnsi="Abadi" w:cs="Helvetica"/>
                <w:sz w:val="20"/>
                <w:szCs w:val="20"/>
              </w:rPr>
            </w:pPr>
            <w:r w:rsidRPr="002D4551">
              <w:rPr>
                <w:rFonts w:ascii="Abadi" w:hAnsi="Abadi" w:cs="Helvetica"/>
                <w:sz w:val="20"/>
                <w:szCs w:val="20"/>
              </w:rPr>
              <w:t>Develops coordination and balance</w:t>
            </w:r>
            <w:r w:rsidRPr="002D4551">
              <w:rPr>
                <w:rFonts w:ascii="Abadi" w:hAnsi="Abadi" w:cs="Helvetica"/>
                <w:sz w:val="20"/>
                <w:szCs w:val="20"/>
              </w:rPr>
              <w:br/>
              <w:t>Supports motor planning and body awareness</w:t>
            </w:r>
            <w:r w:rsidRPr="002D4551">
              <w:rPr>
                <w:rFonts w:ascii="Abadi" w:hAnsi="Abadi" w:cs="Helvetica"/>
                <w:sz w:val="20"/>
                <w:szCs w:val="20"/>
              </w:rPr>
              <w:br/>
              <w:t>Encourages problem-solving and sequencing skills</w:t>
            </w:r>
            <w:r w:rsidRPr="002D4551">
              <w:rPr>
                <w:rFonts w:ascii="Abadi" w:hAnsi="Abadi" w:cs="Helvetica"/>
                <w:sz w:val="20"/>
                <w:szCs w:val="20"/>
              </w:rPr>
              <w:br/>
              <w:t>Improves focus and ability to follow instructions</w:t>
            </w:r>
            <w:r w:rsidRPr="002D4551">
              <w:rPr>
                <w:rFonts w:ascii="Abadi" w:hAnsi="Abadi" w:cs="Helvetica"/>
                <w:sz w:val="20"/>
                <w:szCs w:val="20"/>
              </w:rPr>
              <w:br/>
              <w:t>Builds confidence and independence</w:t>
            </w:r>
          </w:p>
        </w:tc>
        <w:tc>
          <w:tcPr>
            <w:tcW w:w="2268" w:type="dxa"/>
            <w:vAlign w:val="center"/>
          </w:tcPr>
          <w:p w14:paraId="5E53D38B" w14:textId="77777777" w:rsidR="00B36E66" w:rsidRPr="002D4551" w:rsidRDefault="00B36E66" w:rsidP="00313D26">
            <w:pPr>
              <w:ind w:left="360"/>
              <w:contextualSpacing/>
              <w:rPr>
                <w:rFonts w:ascii="Abadi" w:hAnsi="Abadi" w:cs="Helvetica"/>
                <w:sz w:val="20"/>
                <w:szCs w:val="20"/>
              </w:rPr>
            </w:pPr>
            <w:r w:rsidRPr="002D4551">
              <w:rPr>
                <w:rFonts w:ascii="Abadi" w:hAnsi="Abadi" w:cs="Helvetica"/>
                <w:sz w:val="20"/>
                <w:szCs w:val="20"/>
              </w:rPr>
              <w:t>Falls from balancing equipment</w:t>
            </w:r>
            <w:r w:rsidRPr="002D4551">
              <w:rPr>
                <w:rFonts w:ascii="Abadi" w:hAnsi="Abadi" w:cs="Helvetica"/>
                <w:sz w:val="20"/>
                <w:szCs w:val="20"/>
              </w:rPr>
              <w:br/>
              <w:t>Trips over obstacles</w:t>
            </w:r>
            <w:r w:rsidRPr="002D4551">
              <w:rPr>
                <w:rFonts w:ascii="Abadi" w:hAnsi="Abadi" w:cs="Helvetica"/>
                <w:sz w:val="20"/>
                <w:szCs w:val="20"/>
              </w:rPr>
              <w:br/>
              <w:t>Misuse of equipment</w:t>
            </w:r>
            <w:r w:rsidRPr="002D4551">
              <w:rPr>
                <w:rFonts w:ascii="Abadi" w:hAnsi="Abadi" w:cs="Helvetica"/>
                <w:sz w:val="20"/>
                <w:szCs w:val="20"/>
              </w:rPr>
              <w:br/>
              <w:t>Frustration leading to unsafe movement</w:t>
            </w:r>
          </w:p>
        </w:tc>
        <w:tc>
          <w:tcPr>
            <w:tcW w:w="993" w:type="dxa"/>
            <w:vAlign w:val="center"/>
          </w:tcPr>
          <w:p w14:paraId="50E76AFD" w14:textId="77777777" w:rsidR="00B36E66" w:rsidRPr="002D4551" w:rsidRDefault="00B36E66" w:rsidP="00313D26">
            <w:pPr>
              <w:autoSpaceDE w:val="0"/>
              <w:autoSpaceDN w:val="0"/>
              <w:adjustRightInd w:val="0"/>
              <w:rPr>
                <w:rFonts w:ascii="Abadi" w:hAnsi="Abadi" w:cs="Helvetica"/>
                <w:sz w:val="20"/>
                <w:szCs w:val="20"/>
              </w:rPr>
            </w:pPr>
            <w:r>
              <w:rPr>
                <w:rFonts w:ascii="Abadi" w:hAnsi="Abadi" w:cs="Helvetica"/>
                <w:sz w:val="20"/>
                <w:szCs w:val="20"/>
              </w:rPr>
              <w:t>Young people</w:t>
            </w:r>
          </w:p>
        </w:tc>
        <w:tc>
          <w:tcPr>
            <w:tcW w:w="5670" w:type="dxa"/>
            <w:vAlign w:val="center"/>
          </w:tcPr>
          <w:p w14:paraId="5900508A" w14:textId="77777777" w:rsidR="00B36E66" w:rsidRPr="002D4551" w:rsidRDefault="00B36E66" w:rsidP="00313D26">
            <w:pPr>
              <w:autoSpaceDE w:val="0"/>
              <w:autoSpaceDN w:val="0"/>
              <w:adjustRightInd w:val="0"/>
              <w:ind w:left="360"/>
              <w:contextualSpacing/>
              <w:rPr>
                <w:rFonts w:ascii="Abadi" w:hAnsi="Abadi" w:cs="Helvetica"/>
                <w:sz w:val="20"/>
                <w:szCs w:val="20"/>
              </w:rPr>
            </w:pPr>
            <w:r w:rsidRPr="002D4551">
              <w:rPr>
                <w:rFonts w:ascii="Abadi" w:hAnsi="Abadi" w:cs="Helvetica"/>
                <w:sz w:val="20"/>
                <w:szCs w:val="20"/>
              </w:rPr>
              <w:t>Equipment checked before use</w:t>
            </w:r>
            <w:r w:rsidRPr="002D4551">
              <w:rPr>
                <w:rFonts w:ascii="Abadi" w:hAnsi="Abadi" w:cs="Helvetica"/>
                <w:sz w:val="20"/>
                <w:szCs w:val="20"/>
              </w:rPr>
              <w:br/>
              <w:t>Clear instructions and demonstrations</w:t>
            </w:r>
            <w:r w:rsidRPr="002D4551">
              <w:rPr>
                <w:rFonts w:ascii="Abadi" w:hAnsi="Abadi" w:cs="Helvetica"/>
                <w:sz w:val="20"/>
                <w:szCs w:val="20"/>
              </w:rPr>
              <w:br/>
              <w:t>Activities set up with safe spacing</w:t>
            </w:r>
            <w:r w:rsidRPr="002D4551">
              <w:rPr>
                <w:rFonts w:ascii="Abadi" w:hAnsi="Abadi" w:cs="Helvetica"/>
                <w:sz w:val="20"/>
                <w:szCs w:val="20"/>
              </w:rPr>
              <w:br/>
              <w:t>Appropriate challenge level for ability</w:t>
            </w:r>
            <w:r w:rsidRPr="002D4551">
              <w:rPr>
                <w:rFonts w:ascii="Abadi" w:hAnsi="Abadi" w:cs="Helvetica"/>
                <w:sz w:val="20"/>
                <w:szCs w:val="20"/>
              </w:rPr>
              <w:br/>
              <w:t>Adult supervision and support</w:t>
            </w:r>
            <w:r w:rsidRPr="002D4551">
              <w:rPr>
                <w:rFonts w:ascii="Abadi" w:hAnsi="Abadi" w:cs="Helvetica"/>
                <w:sz w:val="20"/>
                <w:szCs w:val="20"/>
              </w:rPr>
              <w:br/>
              <w:t>Encourage turn-taking to avoid overcrowding</w:t>
            </w:r>
            <w:r w:rsidRPr="002D4551">
              <w:rPr>
                <w:rFonts w:ascii="Abadi" w:hAnsi="Abadi" w:cs="Helvetica"/>
                <w:sz w:val="20"/>
                <w:szCs w:val="20"/>
              </w:rPr>
              <w:br/>
              <w:t>Modify tasks where needed</w:t>
            </w:r>
          </w:p>
        </w:tc>
        <w:tc>
          <w:tcPr>
            <w:tcW w:w="1134" w:type="dxa"/>
            <w:vAlign w:val="center"/>
          </w:tcPr>
          <w:p w14:paraId="7C1E95CC" w14:textId="77777777" w:rsidR="00B36E66" w:rsidRPr="002D4551" w:rsidRDefault="00B36E66" w:rsidP="00313D26">
            <w:pPr>
              <w:rPr>
                <w:rFonts w:ascii="Abadi" w:hAnsi="Abadi"/>
                <w:sz w:val="20"/>
                <w:szCs w:val="20"/>
              </w:rPr>
            </w:pPr>
            <w:r>
              <w:rPr>
                <w:rFonts w:ascii="Abadi" w:hAnsi="Abadi"/>
                <w:sz w:val="20"/>
                <w:szCs w:val="20"/>
              </w:rPr>
              <w:t xml:space="preserve">Medium </w:t>
            </w:r>
          </w:p>
        </w:tc>
      </w:tr>
    </w:tbl>
    <w:p w14:paraId="21D9B5A0" w14:textId="77777777" w:rsidR="00B36E66" w:rsidRPr="00117C97" w:rsidRDefault="00B36E66" w:rsidP="00B36E66">
      <w:pPr>
        <w:widowControl w:val="0"/>
        <w:autoSpaceDE w:val="0"/>
        <w:autoSpaceDN w:val="0"/>
        <w:adjustRightInd w:val="0"/>
        <w:spacing w:after="0" w:line="240" w:lineRule="auto"/>
        <w:rPr>
          <w:rFonts w:ascii="Calibri" w:eastAsia="MS Mincho" w:hAnsi="Calibri" w:cs="Geneva"/>
          <w:sz w:val="2"/>
          <w:szCs w:val="2"/>
          <w:lang w:val="en-US"/>
        </w:rPr>
      </w:pPr>
    </w:p>
    <w:p w14:paraId="38198574" w14:textId="77777777" w:rsidR="00B36E66" w:rsidRDefault="00B36E66" w:rsidP="00B36E66"/>
    <w:p w14:paraId="21AEBFF6" w14:textId="77777777" w:rsidR="00B36E66" w:rsidRPr="00B36E66" w:rsidRDefault="00B36E66" w:rsidP="00B36E66">
      <w:pPr>
        <w:rPr>
          <w:b/>
          <w:bCs/>
          <w:color w:val="000000" w:themeColor="text1"/>
          <w:sz w:val="28"/>
          <w:szCs w:val="28"/>
        </w:rPr>
      </w:pPr>
    </w:p>
    <w:p w14:paraId="3777C25A" w14:textId="37938679" w:rsidR="008D2FB0" w:rsidRDefault="008D2FB0" w:rsidP="008D2FB0">
      <w:pPr>
        <w:rPr>
          <w:b/>
          <w:bCs/>
          <w:sz w:val="32"/>
          <w:szCs w:val="32"/>
        </w:rPr>
      </w:pPr>
      <w:r>
        <w:rPr>
          <w:b/>
          <w:bCs/>
          <w:sz w:val="32"/>
          <w:szCs w:val="32"/>
        </w:rPr>
        <w:lastRenderedPageBreak/>
        <w:t>Element 4:</w:t>
      </w:r>
    </w:p>
    <w:p w14:paraId="009815E9" w14:textId="33B4BB07" w:rsidR="008D2FB0" w:rsidRPr="006605D4" w:rsidRDefault="008D2FB0" w:rsidP="008D2FB0">
      <w:pPr>
        <w:jc w:val="center"/>
        <w:rPr>
          <w:b/>
          <w:bCs/>
          <w:sz w:val="32"/>
          <w:szCs w:val="32"/>
        </w:rPr>
      </w:pPr>
      <w:r w:rsidRPr="006605D4">
        <w:rPr>
          <w:b/>
          <w:bCs/>
          <w:sz w:val="32"/>
          <w:szCs w:val="32"/>
        </w:rPr>
        <w:t>Literature Review: The Role of Outdoor Education</w:t>
      </w:r>
    </w:p>
    <w:p w14:paraId="658D300F" w14:textId="77777777" w:rsidR="008D2FB0" w:rsidRPr="006605D4" w:rsidRDefault="008D2FB0" w:rsidP="008D2FB0">
      <w:pPr>
        <w:jc w:val="center"/>
        <w:rPr>
          <w:b/>
          <w:bCs/>
          <w:sz w:val="32"/>
          <w:szCs w:val="32"/>
        </w:rPr>
      </w:pPr>
      <w:r w:rsidRPr="006605D4">
        <w:rPr>
          <w:b/>
          <w:bCs/>
          <w:sz w:val="32"/>
          <w:szCs w:val="32"/>
        </w:rPr>
        <w:t>Introduction</w:t>
      </w:r>
    </w:p>
    <w:p w14:paraId="747993ED" w14:textId="77777777" w:rsidR="008D2FB0" w:rsidRPr="006605D4" w:rsidRDefault="008D2FB0" w:rsidP="008D2FB0">
      <w:pPr>
        <w:rPr>
          <w:sz w:val="24"/>
          <w:szCs w:val="24"/>
        </w:rPr>
      </w:pPr>
      <w:r w:rsidRPr="006605D4">
        <w:rPr>
          <w:sz w:val="24"/>
          <w:szCs w:val="24"/>
        </w:rPr>
        <w:t>Working within an Enhanced Inclusion Provision (EIP), I have seen first</w:t>
      </w:r>
      <w:r w:rsidRPr="006605D4">
        <w:rPr>
          <w:sz w:val="24"/>
          <w:szCs w:val="24"/>
        </w:rPr>
        <w:noBreakHyphen/>
        <w:t>hand how outdoor education can shape pupils’ wellbeing, engagement, and sense of belonging. Although definitions vary, most organisations and theorists agree that outdoor learning involves purposeful experiences that take place beyond the traditional classroom. The Institute for Outdoor Learning (2022) describes it as a broad approach that uses natural and built environments to support personal development, curriculum learning, and wellbeing. The Council for Learning Outside the Classroom (2019) similarly emphasises that outdoor learning is not an optional extra but a meaningful pedagogical tool that enriches children’s experiences.</w:t>
      </w:r>
    </w:p>
    <w:p w14:paraId="772CE6A7" w14:textId="77777777" w:rsidR="008D2FB0" w:rsidRPr="006605D4" w:rsidRDefault="008D2FB0" w:rsidP="008D2FB0">
      <w:pPr>
        <w:rPr>
          <w:sz w:val="24"/>
          <w:szCs w:val="24"/>
        </w:rPr>
      </w:pPr>
      <w:r w:rsidRPr="006605D4">
        <w:rPr>
          <w:sz w:val="24"/>
          <w:szCs w:val="24"/>
        </w:rPr>
        <w:t>The theoretical foundations also resonate with what I observe in practice. Dewey’s (1938) view of learning through experience aligns closely with how many of our pupils respond when given space to explore, problem-solve, and make sense of the world outdoors. Kolb’s (1984) experiential learning cycle</w:t>
      </w:r>
      <w:r>
        <w:rPr>
          <w:sz w:val="24"/>
          <w:szCs w:val="24"/>
        </w:rPr>
        <w:t>,</w:t>
      </w:r>
      <w:r w:rsidRPr="006605D4">
        <w:rPr>
          <w:sz w:val="24"/>
          <w:szCs w:val="24"/>
        </w:rPr>
        <w:t xml:space="preserve"> moving from concrete experience to reflection and experimentation</w:t>
      </w:r>
      <w:r>
        <w:rPr>
          <w:sz w:val="24"/>
          <w:szCs w:val="24"/>
        </w:rPr>
        <w:t>,</w:t>
      </w:r>
      <w:r w:rsidRPr="006605D4">
        <w:rPr>
          <w:sz w:val="24"/>
          <w:szCs w:val="24"/>
        </w:rPr>
        <w:t xml:space="preserve"> is something I see naturally unfolding during outdoor tasks, especially when pupils are supported to talk through what they notice and feel.</w:t>
      </w:r>
    </w:p>
    <w:p w14:paraId="109982BE" w14:textId="77777777" w:rsidR="008D2FB0" w:rsidRPr="006605D4" w:rsidRDefault="008D2FB0" w:rsidP="008D2FB0">
      <w:pPr>
        <w:rPr>
          <w:sz w:val="24"/>
          <w:szCs w:val="24"/>
        </w:rPr>
      </w:pPr>
      <w:r w:rsidRPr="006605D4">
        <w:rPr>
          <w:sz w:val="24"/>
          <w:szCs w:val="24"/>
        </w:rPr>
        <w:t xml:space="preserve">More contemporary perspectives, such as Waite’s (2011) argument that outdoor learning is shaped by social and cultural contexts, feel particularly relevant in an EIP setting. Our pupils often arrive with varied experiences of the outdoors, and their confidence, sensory needs, and emotional regulation all influence their engagement. Across the literature, outdoor education is consistently linked </w:t>
      </w:r>
      <w:r>
        <w:rPr>
          <w:sz w:val="24"/>
          <w:szCs w:val="24"/>
        </w:rPr>
        <w:t>to wellbeing, environmental connection, and skill development,</w:t>
      </w:r>
      <w:r w:rsidRPr="006605D4">
        <w:rPr>
          <w:sz w:val="24"/>
          <w:szCs w:val="24"/>
        </w:rPr>
        <w:t xml:space="preserve"> themes that strongly reflect what I see daily in my role.</w:t>
      </w:r>
    </w:p>
    <w:p w14:paraId="6C39600E" w14:textId="77777777" w:rsidR="008D2FB0" w:rsidRPr="006605D4" w:rsidRDefault="008D2FB0" w:rsidP="008D2FB0">
      <w:pPr>
        <w:rPr>
          <w:sz w:val="32"/>
          <w:szCs w:val="32"/>
        </w:rPr>
      </w:pPr>
    </w:p>
    <w:p w14:paraId="7026D94B" w14:textId="77777777" w:rsidR="008D2FB0" w:rsidRPr="006605D4" w:rsidRDefault="008D2FB0" w:rsidP="008D2FB0">
      <w:pPr>
        <w:jc w:val="center"/>
        <w:rPr>
          <w:b/>
          <w:bCs/>
          <w:sz w:val="32"/>
          <w:szCs w:val="32"/>
        </w:rPr>
      </w:pPr>
      <w:r w:rsidRPr="006605D4">
        <w:rPr>
          <w:b/>
          <w:bCs/>
          <w:sz w:val="32"/>
          <w:szCs w:val="32"/>
        </w:rPr>
        <w:t xml:space="preserve"> Physical and Mental Health &amp; Wellbeing </w:t>
      </w:r>
    </w:p>
    <w:p w14:paraId="1D6AF4C7" w14:textId="77777777" w:rsidR="008D2FB0" w:rsidRPr="006605D4" w:rsidRDefault="008D2FB0" w:rsidP="008D2FB0">
      <w:pPr>
        <w:rPr>
          <w:sz w:val="24"/>
          <w:szCs w:val="24"/>
        </w:rPr>
      </w:pPr>
      <w:r w:rsidRPr="006605D4">
        <w:rPr>
          <w:sz w:val="24"/>
          <w:szCs w:val="24"/>
        </w:rPr>
        <w:t xml:space="preserve">Working with pupils with a range of ALN, I have found that outdoor spaces often provide the regulatory opportunities that indoor environments cannot. Research supports this. Fjørtoft (2004) highlights how natural environments encourage movement, balance, and </w:t>
      </w:r>
      <w:r w:rsidRPr="006605D4">
        <w:rPr>
          <w:sz w:val="24"/>
          <w:szCs w:val="24"/>
        </w:rPr>
        <w:lastRenderedPageBreak/>
        <w:t>coordination, which I see when pupils climb, run, or simply explore uneven ground. For some children, especially those with sensory processing differences, the outdoors offers a level of freedom and physical expression that reduces tension and supports self</w:t>
      </w:r>
      <w:r w:rsidRPr="006605D4">
        <w:rPr>
          <w:sz w:val="24"/>
          <w:szCs w:val="24"/>
        </w:rPr>
        <w:noBreakHyphen/>
        <w:t>regulation.</w:t>
      </w:r>
    </w:p>
    <w:p w14:paraId="2B3D4ABD" w14:textId="77777777" w:rsidR="008D2FB0" w:rsidRPr="006605D4" w:rsidRDefault="008D2FB0" w:rsidP="008D2FB0">
      <w:pPr>
        <w:rPr>
          <w:sz w:val="24"/>
          <w:szCs w:val="24"/>
        </w:rPr>
      </w:pPr>
      <w:r w:rsidRPr="006605D4">
        <w:rPr>
          <w:sz w:val="24"/>
          <w:szCs w:val="24"/>
        </w:rPr>
        <w:t>The mental health benefits are equally significant. Kaplan and Kaplan’s (1989) Attention Restoration Theory suggests that nature reduces cognitive overload, something I recognise when pupils who struggle indoors become calmer and more focused outside. Roe and Aspinall (2011) also link outdoor experiences with reduced stress and improved emotional well-being. In the EIP, I often notice that pupils who arrive dysregulated settle more quickly when we begin the day outdoors, using sensory input such as wind, movement, or tactile exploration to ground themselves.</w:t>
      </w:r>
    </w:p>
    <w:p w14:paraId="69690355" w14:textId="77777777" w:rsidR="008D2FB0" w:rsidRPr="006605D4" w:rsidRDefault="008D2FB0" w:rsidP="008D2FB0">
      <w:pPr>
        <w:rPr>
          <w:sz w:val="24"/>
          <w:szCs w:val="24"/>
        </w:rPr>
      </w:pPr>
      <w:r w:rsidRPr="006605D4">
        <w:rPr>
          <w:sz w:val="24"/>
          <w:szCs w:val="24"/>
        </w:rPr>
        <w:t xml:space="preserve">However, the literature also warns against oversimplifying these benefits. Gill (2014) argues that outdoor learning cannot “fix” wider issues such as trauma or anxiety, and I agree </w:t>
      </w:r>
      <w:r>
        <w:rPr>
          <w:sz w:val="24"/>
          <w:szCs w:val="24"/>
        </w:rPr>
        <w:t xml:space="preserve">that </w:t>
      </w:r>
      <w:r w:rsidRPr="006605D4">
        <w:rPr>
          <w:sz w:val="24"/>
          <w:szCs w:val="24"/>
        </w:rPr>
        <w:t xml:space="preserve">some pupils need far more than time outdoors to feel safe. </w:t>
      </w:r>
      <w:proofErr w:type="spellStart"/>
      <w:r w:rsidRPr="006605D4">
        <w:rPr>
          <w:sz w:val="24"/>
          <w:szCs w:val="24"/>
        </w:rPr>
        <w:t>Brussoni</w:t>
      </w:r>
      <w:proofErr w:type="spellEnd"/>
      <w:r w:rsidRPr="006605D4">
        <w:rPr>
          <w:sz w:val="24"/>
          <w:szCs w:val="24"/>
        </w:rPr>
        <w:t xml:space="preserve"> et al. (2015) also highlight how risk</w:t>
      </w:r>
      <w:r w:rsidRPr="006605D4">
        <w:rPr>
          <w:sz w:val="24"/>
          <w:szCs w:val="24"/>
        </w:rPr>
        <w:noBreakHyphen/>
        <w:t>averse school cultures can limit the very experiences that support resilience and wellbeing. I have experienced this tension when balancing genuine risk</w:t>
      </w:r>
      <w:r w:rsidRPr="006605D4">
        <w:rPr>
          <w:sz w:val="24"/>
          <w:szCs w:val="24"/>
        </w:rPr>
        <w:noBreakHyphen/>
        <w:t>taking with safety expectations.</w:t>
      </w:r>
    </w:p>
    <w:p w14:paraId="7CB1C970" w14:textId="77777777" w:rsidR="008D2FB0" w:rsidRPr="006605D4" w:rsidRDefault="008D2FB0" w:rsidP="008D2FB0">
      <w:pPr>
        <w:rPr>
          <w:sz w:val="24"/>
          <w:szCs w:val="24"/>
        </w:rPr>
      </w:pPr>
      <w:r w:rsidRPr="006605D4">
        <w:rPr>
          <w:sz w:val="24"/>
          <w:szCs w:val="24"/>
        </w:rPr>
        <w:t>Despite these challenges, the evidence and my own practice suggest that outdoor education can play a vital role in supporting wellbeing when it is intentional and responsive. For many pupils in the EIP, the outdoors is not just a change of scenery; it is a therapeutic space where they can regulate their emotions, connect</w:t>
      </w:r>
      <w:r>
        <w:rPr>
          <w:sz w:val="24"/>
          <w:szCs w:val="24"/>
        </w:rPr>
        <w:t xml:space="preserve"> with others</w:t>
      </w:r>
      <w:r w:rsidRPr="006605D4">
        <w:rPr>
          <w:sz w:val="24"/>
          <w:szCs w:val="24"/>
        </w:rPr>
        <w:t>, and experience success.</w:t>
      </w:r>
    </w:p>
    <w:p w14:paraId="4B89CDAA" w14:textId="77777777" w:rsidR="008D2FB0" w:rsidRPr="006605D4" w:rsidRDefault="008D2FB0" w:rsidP="008D2FB0"/>
    <w:p w14:paraId="00A3D5E4" w14:textId="77777777" w:rsidR="008D2FB0" w:rsidRPr="006605D4" w:rsidRDefault="008D2FB0" w:rsidP="008D2FB0">
      <w:pPr>
        <w:jc w:val="center"/>
        <w:rPr>
          <w:b/>
          <w:bCs/>
          <w:sz w:val="32"/>
          <w:szCs w:val="32"/>
        </w:rPr>
      </w:pPr>
      <w:r w:rsidRPr="006605D4">
        <w:rPr>
          <w:b/>
          <w:bCs/>
          <w:sz w:val="32"/>
          <w:szCs w:val="32"/>
        </w:rPr>
        <w:t xml:space="preserve">Engagement with the Natural Environment &amp; Sustainability </w:t>
      </w:r>
    </w:p>
    <w:p w14:paraId="28514B38" w14:textId="77777777" w:rsidR="008D2FB0" w:rsidRPr="006605D4" w:rsidRDefault="008D2FB0" w:rsidP="008D2FB0">
      <w:pPr>
        <w:rPr>
          <w:sz w:val="24"/>
          <w:szCs w:val="24"/>
        </w:rPr>
      </w:pPr>
      <w:r w:rsidRPr="006605D4">
        <w:rPr>
          <w:sz w:val="24"/>
          <w:szCs w:val="24"/>
        </w:rPr>
        <w:t>One of the most powerful aspects of outdoor learning in the EIP is the way pupils begin to develop curiosity and care for the natural world. Louv’s (2005) idea of “nature</w:t>
      </w:r>
      <w:r w:rsidRPr="006605D4">
        <w:rPr>
          <w:sz w:val="24"/>
          <w:szCs w:val="24"/>
        </w:rPr>
        <w:noBreakHyphen/>
        <w:t>deficit disorder” feels relevant when working with children who have limited access to safe outdoor spaces outside school. Many arrive unsure or even anxious about natural environments, but with repeated exposure, their confidence grows.</w:t>
      </w:r>
    </w:p>
    <w:p w14:paraId="51BF7072" w14:textId="77777777" w:rsidR="008D2FB0" w:rsidRPr="006605D4" w:rsidRDefault="008D2FB0" w:rsidP="008D2FB0">
      <w:pPr>
        <w:rPr>
          <w:sz w:val="24"/>
          <w:szCs w:val="24"/>
        </w:rPr>
      </w:pPr>
      <w:r w:rsidRPr="006605D4">
        <w:rPr>
          <w:sz w:val="24"/>
          <w:szCs w:val="24"/>
        </w:rPr>
        <w:t>Chawla (2009) found that early, meaningful experiences in nature can influence long</w:t>
      </w:r>
      <w:r w:rsidRPr="006605D4">
        <w:rPr>
          <w:sz w:val="24"/>
          <w:szCs w:val="24"/>
        </w:rPr>
        <w:noBreakHyphen/>
        <w:t>term environmental attitudes. I see this when pupils notice seasonal changes, care for plants, or show excitement about wildlife. These moments often become starting points for conversations about sustainability, habitats, and human impact.</w:t>
      </w:r>
    </w:p>
    <w:p w14:paraId="3849A73C" w14:textId="77777777" w:rsidR="008D2FB0" w:rsidRPr="006605D4" w:rsidRDefault="008D2FB0" w:rsidP="008D2FB0">
      <w:pPr>
        <w:rPr>
          <w:sz w:val="24"/>
          <w:szCs w:val="24"/>
        </w:rPr>
      </w:pPr>
      <w:r w:rsidRPr="006605D4">
        <w:rPr>
          <w:sz w:val="24"/>
          <w:szCs w:val="24"/>
        </w:rPr>
        <w:t>However, the literature also challenges the assumption that outdoor learning automatically leads to pro</w:t>
      </w:r>
      <w:r w:rsidRPr="006605D4">
        <w:rPr>
          <w:sz w:val="24"/>
          <w:szCs w:val="24"/>
        </w:rPr>
        <w:noBreakHyphen/>
        <w:t xml:space="preserve">environmental behaviour. </w:t>
      </w:r>
      <w:proofErr w:type="spellStart"/>
      <w:r w:rsidRPr="006605D4">
        <w:rPr>
          <w:sz w:val="24"/>
          <w:szCs w:val="24"/>
        </w:rPr>
        <w:t>Rickinson</w:t>
      </w:r>
      <w:proofErr w:type="spellEnd"/>
      <w:r w:rsidRPr="006605D4">
        <w:rPr>
          <w:sz w:val="24"/>
          <w:szCs w:val="24"/>
        </w:rPr>
        <w:t xml:space="preserve"> et al. (2004) argue that awareness alone is not enough — children need structured opportunities to reflect and make connections. This aligns with </w:t>
      </w:r>
      <w:r w:rsidRPr="006605D4">
        <w:rPr>
          <w:sz w:val="24"/>
          <w:szCs w:val="24"/>
        </w:rPr>
        <w:lastRenderedPageBreak/>
        <w:t>my experience: pupils may enjoy being outside, but deeper understanding develops only when adults help them link their experiences to wider ideas.</w:t>
      </w:r>
    </w:p>
    <w:p w14:paraId="7CA17479" w14:textId="77777777" w:rsidR="008D2FB0" w:rsidRPr="006605D4" w:rsidRDefault="008D2FB0" w:rsidP="008D2FB0">
      <w:pPr>
        <w:rPr>
          <w:sz w:val="24"/>
          <w:szCs w:val="24"/>
        </w:rPr>
      </w:pPr>
      <w:r w:rsidRPr="006605D4">
        <w:rPr>
          <w:sz w:val="24"/>
          <w:szCs w:val="24"/>
        </w:rPr>
        <w:t>Equity is another important issue. Natural England (2020) highlights that children in deprived areas often have fewer opportunities for nature</w:t>
      </w:r>
      <w:r w:rsidRPr="006605D4">
        <w:rPr>
          <w:sz w:val="24"/>
          <w:szCs w:val="24"/>
        </w:rPr>
        <w:noBreakHyphen/>
        <w:t>rich experiences. In the EIP, I see how outdoor learning can help bridge this gap, but only if schools commit to providing consistent access and removing barriers such as staffing, resources, or risk concerns.</w:t>
      </w:r>
    </w:p>
    <w:p w14:paraId="58FE3154" w14:textId="77777777" w:rsidR="008D2FB0" w:rsidRPr="006605D4" w:rsidRDefault="008D2FB0" w:rsidP="008D2FB0">
      <w:pPr>
        <w:rPr>
          <w:sz w:val="24"/>
          <w:szCs w:val="24"/>
        </w:rPr>
      </w:pPr>
      <w:r w:rsidRPr="006605D4">
        <w:rPr>
          <w:sz w:val="24"/>
          <w:szCs w:val="24"/>
        </w:rPr>
        <w:t>Overall, the literature suggests that outdoor education can foster environmental engagement, but it requires intentional planning and reflection. For pupils with ALN, these experiences can be especially meaningful, helping them build confidence, curiosity, and a sense of connection with the world around them.</w:t>
      </w:r>
    </w:p>
    <w:p w14:paraId="2AB74898" w14:textId="77777777" w:rsidR="008D2FB0" w:rsidRPr="006605D4" w:rsidRDefault="008D2FB0" w:rsidP="008D2FB0"/>
    <w:p w14:paraId="5468CA55" w14:textId="77777777" w:rsidR="008D2FB0" w:rsidRPr="006605D4" w:rsidRDefault="008D2FB0" w:rsidP="008D2FB0">
      <w:pPr>
        <w:jc w:val="center"/>
        <w:rPr>
          <w:b/>
          <w:bCs/>
          <w:sz w:val="32"/>
          <w:szCs w:val="32"/>
        </w:rPr>
      </w:pPr>
      <w:r w:rsidRPr="006605D4">
        <w:rPr>
          <w:b/>
          <w:bCs/>
          <w:sz w:val="32"/>
          <w:szCs w:val="32"/>
        </w:rPr>
        <w:t xml:space="preserve">Skills Development and Experiential Learning </w:t>
      </w:r>
    </w:p>
    <w:p w14:paraId="5326F3EC" w14:textId="77777777" w:rsidR="008D2FB0" w:rsidRPr="006605D4" w:rsidRDefault="008D2FB0" w:rsidP="008D2FB0">
      <w:pPr>
        <w:rPr>
          <w:sz w:val="24"/>
          <w:szCs w:val="24"/>
        </w:rPr>
      </w:pPr>
      <w:r w:rsidRPr="006605D4">
        <w:rPr>
          <w:sz w:val="24"/>
          <w:szCs w:val="24"/>
        </w:rPr>
        <w:t>Outdoor education offers rich opportunities to develop social, cognitive, and practical skills, which I witness daily in the EIP. Kolb’s (1984) experiential learning theory is evident when pupils learn through trial and error, whether they are building shelters, navigating space, or working together on a shared task. These activities naturally encourage problem</w:t>
      </w:r>
      <w:r w:rsidRPr="006605D4">
        <w:rPr>
          <w:sz w:val="24"/>
          <w:szCs w:val="24"/>
        </w:rPr>
        <w:noBreakHyphen/>
        <w:t>solving, communication, and resilience.</w:t>
      </w:r>
    </w:p>
    <w:p w14:paraId="186884CC" w14:textId="77777777" w:rsidR="008D2FB0" w:rsidRPr="006605D4" w:rsidRDefault="008D2FB0" w:rsidP="008D2FB0">
      <w:pPr>
        <w:rPr>
          <w:sz w:val="24"/>
          <w:szCs w:val="24"/>
        </w:rPr>
      </w:pPr>
      <w:r w:rsidRPr="006605D4">
        <w:rPr>
          <w:sz w:val="24"/>
          <w:szCs w:val="24"/>
        </w:rPr>
        <w:t>Research by Waite et al. (2016) shows that outdoor learning can strengthen social interaction, and I see this clearly when pupils who struggle indoors begin to collaborate more confidently outside. The reduced sensory demands and increased space often make social situations feel safer and more manageable.</w:t>
      </w:r>
    </w:p>
    <w:p w14:paraId="7CBB3456" w14:textId="77777777" w:rsidR="008D2FB0" w:rsidRPr="006605D4" w:rsidRDefault="008D2FB0" w:rsidP="008D2FB0">
      <w:pPr>
        <w:rPr>
          <w:sz w:val="24"/>
          <w:szCs w:val="24"/>
        </w:rPr>
      </w:pPr>
      <w:r w:rsidRPr="006605D4">
        <w:rPr>
          <w:sz w:val="24"/>
          <w:szCs w:val="24"/>
        </w:rPr>
        <w:t>Cognitively, outdoor learning helps pupils make sense of abstract concepts through hands</w:t>
      </w:r>
      <w:r w:rsidRPr="006605D4">
        <w:rPr>
          <w:sz w:val="24"/>
          <w:szCs w:val="24"/>
        </w:rPr>
        <w:noBreakHyphen/>
        <w:t>on experiences. Dillon et al. (2006) found that outdoor contexts improve engagement and retention, which aligns with my observations: pupils who find classroom learning overwhelming often thrive when tasks are practical and grounded in real</w:t>
      </w:r>
      <w:r w:rsidRPr="006605D4">
        <w:rPr>
          <w:sz w:val="24"/>
          <w:szCs w:val="24"/>
        </w:rPr>
        <w:noBreakHyphen/>
        <w:t>world contexts.</w:t>
      </w:r>
    </w:p>
    <w:p w14:paraId="34D3CA38" w14:textId="77777777" w:rsidR="008D2FB0" w:rsidRPr="006605D4" w:rsidRDefault="008D2FB0" w:rsidP="008D2FB0">
      <w:pPr>
        <w:rPr>
          <w:sz w:val="24"/>
          <w:szCs w:val="24"/>
        </w:rPr>
      </w:pPr>
      <w:r w:rsidRPr="006605D4">
        <w:rPr>
          <w:sz w:val="24"/>
          <w:szCs w:val="24"/>
        </w:rPr>
        <w:t>However, the literature also highlights tensions. Mann et al. (2022) note that academic gains are inconsistent, raising questions about how outdoor learning fits within curriculum pressures. I recognise this challenge when balancing pupil</w:t>
      </w:r>
      <w:r w:rsidRPr="006605D4">
        <w:rPr>
          <w:sz w:val="24"/>
          <w:szCs w:val="24"/>
        </w:rPr>
        <w:noBreakHyphen/>
        <w:t>led exploration with the need to evidence progress. Risk is another area of debate. While managed risk supports resilience, safety concerns can limit opportunities. Navigating this balance is a regular part of EIP practice.</w:t>
      </w:r>
    </w:p>
    <w:p w14:paraId="3C018D4D" w14:textId="77777777" w:rsidR="008D2FB0" w:rsidRPr="006605D4" w:rsidRDefault="008D2FB0" w:rsidP="008D2FB0">
      <w:pPr>
        <w:rPr>
          <w:sz w:val="24"/>
          <w:szCs w:val="24"/>
        </w:rPr>
      </w:pPr>
      <w:r w:rsidRPr="006605D4">
        <w:rPr>
          <w:sz w:val="24"/>
          <w:szCs w:val="24"/>
        </w:rPr>
        <w:lastRenderedPageBreak/>
        <w:t>Despite these challenges, outdoor education remains a powerful tool for developing independence, confidence, and transferable skills. For many pupils with ALN, it provides a rare chance to experience success and agency.</w:t>
      </w:r>
    </w:p>
    <w:p w14:paraId="22969D57" w14:textId="77777777" w:rsidR="008D2FB0" w:rsidRPr="006605D4" w:rsidRDefault="008D2FB0" w:rsidP="008D2FB0">
      <w:pPr>
        <w:rPr>
          <w:sz w:val="24"/>
          <w:szCs w:val="24"/>
        </w:rPr>
      </w:pPr>
    </w:p>
    <w:p w14:paraId="071EC855" w14:textId="77777777" w:rsidR="008D2FB0" w:rsidRPr="006605D4" w:rsidRDefault="008D2FB0" w:rsidP="008D2FB0">
      <w:pPr>
        <w:jc w:val="center"/>
        <w:rPr>
          <w:b/>
          <w:bCs/>
          <w:sz w:val="32"/>
          <w:szCs w:val="32"/>
        </w:rPr>
      </w:pPr>
      <w:r w:rsidRPr="006605D4">
        <w:rPr>
          <w:b/>
          <w:bCs/>
          <w:sz w:val="32"/>
          <w:szCs w:val="32"/>
        </w:rPr>
        <w:t xml:space="preserve">Conclusion: The Way Forward </w:t>
      </w:r>
    </w:p>
    <w:p w14:paraId="42F8216C" w14:textId="77777777" w:rsidR="008D2FB0" w:rsidRPr="006605D4" w:rsidRDefault="008D2FB0" w:rsidP="008D2FB0">
      <w:pPr>
        <w:rPr>
          <w:sz w:val="24"/>
          <w:szCs w:val="24"/>
        </w:rPr>
      </w:pPr>
      <w:r w:rsidRPr="006605D4">
        <w:rPr>
          <w:sz w:val="24"/>
          <w:szCs w:val="24"/>
        </w:rPr>
        <w:t>Across the literature and my own experience in the EIP, outdoor education emerges as a vital component of inclusive, holistic practice. It supports physical health, emotional wellbeing, environmental awareness, and skill development — but only when it is intentional, consistent, and responsive to pupils’ needs.</w:t>
      </w:r>
    </w:p>
    <w:p w14:paraId="4426FD15" w14:textId="77777777" w:rsidR="008D2FB0" w:rsidRPr="006605D4" w:rsidRDefault="008D2FB0" w:rsidP="008D2FB0">
      <w:pPr>
        <w:rPr>
          <w:sz w:val="24"/>
          <w:szCs w:val="24"/>
        </w:rPr>
      </w:pPr>
      <w:r w:rsidRPr="006605D4">
        <w:rPr>
          <w:sz w:val="24"/>
          <w:szCs w:val="24"/>
        </w:rPr>
        <w:t>One clear theme is that outdoor learning must be more than occasional enrichment. For pupils with ALN, it often provides the conditions they need to regulate, engage, and learn. This means schools should view outdoor education as a core part of their provision, not an add</w:t>
      </w:r>
      <w:r w:rsidRPr="006605D4">
        <w:rPr>
          <w:sz w:val="24"/>
          <w:szCs w:val="24"/>
        </w:rPr>
        <w:noBreakHyphen/>
        <w:t>on. Embedding it across the curriculum would allow pupils to access meaningful, hands</w:t>
      </w:r>
      <w:r w:rsidRPr="006605D4">
        <w:rPr>
          <w:sz w:val="24"/>
          <w:szCs w:val="24"/>
        </w:rPr>
        <w:noBreakHyphen/>
        <w:t>on learning that supports both academic and personal development.</w:t>
      </w:r>
    </w:p>
    <w:p w14:paraId="26C7E818" w14:textId="77777777" w:rsidR="008D2FB0" w:rsidRPr="006605D4" w:rsidRDefault="008D2FB0" w:rsidP="008D2FB0">
      <w:pPr>
        <w:rPr>
          <w:sz w:val="24"/>
          <w:szCs w:val="24"/>
        </w:rPr>
      </w:pPr>
      <w:r w:rsidRPr="006605D4">
        <w:rPr>
          <w:sz w:val="24"/>
          <w:szCs w:val="24"/>
        </w:rPr>
        <w:t>Equity is another key issue. Many pupils in the EIP have limited access to safe outdoor spaces outside school, making the school environment even more important. Ensuring regular, structured outdoor opportunities can help reduce inequalities and provide experiences that some children would otherwise miss.</w:t>
      </w:r>
    </w:p>
    <w:p w14:paraId="5E1FB5E9" w14:textId="77777777" w:rsidR="008D2FB0" w:rsidRPr="006605D4" w:rsidRDefault="008D2FB0" w:rsidP="008D2FB0">
      <w:pPr>
        <w:rPr>
          <w:sz w:val="24"/>
          <w:szCs w:val="24"/>
        </w:rPr>
      </w:pPr>
      <w:r w:rsidRPr="006605D4">
        <w:rPr>
          <w:sz w:val="24"/>
          <w:szCs w:val="24"/>
        </w:rPr>
        <w:t>The literature also highlights the importance of skilled practitioners. Outdoor learning is most effective when adults understand how to scaffold experiences, manage risk, and support reflection. In the EIP, this often means adapting activities to sensory needs, emotional regulation profiles, and individual interests. Investing in staff training and confidence is therefore essential.</w:t>
      </w:r>
    </w:p>
    <w:p w14:paraId="019299A5" w14:textId="77777777" w:rsidR="008D2FB0" w:rsidRPr="006605D4" w:rsidRDefault="008D2FB0" w:rsidP="008D2FB0">
      <w:pPr>
        <w:rPr>
          <w:sz w:val="24"/>
          <w:szCs w:val="24"/>
        </w:rPr>
      </w:pPr>
      <w:r w:rsidRPr="006605D4">
        <w:rPr>
          <w:sz w:val="24"/>
          <w:szCs w:val="24"/>
        </w:rPr>
        <w:t>Looking ahead, the way forward involves creating whole</w:t>
      </w:r>
      <w:r w:rsidRPr="006605D4">
        <w:rPr>
          <w:sz w:val="24"/>
          <w:szCs w:val="24"/>
        </w:rPr>
        <w:noBreakHyphen/>
        <w:t>school cultures that value curiosity, exploration, and connection with the natural world. This aligns with the principles of the Curriculum for Wales, which emphasises authentic, experiential learning. Outdoor education can play a central role in helping pupils become healthy, confident individuals and ethical, informed citizens.</w:t>
      </w:r>
    </w:p>
    <w:p w14:paraId="701CF4ED" w14:textId="77777777" w:rsidR="008D2FB0" w:rsidRPr="006605D4" w:rsidRDefault="008D2FB0" w:rsidP="008D2FB0">
      <w:pPr>
        <w:rPr>
          <w:sz w:val="24"/>
          <w:szCs w:val="24"/>
        </w:rPr>
      </w:pPr>
      <w:r w:rsidRPr="006605D4">
        <w:rPr>
          <w:sz w:val="24"/>
          <w:szCs w:val="24"/>
        </w:rPr>
        <w:t>In conclusion, outdoor education offers significant benefits for all learners, but particularly for those with ALN. When thoughtfully implemented, it can transform pupils’ engagement, well-being, and sense of self. The challenge now is ensuring that outdoor learning is prioritised, resourced, and embedded so that every child</w:t>
      </w:r>
      <w:r>
        <w:rPr>
          <w:sz w:val="24"/>
          <w:szCs w:val="24"/>
        </w:rPr>
        <w:t>,</w:t>
      </w:r>
      <w:r w:rsidRPr="006605D4">
        <w:rPr>
          <w:sz w:val="24"/>
          <w:szCs w:val="24"/>
        </w:rPr>
        <w:t xml:space="preserve"> regardless of need or background</w:t>
      </w:r>
      <w:r>
        <w:rPr>
          <w:sz w:val="24"/>
          <w:szCs w:val="24"/>
        </w:rPr>
        <w:t>,</w:t>
      </w:r>
      <w:r w:rsidRPr="006605D4">
        <w:rPr>
          <w:sz w:val="24"/>
          <w:szCs w:val="24"/>
        </w:rPr>
        <w:t xml:space="preserve"> can access the rich opportunities it provides.</w:t>
      </w:r>
    </w:p>
    <w:p w14:paraId="21ED2BD3" w14:textId="77777777" w:rsidR="008D2FB0" w:rsidRPr="006605D4" w:rsidRDefault="008D2FB0" w:rsidP="008D2FB0">
      <w:pPr>
        <w:rPr>
          <w:sz w:val="24"/>
          <w:szCs w:val="24"/>
        </w:rPr>
      </w:pPr>
    </w:p>
    <w:p w14:paraId="22B7091B" w14:textId="77777777" w:rsidR="008D2FB0" w:rsidRPr="006605D4" w:rsidRDefault="008D2FB0" w:rsidP="008D2FB0"/>
    <w:p w14:paraId="62E52746" w14:textId="77777777" w:rsidR="008D2FB0" w:rsidRPr="006605D4" w:rsidRDefault="008D2FB0" w:rsidP="008D2FB0">
      <w:pPr>
        <w:jc w:val="center"/>
        <w:rPr>
          <w:b/>
          <w:bCs/>
          <w:sz w:val="32"/>
          <w:szCs w:val="32"/>
        </w:rPr>
      </w:pPr>
      <w:r w:rsidRPr="006605D4">
        <w:rPr>
          <w:b/>
          <w:bCs/>
          <w:sz w:val="32"/>
          <w:szCs w:val="32"/>
        </w:rPr>
        <w:t>References (Harvard Style)</w:t>
      </w:r>
    </w:p>
    <w:p w14:paraId="0C2099CD" w14:textId="77777777" w:rsidR="008D2FB0" w:rsidRPr="00F37BC7" w:rsidRDefault="008D2FB0" w:rsidP="008D2FB0">
      <w:pPr>
        <w:rPr>
          <w:sz w:val="28"/>
          <w:szCs w:val="28"/>
        </w:rPr>
      </w:pPr>
      <w:r w:rsidRPr="00F37BC7">
        <w:rPr>
          <w:sz w:val="28"/>
          <w:szCs w:val="28"/>
        </w:rPr>
        <w:t xml:space="preserve">Bentsen, P. &amp; Jensen, F.S. (2012) ‘The nature of outdoor education in Denmark: </w:t>
      </w:r>
      <w:proofErr w:type="spellStart"/>
      <w:r w:rsidRPr="00F37BC7">
        <w:rPr>
          <w:sz w:val="28"/>
          <w:szCs w:val="28"/>
        </w:rPr>
        <w:t>Friluftsliv</w:t>
      </w:r>
      <w:proofErr w:type="spellEnd"/>
      <w:r w:rsidRPr="00F37BC7">
        <w:rPr>
          <w:sz w:val="28"/>
          <w:szCs w:val="28"/>
        </w:rPr>
        <w:t xml:space="preserve">, </w:t>
      </w:r>
      <w:proofErr w:type="spellStart"/>
      <w:r w:rsidRPr="00F37BC7">
        <w:rPr>
          <w:sz w:val="28"/>
          <w:szCs w:val="28"/>
        </w:rPr>
        <w:t>udeskole</w:t>
      </w:r>
      <w:proofErr w:type="spellEnd"/>
      <w:r w:rsidRPr="00F37BC7">
        <w:rPr>
          <w:sz w:val="28"/>
          <w:szCs w:val="28"/>
        </w:rPr>
        <w:t xml:space="preserve"> and nature schools’, </w:t>
      </w:r>
      <w:r w:rsidRPr="00F37BC7">
        <w:rPr>
          <w:i/>
          <w:iCs/>
          <w:sz w:val="28"/>
          <w:szCs w:val="28"/>
        </w:rPr>
        <w:t>Journal of Adventure Education and Outdoor Learning</w:t>
      </w:r>
      <w:r w:rsidRPr="00F37BC7">
        <w:rPr>
          <w:sz w:val="28"/>
          <w:szCs w:val="28"/>
        </w:rPr>
        <w:t>, 12(3), pp. 199–219.</w:t>
      </w:r>
    </w:p>
    <w:p w14:paraId="59B8FA21" w14:textId="77777777" w:rsidR="008D2FB0" w:rsidRPr="00F37BC7" w:rsidRDefault="008D2FB0" w:rsidP="008D2FB0">
      <w:pPr>
        <w:rPr>
          <w:sz w:val="28"/>
          <w:szCs w:val="28"/>
        </w:rPr>
      </w:pPr>
      <w:r w:rsidRPr="00F37BC7">
        <w:rPr>
          <w:sz w:val="28"/>
          <w:szCs w:val="28"/>
        </w:rPr>
        <w:t xml:space="preserve">Brussoni, M., Olsen, L.L., Pike, I. &amp; Sleet, D.A. (2015) ‘Risky play and children’s safety: Balancing priorities for optimal child development’, </w:t>
      </w:r>
      <w:r w:rsidRPr="00F37BC7">
        <w:rPr>
          <w:i/>
          <w:iCs/>
          <w:sz w:val="28"/>
          <w:szCs w:val="28"/>
        </w:rPr>
        <w:t>International Journal of Environmental Research and Public Health</w:t>
      </w:r>
      <w:r w:rsidRPr="00F37BC7">
        <w:rPr>
          <w:sz w:val="28"/>
          <w:szCs w:val="28"/>
        </w:rPr>
        <w:t>, 9(9), pp. 3134–3148.</w:t>
      </w:r>
    </w:p>
    <w:p w14:paraId="2860A7B8" w14:textId="77777777" w:rsidR="008D2FB0" w:rsidRPr="00F37BC7" w:rsidRDefault="008D2FB0" w:rsidP="008D2FB0">
      <w:pPr>
        <w:rPr>
          <w:sz w:val="28"/>
          <w:szCs w:val="28"/>
        </w:rPr>
      </w:pPr>
      <w:r w:rsidRPr="00F37BC7">
        <w:rPr>
          <w:sz w:val="28"/>
          <w:szCs w:val="28"/>
        </w:rPr>
        <w:t xml:space="preserve">Chawla, L. (2009) ‘Growing up green: Becoming an agent of care for the natural world’, </w:t>
      </w:r>
      <w:r w:rsidRPr="00F37BC7">
        <w:rPr>
          <w:i/>
          <w:iCs/>
          <w:sz w:val="28"/>
          <w:szCs w:val="28"/>
        </w:rPr>
        <w:t>The Journal of Developmental Processes</w:t>
      </w:r>
      <w:r w:rsidRPr="00F37BC7">
        <w:rPr>
          <w:sz w:val="28"/>
          <w:szCs w:val="28"/>
        </w:rPr>
        <w:t>, 4(1), pp. 6–23.</w:t>
      </w:r>
    </w:p>
    <w:p w14:paraId="1F0F0E9E" w14:textId="77777777" w:rsidR="008D2FB0" w:rsidRPr="00F37BC7" w:rsidRDefault="008D2FB0" w:rsidP="008D2FB0">
      <w:pPr>
        <w:rPr>
          <w:sz w:val="28"/>
          <w:szCs w:val="28"/>
        </w:rPr>
      </w:pPr>
      <w:r w:rsidRPr="00F37BC7">
        <w:rPr>
          <w:sz w:val="28"/>
          <w:szCs w:val="28"/>
        </w:rPr>
        <w:t>Council for Learning Outside the Classroom (</w:t>
      </w:r>
      <w:proofErr w:type="spellStart"/>
      <w:r w:rsidRPr="00F37BC7">
        <w:rPr>
          <w:sz w:val="28"/>
          <w:szCs w:val="28"/>
        </w:rPr>
        <w:t>CLOtC</w:t>
      </w:r>
      <w:proofErr w:type="spellEnd"/>
      <w:r w:rsidRPr="00F37BC7">
        <w:rPr>
          <w:sz w:val="28"/>
          <w:szCs w:val="28"/>
        </w:rPr>
        <w:t xml:space="preserve">) (2019) </w:t>
      </w:r>
      <w:r w:rsidRPr="00F37BC7">
        <w:rPr>
          <w:i/>
          <w:iCs/>
          <w:sz w:val="28"/>
          <w:szCs w:val="28"/>
        </w:rPr>
        <w:t>What is Learning Outside the Classroom?</w:t>
      </w:r>
      <w:r w:rsidRPr="00F37BC7">
        <w:rPr>
          <w:sz w:val="28"/>
          <w:szCs w:val="28"/>
        </w:rPr>
        <w:t xml:space="preserve"> Available at: </w:t>
      </w:r>
      <w:hyperlink r:id="rId8" w:history="1">
        <w:r w:rsidRPr="00F37BC7">
          <w:rPr>
            <w:rStyle w:val="Hyperlink"/>
            <w:sz w:val="28"/>
            <w:szCs w:val="28"/>
          </w:rPr>
          <w:t>https://www.lotc.org.uk</w:t>
        </w:r>
      </w:hyperlink>
      <w:r w:rsidRPr="00F37BC7">
        <w:rPr>
          <w:sz w:val="28"/>
          <w:szCs w:val="28"/>
        </w:rPr>
        <w:t xml:space="preserve"> (Accessed: [insert date]).</w:t>
      </w:r>
    </w:p>
    <w:p w14:paraId="1FB095E6" w14:textId="77777777" w:rsidR="008D2FB0" w:rsidRPr="00F37BC7" w:rsidRDefault="008D2FB0" w:rsidP="008D2FB0">
      <w:pPr>
        <w:rPr>
          <w:sz w:val="28"/>
          <w:szCs w:val="28"/>
        </w:rPr>
      </w:pPr>
      <w:r w:rsidRPr="00F37BC7">
        <w:rPr>
          <w:sz w:val="28"/>
          <w:szCs w:val="28"/>
        </w:rPr>
        <w:t xml:space="preserve">Dewey, J. (1938) </w:t>
      </w:r>
      <w:r w:rsidRPr="00F37BC7">
        <w:rPr>
          <w:i/>
          <w:iCs/>
          <w:sz w:val="28"/>
          <w:szCs w:val="28"/>
        </w:rPr>
        <w:t>Experience and Education</w:t>
      </w:r>
      <w:r w:rsidRPr="00F37BC7">
        <w:rPr>
          <w:sz w:val="28"/>
          <w:szCs w:val="28"/>
        </w:rPr>
        <w:t>. New York: Macmillan.</w:t>
      </w:r>
    </w:p>
    <w:p w14:paraId="54734B81" w14:textId="77777777" w:rsidR="008D2FB0" w:rsidRPr="00F37BC7" w:rsidRDefault="008D2FB0" w:rsidP="008D2FB0">
      <w:pPr>
        <w:rPr>
          <w:sz w:val="28"/>
          <w:szCs w:val="28"/>
        </w:rPr>
      </w:pPr>
      <w:r w:rsidRPr="00F37BC7">
        <w:rPr>
          <w:sz w:val="28"/>
          <w:szCs w:val="28"/>
        </w:rPr>
        <w:t xml:space="preserve">Dillon, J., </w:t>
      </w:r>
      <w:proofErr w:type="spellStart"/>
      <w:r w:rsidRPr="00F37BC7">
        <w:rPr>
          <w:sz w:val="28"/>
          <w:szCs w:val="28"/>
        </w:rPr>
        <w:t>Rickinson</w:t>
      </w:r>
      <w:proofErr w:type="spellEnd"/>
      <w:r w:rsidRPr="00F37BC7">
        <w:rPr>
          <w:sz w:val="28"/>
          <w:szCs w:val="28"/>
        </w:rPr>
        <w:t xml:space="preserve">, M., </w:t>
      </w:r>
      <w:proofErr w:type="spellStart"/>
      <w:r w:rsidRPr="00F37BC7">
        <w:rPr>
          <w:sz w:val="28"/>
          <w:szCs w:val="28"/>
        </w:rPr>
        <w:t>Teamey</w:t>
      </w:r>
      <w:proofErr w:type="spellEnd"/>
      <w:r w:rsidRPr="00F37BC7">
        <w:rPr>
          <w:sz w:val="28"/>
          <w:szCs w:val="28"/>
        </w:rPr>
        <w:t xml:space="preserve">, K., Morris, M., Choi, M.Y., Sanders, D. &amp; Benefield, P. (2006) ‘The value of outdoor learning: Evidence from research in the UK and elsewhere’, </w:t>
      </w:r>
      <w:r w:rsidRPr="00F37BC7">
        <w:rPr>
          <w:i/>
          <w:iCs/>
          <w:sz w:val="28"/>
          <w:szCs w:val="28"/>
        </w:rPr>
        <w:t>School Science Review</w:t>
      </w:r>
      <w:r w:rsidRPr="00F37BC7">
        <w:rPr>
          <w:sz w:val="28"/>
          <w:szCs w:val="28"/>
        </w:rPr>
        <w:t>, 87(320), pp. 107–111.</w:t>
      </w:r>
    </w:p>
    <w:p w14:paraId="6624817B" w14:textId="77777777" w:rsidR="008D2FB0" w:rsidRPr="00F37BC7" w:rsidRDefault="008D2FB0" w:rsidP="008D2FB0">
      <w:pPr>
        <w:rPr>
          <w:sz w:val="28"/>
          <w:szCs w:val="28"/>
        </w:rPr>
      </w:pPr>
      <w:r w:rsidRPr="00F37BC7">
        <w:rPr>
          <w:sz w:val="28"/>
          <w:szCs w:val="28"/>
        </w:rPr>
        <w:t xml:space="preserve">Fjørtoft, I. (2004) ‘Landscape as playscape: The effects of natural environments on children’s play and motor development’, </w:t>
      </w:r>
      <w:r w:rsidRPr="00F37BC7">
        <w:rPr>
          <w:i/>
          <w:iCs/>
          <w:sz w:val="28"/>
          <w:szCs w:val="28"/>
        </w:rPr>
        <w:t>Children, Youth and Environments</w:t>
      </w:r>
      <w:r w:rsidRPr="00F37BC7">
        <w:rPr>
          <w:sz w:val="28"/>
          <w:szCs w:val="28"/>
        </w:rPr>
        <w:t>, 14(2), pp. 21–44.</w:t>
      </w:r>
    </w:p>
    <w:p w14:paraId="218841EC" w14:textId="77777777" w:rsidR="008D2FB0" w:rsidRPr="00F37BC7" w:rsidRDefault="008D2FB0" w:rsidP="008D2FB0">
      <w:pPr>
        <w:rPr>
          <w:sz w:val="28"/>
          <w:szCs w:val="28"/>
        </w:rPr>
      </w:pPr>
      <w:r w:rsidRPr="00F37BC7">
        <w:rPr>
          <w:sz w:val="28"/>
          <w:szCs w:val="28"/>
        </w:rPr>
        <w:t xml:space="preserve">Gill, T. (2014) </w:t>
      </w:r>
      <w:r w:rsidRPr="00F37BC7">
        <w:rPr>
          <w:i/>
          <w:iCs/>
          <w:sz w:val="28"/>
          <w:szCs w:val="28"/>
        </w:rPr>
        <w:t>The Benefits of Children’s Engagement with Nature: A Systematic Literature Review</w:t>
      </w:r>
      <w:r w:rsidRPr="00F37BC7">
        <w:rPr>
          <w:sz w:val="28"/>
          <w:szCs w:val="28"/>
        </w:rPr>
        <w:t>. London: Children &amp; Nature Network.</w:t>
      </w:r>
    </w:p>
    <w:p w14:paraId="0355C657" w14:textId="77777777" w:rsidR="008D2FB0" w:rsidRPr="00F37BC7" w:rsidRDefault="008D2FB0" w:rsidP="008D2FB0">
      <w:pPr>
        <w:rPr>
          <w:sz w:val="28"/>
          <w:szCs w:val="28"/>
        </w:rPr>
      </w:pPr>
      <w:r w:rsidRPr="00F37BC7">
        <w:rPr>
          <w:sz w:val="28"/>
          <w:szCs w:val="28"/>
        </w:rPr>
        <w:lastRenderedPageBreak/>
        <w:t xml:space="preserve">Institute for Outdoor Learning (IOL) (2022) </w:t>
      </w:r>
      <w:r w:rsidRPr="00F37BC7">
        <w:rPr>
          <w:i/>
          <w:iCs/>
          <w:sz w:val="28"/>
          <w:szCs w:val="28"/>
        </w:rPr>
        <w:t>Outdoor Learning: A Guide for Schools</w:t>
      </w:r>
      <w:r w:rsidRPr="00F37BC7">
        <w:rPr>
          <w:sz w:val="28"/>
          <w:szCs w:val="28"/>
        </w:rPr>
        <w:t xml:space="preserve">. Available at: </w:t>
      </w:r>
      <w:hyperlink r:id="rId9" w:history="1">
        <w:r w:rsidRPr="00F37BC7">
          <w:rPr>
            <w:rStyle w:val="Hyperlink"/>
            <w:sz w:val="28"/>
            <w:szCs w:val="28"/>
          </w:rPr>
          <w:t>https://www.outdoor-learning.org</w:t>
        </w:r>
      </w:hyperlink>
      <w:r w:rsidRPr="00F37BC7">
        <w:rPr>
          <w:sz w:val="28"/>
          <w:szCs w:val="28"/>
        </w:rPr>
        <w:t xml:space="preserve"> (Accessed: [insert date]).</w:t>
      </w:r>
    </w:p>
    <w:p w14:paraId="0CA6B5A6" w14:textId="77777777" w:rsidR="008D2FB0" w:rsidRPr="00F37BC7" w:rsidRDefault="008D2FB0" w:rsidP="008D2FB0">
      <w:pPr>
        <w:rPr>
          <w:sz w:val="28"/>
          <w:szCs w:val="28"/>
        </w:rPr>
      </w:pPr>
      <w:r w:rsidRPr="00F37BC7">
        <w:rPr>
          <w:sz w:val="28"/>
          <w:szCs w:val="28"/>
        </w:rPr>
        <w:t xml:space="preserve">Kaplan, R. &amp; Kaplan, S. (1989) </w:t>
      </w:r>
      <w:r w:rsidRPr="00F37BC7">
        <w:rPr>
          <w:i/>
          <w:iCs/>
          <w:sz w:val="28"/>
          <w:szCs w:val="28"/>
        </w:rPr>
        <w:t>The Experience of Nature: A Psychological Perspective</w:t>
      </w:r>
      <w:r w:rsidRPr="00F37BC7">
        <w:rPr>
          <w:sz w:val="28"/>
          <w:szCs w:val="28"/>
        </w:rPr>
        <w:t>. Cambridge: Cambridge University Press.</w:t>
      </w:r>
    </w:p>
    <w:p w14:paraId="72936410" w14:textId="77777777" w:rsidR="008D2FB0" w:rsidRPr="00F37BC7" w:rsidRDefault="008D2FB0" w:rsidP="008D2FB0">
      <w:pPr>
        <w:rPr>
          <w:sz w:val="28"/>
          <w:szCs w:val="28"/>
        </w:rPr>
      </w:pPr>
      <w:r w:rsidRPr="00F37BC7">
        <w:rPr>
          <w:sz w:val="28"/>
          <w:szCs w:val="28"/>
        </w:rPr>
        <w:t xml:space="preserve">Kolb, D.A. (1984) </w:t>
      </w:r>
      <w:r w:rsidRPr="00F37BC7">
        <w:rPr>
          <w:i/>
          <w:iCs/>
          <w:sz w:val="28"/>
          <w:szCs w:val="28"/>
        </w:rPr>
        <w:t>Experiential Learning: Experience as the Source of Learning and Development</w:t>
      </w:r>
      <w:r w:rsidRPr="00F37BC7">
        <w:rPr>
          <w:sz w:val="28"/>
          <w:szCs w:val="28"/>
        </w:rPr>
        <w:t>. Englewood Cliffs: Prentice Hall.</w:t>
      </w:r>
    </w:p>
    <w:p w14:paraId="1B72B3F3" w14:textId="77777777" w:rsidR="008D2FB0" w:rsidRPr="00F37BC7" w:rsidRDefault="008D2FB0" w:rsidP="008D2FB0">
      <w:pPr>
        <w:rPr>
          <w:sz w:val="28"/>
          <w:szCs w:val="28"/>
        </w:rPr>
      </w:pPr>
      <w:r w:rsidRPr="00F37BC7">
        <w:rPr>
          <w:sz w:val="28"/>
          <w:szCs w:val="28"/>
        </w:rPr>
        <w:t xml:space="preserve">Louv, R. (2005) </w:t>
      </w:r>
      <w:r w:rsidRPr="00F37BC7">
        <w:rPr>
          <w:i/>
          <w:iCs/>
          <w:sz w:val="28"/>
          <w:szCs w:val="28"/>
        </w:rPr>
        <w:t>Last Child in the Woods: Saving Our Children from Nature-Deficit Disorder</w:t>
      </w:r>
      <w:r w:rsidRPr="00F37BC7">
        <w:rPr>
          <w:sz w:val="28"/>
          <w:szCs w:val="28"/>
        </w:rPr>
        <w:t>. Chapel Hill: Algonquin Books.</w:t>
      </w:r>
    </w:p>
    <w:p w14:paraId="1A6E27C1" w14:textId="77777777" w:rsidR="008D2FB0" w:rsidRPr="00F37BC7" w:rsidRDefault="008D2FB0" w:rsidP="008D2FB0">
      <w:pPr>
        <w:rPr>
          <w:sz w:val="28"/>
          <w:szCs w:val="28"/>
        </w:rPr>
      </w:pPr>
      <w:r w:rsidRPr="00F37BC7">
        <w:rPr>
          <w:sz w:val="28"/>
          <w:szCs w:val="28"/>
        </w:rPr>
        <w:t xml:space="preserve">Mann, J., Gray, T., Truong, S., Sahlberg, P., Bentsen, P. &amp; Passy, R. (2022) ‘A systematic review of outdoor learning and academic attainment’, </w:t>
      </w:r>
      <w:r w:rsidRPr="00F37BC7">
        <w:rPr>
          <w:i/>
          <w:iCs/>
          <w:sz w:val="28"/>
          <w:szCs w:val="28"/>
        </w:rPr>
        <w:t>Cambridge Journal of Education</w:t>
      </w:r>
      <w:r w:rsidRPr="00F37BC7">
        <w:rPr>
          <w:sz w:val="28"/>
          <w:szCs w:val="28"/>
        </w:rPr>
        <w:t>, 52(4), pp. 453–472.</w:t>
      </w:r>
    </w:p>
    <w:p w14:paraId="0EF7CC9E" w14:textId="77777777" w:rsidR="008D2FB0" w:rsidRPr="00F37BC7" w:rsidRDefault="008D2FB0" w:rsidP="008D2FB0">
      <w:pPr>
        <w:rPr>
          <w:sz w:val="28"/>
          <w:szCs w:val="28"/>
        </w:rPr>
      </w:pPr>
      <w:r w:rsidRPr="00F37BC7">
        <w:rPr>
          <w:sz w:val="28"/>
          <w:szCs w:val="28"/>
        </w:rPr>
        <w:t xml:space="preserve">Natural England (2020) </w:t>
      </w:r>
      <w:r w:rsidRPr="00F37BC7">
        <w:rPr>
          <w:i/>
          <w:iCs/>
          <w:sz w:val="28"/>
          <w:szCs w:val="28"/>
        </w:rPr>
        <w:t>The People and Nature Survey for England: Children’s Report</w:t>
      </w:r>
      <w:r w:rsidRPr="00F37BC7">
        <w:rPr>
          <w:sz w:val="28"/>
          <w:szCs w:val="28"/>
        </w:rPr>
        <w:t xml:space="preserve">. Available at: </w:t>
      </w:r>
      <w:hyperlink r:id="rId10" w:history="1">
        <w:r w:rsidRPr="00F37BC7">
          <w:rPr>
            <w:rStyle w:val="Hyperlink"/>
            <w:sz w:val="28"/>
            <w:szCs w:val="28"/>
          </w:rPr>
          <w:t>https://www.gov.uk/government/statistics</w:t>
        </w:r>
      </w:hyperlink>
      <w:r w:rsidRPr="00F37BC7">
        <w:rPr>
          <w:sz w:val="28"/>
          <w:szCs w:val="28"/>
        </w:rPr>
        <w:t xml:space="preserve"> (Accessed: [insert date]).</w:t>
      </w:r>
    </w:p>
    <w:p w14:paraId="53717109" w14:textId="77777777" w:rsidR="008D2FB0" w:rsidRPr="00F37BC7" w:rsidRDefault="008D2FB0" w:rsidP="008D2FB0">
      <w:pPr>
        <w:rPr>
          <w:sz w:val="28"/>
          <w:szCs w:val="28"/>
        </w:rPr>
      </w:pPr>
      <w:r w:rsidRPr="00F37BC7">
        <w:rPr>
          <w:sz w:val="28"/>
          <w:szCs w:val="28"/>
        </w:rPr>
        <w:t xml:space="preserve">O’Brien, L. &amp; Murray, R. (2007) ‘Forest School and its impacts on young children: Case studies in Britain’, </w:t>
      </w:r>
      <w:r w:rsidRPr="00F37BC7">
        <w:rPr>
          <w:i/>
          <w:iCs/>
          <w:sz w:val="28"/>
          <w:szCs w:val="28"/>
        </w:rPr>
        <w:t>Urban Forestry &amp; Urban Greening</w:t>
      </w:r>
      <w:r w:rsidRPr="00F37BC7">
        <w:rPr>
          <w:sz w:val="28"/>
          <w:szCs w:val="28"/>
        </w:rPr>
        <w:t>, 6(4), pp. 249–265.</w:t>
      </w:r>
    </w:p>
    <w:p w14:paraId="420A437B" w14:textId="77777777" w:rsidR="008D2FB0" w:rsidRPr="00F37BC7" w:rsidRDefault="008D2FB0" w:rsidP="008D2FB0">
      <w:pPr>
        <w:rPr>
          <w:sz w:val="28"/>
          <w:szCs w:val="28"/>
        </w:rPr>
      </w:pPr>
      <w:r w:rsidRPr="00F37BC7">
        <w:rPr>
          <w:sz w:val="28"/>
          <w:szCs w:val="28"/>
        </w:rPr>
        <w:t xml:space="preserve">Rickinson, M., Dillon, J., </w:t>
      </w:r>
      <w:proofErr w:type="spellStart"/>
      <w:r w:rsidRPr="00F37BC7">
        <w:rPr>
          <w:sz w:val="28"/>
          <w:szCs w:val="28"/>
        </w:rPr>
        <w:t>Teamey</w:t>
      </w:r>
      <w:proofErr w:type="spellEnd"/>
      <w:r w:rsidRPr="00F37BC7">
        <w:rPr>
          <w:sz w:val="28"/>
          <w:szCs w:val="28"/>
        </w:rPr>
        <w:t xml:space="preserve">, K., Morris, M., Choi, M.Y., Sanders, D. &amp; Benefield, P. (2004) </w:t>
      </w:r>
      <w:r w:rsidRPr="00F37BC7">
        <w:rPr>
          <w:i/>
          <w:iCs/>
          <w:sz w:val="28"/>
          <w:szCs w:val="28"/>
        </w:rPr>
        <w:t>A Review of Research on Outdoor Learning</w:t>
      </w:r>
      <w:r w:rsidRPr="00F37BC7">
        <w:rPr>
          <w:sz w:val="28"/>
          <w:szCs w:val="28"/>
        </w:rPr>
        <w:t>. Slough: NFER.</w:t>
      </w:r>
    </w:p>
    <w:p w14:paraId="1ECB9E07" w14:textId="77777777" w:rsidR="008D2FB0" w:rsidRPr="00F37BC7" w:rsidRDefault="008D2FB0" w:rsidP="008D2FB0">
      <w:pPr>
        <w:rPr>
          <w:sz w:val="28"/>
          <w:szCs w:val="28"/>
        </w:rPr>
      </w:pPr>
      <w:r w:rsidRPr="00F37BC7">
        <w:rPr>
          <w:sz w:val="28"/>
          <w:szCs w:val="28"/>
        </w:rPr>
        <w:t xml:space="preserve">Roe, J. &amp; Aspinall, P. (2011) ‘The restorative outcomes of forest school and conventional school in young people with good and poor behaviour’, </w:t>
      </w:r>
      <w:r w:rsidRPr="00F37BC7">
        <w:rPr>
          <w:i/>
          <w:iCs/>
          <w:sz w:val="28"/>
          <w:szCs w:val="28"/>
        </w:rPr>
        <w:t>Urban Forestry &amp; Urban Greening</w:t>
      </w:r>
      <w:r w:rsidRPr="00F37BC7">
        <w:rPr>
          <w:sz w:val="28"/>
          <w:szCs w:val="28"/>
        </w:rPr>
        <w:t>, 10(3), pp. 205–212.</w:t>
      </w:r>
    </w:p>
    <w:p w14:paraId="047A2BF1" w14:textId="77777777" w:rsidR="008D2FB0" w:rsidRPr="00F37BC7" w:rsidRDefault="008D2FB0" w:rsidP="008D2FB0">
      <w:pPr>
        <w:rPr>
          <w:sz w:val="28"/>
          <w:szCs w:val="28"/>
        </w:rPr>
      </w:pPr>
      <w:r w:rsidRPr="00F37BC7">
        <w:rPr>
          <w:sz w:val="28"/>
          <w:szCs w:val="28"/>
        </w:rPr>
        <w:t xml:space="preserve">Waite, S. (2011) ‘Children learning outdoors: Exploring the tension between risk and challenge’, </w:t>
      </w:r>
      <w:r w:rsidRPr="00F37BC7">
        <w:rPr>
          <w:i/>
          <w:iCs/>
          <w:sz w:val="28"/>
          <w:szCs w:val="28"/>
        </w:rPr>
        <w:t>Education 3–13</w:t>
      </w:r>
      <w:r w:rsidRPr="00F37BC7">
        <w:rPr>
          <w:sz w:val="28"/>
          <w:szCs w:val="28"/>
        </w:rPr>
        <w:t>, 39(3), pp. 317–332.</w:t>
      </w:r>
    </w:p>
    <w:p w14:paraId="5DF47545" w14:textId="77777777" w:rsidR="008D2FB0" w:rsidRPr="00F37BC7" w:rsidRDefault="008D2FB0" w:rsidP="008D2FB0">
      <w:pPr>
        <w:rPr>
          <w:sz w:val="28"/>
          <w:szCs w:val="28"/>
        </w:rPr>
      </w:pPr>
      <w:r w:rsidRPr="00F37BC7">
        <w:rPr>
          <w:sz w:val="28"/>
          <w:szCs w:val="28"/>
        </w:rPr>
        <w:lastRenderedPageBreak/>
        <w:t xml:space="preserve">Waite, S., Rogers, S. &amp; Evans, J. (2016) ‘Freedom, flow and fairness: Exploring how children develop socially at school through outdoor play’, </w:t>
      </w:r>
      <w:r w:rsidRPr="00F37BC7">
        <w:rPr>
          <w:i/>
          <w:iCs/>
          <w:sz w:val="28"/>
          <w:szCs w:val="28"/>
        </w:rPr>
        <w:t>Journal of Adventure Education and Outdoor Learning</w:t>
      </w:r>
      <w:r w:rsidRPr="00F37BC7">
        <w:rPr>
          <w:sz w:val="28"/>
          <w:szCs w:val="28"/>
        </w:rPr>
        <w:t>, 16(3), pp. 1–15.</w:t>
      </w:r>
    </w:p>
    <w:p w14:paraId="0643C52A" w14:textId="77777777" w:rsidR="008D2FB0" w:rsidRPr="00F37BC7" w:rsidRDefault="008D2FB0" w:rsidP="008D2FB0">
      <w:pPr>
        <w:rPr>
          <w:sz w:val="28"/>
          <w:szCs w:val="28"/>
        </w:rPr>
      </w:pPr>
    </w:p>
    <w:p w14:paraId="70EFA1B7" w14:textId="77777777" w:rsidR="008D2FB0" w:rsidRPr="00F37BC7" w:rsidRDefault="008D2FB0" w:rsidP="008D2FB0">
      <w:pPr>
        <w:rPr>
          <w:sz w:val="28"/>
          <w:szCs w:val="28"/>
        </w:rPr>
      </w:pPr>
    </w:p>
    <w:p w14:paraId="341BD1EE" w14:textId="77777777" w:rsidR="008D2FB0" w:rsidRPr="00F37BC7" w:rsidRDefault="008D2FB0" w:rsidP="008D2FB0">
      <w:pPr>
        <w:rPr>
          <w:sz w:val="28"/>
          <w:szCs w:val="28"/>
        </w:rPr>
      </w:pPr>
    </w:p>
    <w:p w14:paraId="2A517965" w14:textId="77777777" w:rsidR="008D2FB0" w:rsidRPr="00F37BC7" w:rsidRDefault="008D2FB0" w:rsidP="008D2FB0">
      <w:pPr>
        <w:rPr>
          <w:sz w:val="28"/>
          <w:szCs w:val="28"/>
        </w:rPr>
      </w:pPr>
    </w:p>
    <w:p w14:paraId="1D496658" w14:textId="77777777" w:rsidR="00AA723F" w:rsidRPr="00F37BC7" w:rsidRDefault="00AA723F">
      <w:pPr>
        <w:rPr>
          <w:sz w:val="28"/>
          <w:szCs w:val="28"/>
        </w:rPr>
      </w:pPr>
    </w:p>
    <w:sectPr w:rsidR="00AA723F" w:rsidRPr="00F37BC7" w:rsidSect="00B36E66">
      <w:footerReference w:type="default" r:id="rId11"/>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183C2" w14:textId="77777777" w:rsidR="00F9333C" w:rsidRDefault="00F9333C" w:rsidP="002F3425">
      <w:pPr>
        <w:spacing w:after="0" w:line="240" w:lineRule="auto"/>
      </w:pPr>
      <w:r>
        <w:separator/>
      </w:r>
    </w:p>
  </w:endnote>
  <w:endnote w:type="continuationSeparator" w:id="0">
    <w:p w14:paraId="14906F13" w14:textId="77777777" w:rsidR="00F9333C" w:rsidRDefault="00F9333C" w:rsidP="002F3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384698"/>
      <w:docPartObj>
        <w:docPartGallery w:val="Page Numbers (Bottom of Page)"/>
        <w:docPartUnique/>
      </w:docPartObj>
    </w:sdtPr>
    <w:sdtContent>
      <w:p w14:paraId="348C9EEE" w14:textId="00C825B5" w:rsidR="002F3425" w:rsidRDefault="002F3425">
        <w:pPr>
          <w:pStyle w:val="Footer"/>
        </w:pPr>
        <w:r>
          <w:fldChar w:fldCharType="begin"/>
        </w:r>
        <w:r>
          <w:instrText>PAGE   \* MERGEFORMAT</w:instrText>
        </w:r>
        <w:r>
          <w:fldChar w:fldCharType="separate"/>
        </w:r>
        <w:r>
          <w:t>2</w:t>
        </w:r>
        <w:r>
          <w:fldChar w:fldCharType="end"/>
        </w:r>
      </w:p>
    </w:sdtContent>
  </w:sdt>
  <w:p w14:paraId="0BE640B7" w14:textId="77777777" w:rsidR="002F3425" w:rsidRDefault="002F3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E840E" w14:textId="77777777" w:rsidR="00F9333C" w:rsidRDefault="00F9333C" w:rsidP="002F3425">
      <w:pPr>
        <w:spacing w:after="0" w:line="240" w:lineRule="auto"/>
      </w:pPr>
      <w:r>
        <w:separator/>
      </w:r>
    </w:p>
  </w:footnote>
  <w:footnote w:type="continuationSeparator" w:id="0">
    <w:p w14:paraId="5D660B32" w14:textId="77777777" w:rsidR="00F9333C" w:rsidRDefault="00F9333C" w:rsidP="002F3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71B2B"/>
    <w:multiLevelType w:val="multilevel"/>
    <w:tmpl w:val="D570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A12FDF"/>
    <w:multiLevelType w:val="multilevel"/>
    <w:tmpl w:val="74F6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8C0310"/>
    <w:multiLevelType w:val="multilevel"/>
    <w:tmpl w:val="5BB2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F004EB"/>
    <w:multiLevelType w:val="multilevel"/>
    <w:tmpl w:val="D924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970CDC"/>
    <w:multiLevelType w:val="multilevel"/>
    <w:tmpl w:val="2612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B41C5F"/>
    <w:multiLevelType w:val="multilevel"/>
    <w:tmpl w:val="4C80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C360D3"/>
    <w:multiLevelType w:val="multilevel"/>
    <w:tmpl w:val="7522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2977219">
    <w:abstractNumId w:val="2"/>
  </w:num>
  <w:num w:numId="2" w16cid:durableId="2041465243">
    <w:abstractNumId w:val="6"/>
  </w:num>
  <w:num w:numId="3" w16cid:durableId="1195657152">
    <w:abstractNumId w:val="5"/>
  </w:num>
  <w:num w:numId="4" w16cid:durableId="1214006470">
    <w:abstractNumId w:val="3"/>
  </w:num>
  <w:num w:numId="5" w16cid:durableId="1046762606">
    <w:abstractNumId w:val="0"/>
  </w:num>
  <w:num w:numId="6" w16cid:durableId="2073430318">
    <w:abstractNumId w:val="1"/>
  </w:num>
  <w:num w:numId="7" w16cid:durableId="9347035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339"/>
    <w:rsid w:val="0015442F"/>
    <w:rsid w:val="00250D15"/>
    <w:rsid w:val="002F3425"/>
    <w:rsid w:val="002F6B95"/>
    <w:rsid w:val="003D0E4C"/>
    <w:rsid w:val="004317EE"/>
    <w:rsid w:val="004422CE"/>
    <w:rsid w:val="006F5580"/>
    <w:rsid w:val="00806339"/>
    <w:rsid w:val="008A4610"/>
    <w:rsid w:val="008D2FB0"/>
    <w:rsid w:val="00AA723F"/>
    <w:rsid w:val="00B36E66"/>
    <w:rsid w:val="00E17AEC"/>
    <w:rsid w:val="00E2332B"/>
    <w:rsid w:val="00F37BC7"/>
    <w:rsid w:val="00F93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89D93"/>
  <w15:chartTrackingRefBased/>
  <w15:docId w15:val="{27EF5227-F41D-43D4-AFCB-329BAF866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63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63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63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63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63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6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33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633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63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63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63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6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339"/>
    <w:rPr>
      <w:rFonts w:eastAsiaTheme="majorEastAsia" w:cstheme="majorBidi"/>
      <w:color w:val="272727" w:themeColor="text1" w:themeTint="D8"/>
    </w:rPr>
  </w:style>
  <w:style w:type="paragraph" w:styleId="Title">
    <w:name w:val="Title"/>
    <w:basedOn w:val="Normal"/>
    <w:next w:val="Normal"/>
    <w:link w:val="TitleChar"/>
    <w:uiPriority w:val="10"/>
    <w:qFormat/>
    <w:rsid w:val="00806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339"/>
    <w:pPr>
      <w:spacing w:before="160"/>
      <w:jc w:val="center"/>
    </w:pPr>
    <w:rPr>
      <w:i/>
      <w:iCs/>
      <w:color w:val="404040" w:themeColor="text1" w:themeTint="BF"/>
    </w:rPr>
  </w:style>
  <w:style w:type="character" w:customStyle="1" w:styleId="QuoteChar">
    <w:name w:val="Quote Char"/>
    <w:basedOn w:val="DefaultParagraphFont"/>
    <w:link w:val="Quote"/>
    <w:uiPriority w:val="29"/>
    <w:rsid w:val="00806339"/>
    <w:rPr>
      <w:i/>
      <w:iCs/>
      <w:color w:val="404040" w:themeColor="text1" w:themeTint="BF"/>
    </w:rPr>
  </w:style>
  <w:style w:type="paragraph" w:styleId="ListParagraph">
    <w:name w:val="List Paragraph"/>
    <w:basedOn w:val="Normal"/>
    <w:uiPriority w:val="34"/>
    <w:qFormat/>
    <w:rsid w:val="00806339"/>
    <w:pPr>
      <w:ind w:left="720"/>
      <w:contextualSpacing/>
    </w:pPr>
  </w:style>
  <w:style w:type="character" w:styleId="IntenseEmphasis">
    <w:name w:val="Intense Emphasis"/>
    <w:basedOn w:val="DefaultParagraphFont"/>
    <w:uiPriority w:val="21"/>
    <w:qFormat/>
    <w:rsid w:val="00806339"/>
    <w:rPr>
      <w:i/>
      <w:iCs/>
      <w:color w:val="2F5496" w:themeColor="accent1" w:themeShade="BF"/>
    </w:rPr>
  </w:style>
  <w:style w:type="paragraph" w:styleId="IntenseQuote">
    <w:name w:val="Intense Quote"/>
    <w:basedOn w:val="Normal"/>
    <w:next w:val="Normal"/>
    <w:link w:val="IntenseQuoteChar"/>
    <w:uiPriority w:val="30"/>
    <w:qFormat/>
    <w:rsid w:val="008063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6339"/>
    <w:rPr>
      <w:i/>
      <w:iCs/>
      <w:color w:val="2F5496" w:themeColor="accent1" w:themeShade="BF"/>
    </w:rPr>
  </w:style>
  <w:style w:type="character" w:styleId="IntenseReference">
    <w:name w:val="Intense Reference"/>
    <w:basedOn w:val="DefaultParagraphFont"/>
    <w:uiPriority w:val="32"/>
    <w:qFormat/>
    <w:rsid w:val="00806339"/>
    <w:rPr>
      <w:b/>
      <w:bCs/>
      <w:smallCaps/>
      <w:color w:val="2F5496" w:themeColor="accent1" w:themeShade="BF"/>
      <w:spacing w:val="5"/>
    </w:rPr>
  </w:style>
  <w:style w:type="paragraph" w:styleId="Header">
    <w:name w:val="header"/>
    <w:basedOn w:val="Normal"/>
    <w:link w:val="HeaderChar"/>
    <w:uiPriority w:val="99"/>
    <w:unhideWhenUsed/>
    <w:rsid w:val="002F3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425"/>
  </w:style>
  <w:style w:type="paragraph" w:styleId="Footer">
    <w:name w:val="footer"/>
    <w:basedOn w:val="Normal"/>
    <w:link w:val="FooterChar"/>
    <w:uiPriority w:val="99"/>
    <w:unhideWhenUsed/>
    <w:rsid w:val="002F3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425"/>
  </w:style>
  <w:style w:type="paragraph" w:styleId="NoSpacing">
    <w:name w:val="No Spacing"/>
    <w:link w:val="NoSpacingChar"/>
    <w:uiPriority w:val="1"/>
    <w:qFormat/>
    <w:rsid w:val="002F342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F3425"/>
    <w:rPr>
      <w:rFonts w:eastAsiaTheme="minorEastAsia"/>
      <w:kern w:val="0"/>
      <w:lang w:eastAsia="en-GB"/>
      <w14:ligatures w14:val="none"/>
    </w:rPr>
  </w:style>
  <w:style w:type="paragraph" w:styleId="TOCHeading">
    <w:name w:val="TOC Heading"/>
    <w:basedOn w:val="Heading1"/>
    <w:next w:val="Normal"/>
    <w:uiPriority w:val="39"/>
    <w:unhideWhenUsed/>
    <w:qFormat/>
    <w:rsid w:val="002F3425"/>
    <w:pPr>
      <w:spacing w:before="240" w:after="0"/>
      <w:outlineLvl w:val="9"/>
    </w:pPr>
    <w:rPr>
      <w:kern w:val="0"/>
      <w:sz w:val="32"/>
      <w:szCs w:val="32"/>
      <w:lang w:eastAsia="en-GB"/>
      <w14:ligatures w14:val="none"/>
    </w:rPr>
  </w:style>
  <w:style w:type="table" w:customStyle="1" w:styleId="TableGrid1">
    <w:name w:val="Table Grid1"/>
    <w:basedOn w:val="TableNormal"/>
    <w:next w:val="TableGrid"/>
    <w:uiPriority w:val="59"/>
    <w:rsid w:val="00B36E66"/>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36E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2FB0"/>
    <w:rPr>
      <w:color w:val="0563C1" w:themeColor="hyperlink"/>
      <w:u w:val="single"/>
    </w:rPr>
  </w:style>
  <w:style w:type="paragraph" w:styleId="TOC2">
    <w:name w:val="toc 2"/>
    <w:basedOn w:val="Normal"/>
    <w:next w:val="Normal"/>
    <w:autoRedefine/>
    <w:uiPriority w:val="39"/>
    <w:unhideWhenUsed/>
    <w:rsid w:val="00F37BC7"/>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F37BC7"/>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F37BC7"/>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tc.org.uk"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overnment/statistics" TargetMode="External"/><Relationship Id="rId4" Type="http://schemas.openxmlformats.org/officeDocument/2006/relationships/webSettings" Target="webSettings.xml"/><Relationship Id="rId9" Type="http://schemas.openxmlformats.org/officeDocument/2006/relationships/hyperlink" Target="https://www.outdoor-learning.org"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A2F9F546B84F04A5121718EAC347C8"/>
        <w:category>
          <w:name w:val="General"/>
          <w:gallery w:val="placeholder"/>
        </w:category>
        <w:types>
          <w:type w:val="bbPlcHdr"/>
        </w:types>
        <w:behaviors>
          <w:behavior w:val="content"/>
        </w:behaviors>
        <w:guid w:val="{E3FE324B-0E80-4A49-B3C6-93B30786C03D}"/>
      </w:docPartPr>
      <w:docPartBody>
        <w:p w:rsidR="00000000" w:rsidRDefault="00204752" w:rsidP="00204752">
          <w:pPr>
            <w:pStyle w:val="C7A2F9F546B84F04A5121718EAC347C8"/>
          </w:pPr>
          <w:r>
            <w:rPr>
              <w:rFonts w:asciiTheme="majorHAnsi" w:eastAsiaTheme="majorEastAsia" w:hAnsiTheme="majorHAnsi" w:cstheme="majorBidi"/>
              <w:caps/>
              <w:color w:val="156082" w:themeColor="accent1"/>
              <w:sz w:val="80"/>
              <w:szCs w:val="80"/>
            </w:rPr>
            <w:t>[Document title]</w:t>
          </w:r>
        </w:p>
      </w:docPartBody>
    </w:docPart>
    <w:docPart>
      <w:docPartPr>
        <w:name w:val="FF435445EB304117908F31BC67F74487"/>
        <w:category>
          <w:name w:val="General"/>
          <w:gallery w:val="placeholder"/>
        </w:category>
        <w:types>
          <w:type w:val="bbPlcHdr"/>
        </w:types>
        <w:behaviors>
          <w:behavior w:val="content"/>
        </w:behaviors>
        <w:guid w:val="{1E4BB906-049B-4C67-A0CF-0BC7F7B2D400}"/>
      </w:docPartPr>
      <w:docPartBody>
        <w:p w:rsidR="00000000" w:rsidRDefault="00204752" w:rsidP="00204752">
          <w:pPr>
            <w:pStyle w:val="FF435445EB304117908F31BC67F7448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752"/>
    <w:rsid w:val="0015442F"/>
    <w:rsid w:val="00204752"/>
    <w:rsid w:val="00A12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A2F9F546B84F04A5121718EAC347C8">
    <w:name w:val="C7A2F9F546B84F04A5121718EAC347C8"/>
    <w:rsid w:val="00204752"/>
  </w:style>
  <w:style w:type="paragraph" w:customStyle="1" w:styleId="FF435445EB304117908F31BC67F74487">
    <w:name w:val="FF435445EB304117908F31BC67F74487"/>
    <w:rsid w:val="00204752"/>
  </w:style>
  <w:style w:type="paragraph" w:customStyle="1" w:styleId="FC68B8CEB93A4EADA0B0A2511BF6DAAB">
    <w:name w:val="FC68B8CEB93A4EADA0B0A2511BF6DAAB"/>
    <w:rsid w:val="00204752"/>
  </w:style>
  <w:style w:type="paragraph" w:customStyle="1" w:styleId="7E14FB3C178C43309E601915EE584407">
    <w:name w:val="7E14FB3C178C43309E601915EE584407"/>
    <w:rsid w:val="00204752"/>
  </w:style>
  <w:style w:type="paragraph" w:customStyle="1" w:styleId="25526D13C3554B0199B04A58097207B6">
    <w:name w:val="25526D13C3554B0199B04A58097207B6"/>
    <w:rsid w:val="002047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24</Pages>
  <Words>4424</Words>
  <Characters>25221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Moving away from traditional education: Outdoor education and learning</vt:lpstr>
    </vt:vector>
  </TitlesOfParts>
  <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away from traditional education: Outdoor education and learning</dc:title>
  <dc:subject>BA Inclusive Education</dc:subject>
  <dc:creator>Lynsey Copp (2118579)</dc:creator>
  <cp:keywords/>
  <dc:description/>
  <cp:lastModifiedBy>Lynsey Copp (2118579)</cp:lastModifiedBy>
  <cp:revision>2</cp:revision>
  <dcterms:created xsi:type="dcterms:W3CDTF">2026-04-21T17:08:00Z</dcterms:created>
  <dcterms:modified xsi:type="dcterms:W3CDTF">2026-04-21T17:08:00Z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9bb45880-3c52-40a8-89da-30ed084cb958</vt:lpwstr>
  </property>
</Properties>
</file>