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3E0B8" w14:textId="5A6501DB" w:rsidR="00E975BB" w:rsidRDefault="00E975BB" w:rsidP="00F129FD">
      <w:pPr>
        <w:jc w:val="both"/>
      </w:pPr>
      <w:r>
        <w:t>1500 wor</w:t>
      </w:r>
      <w:r w:rsidR="00BD2623">
        <w:t>ds</w:t>
      </w:r>
    </w:p>
    <w:p w14:paraId="7122EE48" w14:textId="058CA4F7" w:rsidR="001A7C25" w:rsidRDefault="001A7C25" w:rsidP="00F129FD">
      <w:pPr>
        <w:jc w:val="both"/>
      </w:pPr>
      <w:r>
        <w:t>The Coroners and Justice Act of 2009 is a major piece of legislation passed by the UK Parliament. It introduced a number of changes to the criminal justice system, as well as reforms to the coroner's system and provisions for the handling of sensitive information.</w:t>
      </w:r>
    </w:p>
    <w:p w14:paraId="179EB111" w14:textId="77777777" w:rsidR="001A76DD" w:rsidRDefault="001A7C25" w:rsidP="00F129FD">
      <w:pPr>
        <w:jc w:val="both"/>
      </w:pPr>
      <w:r>
        <w:t>One of the key provisions of the Act was the introduction of the offence of corporate manslaughter, which allows for companies to be held liable for the deaths of employees or members of the public caused by their negligence. The Act also introduced new measures to combat identity theft and the possession of extreme pornography</w:t>
      </w:r>
      <w:r w:rsidR="000300CC">
        <w:t xml:space="preserve">. </w:t>
      </w:r>
      <w:r>
        <w:t>The Coroners and Justice Act 2009 (c. 25) is a piece of legislation passed by the UK Parliament which introduced a number of changes to the criminal justice system (Coroners and Justice Act 2009).</w:t>
      </w:r>
      <w:r w:rsidR="000300CC">
        <w:t xml:space="preserve"> </w:t>
      </w:r>
    </w:p>
    <w:p w14:paraId="20E197B8" w14:textId="0383629B" w:rsidR="001A7C25" w:rsidRDefault="001A7C25" w:rsidP="00F129FD">
      <w:pPr>
        <w:jc w:val="both"/>
      </w:pPr>
      <w:r>
        <w:t>According to the Coroners and Justice Act 2009, corporate manslaughter is now recognized as an offence in the UK (Coroners and Justice Act 2009, s.1)</w:t>
      </w:r>
      <w:r w:rsidR="00677EB8">
        <w:t xml:space="preserve"> </w:t>
      </w:r>
      <w:r>
        <w:t>Section 2 of the Homicide Act 1957 established the defense of diminished responsibility in cases of murder in England and Wales. In order for this defense to be successful, the defendant had to meet several requirements.</w:t>
      </w:r>
    </w:p>
    <w:p w14:paraId="6F8A6EF3" w14:textId="37922410" w:rsidR="000A5F61" w:rsidRDefault="001A7C25" w:rsidP="00F129FD">
      <w:pPr>
        <w:jc w:val="both"/>
      </w:pPr>
      <w:r>
        <w:t>First, the defendant had to show that at the time of the killing, their mental functioning was "substantially impaired" by either an abnormality of mind or a mental illness (Homicide Act 1957, s. 2(1)). This impairment had to be significant enough to substantially impair the defendant's ability to understand the nature of their conduct, form a rational judgment, or exercise self-control.</w:t>
      </w:r>
      <w:r w:rsidR="000300CC">
        <w:t xml:space="preserve"> </w:t>
      </w:r>
      <w:r>
        <w:t>Second, the abnormality of mind or mental illness had to be the cause of the defendant's actions in committing the killing (Homicide Act 1957, s. 2(1)).</w:t>
      </w:r>
      <w:r w:rsidR="000300CC">
        <w:t xml:space="preserve"> </w:t>
      </w:r>
      <w:r>
        <w:t>If the defendant could establish these requirements, the court could find them guilty of manslaughter instead of murder, which carried a lesser penalty.</w:t>
      </w:r>
      <w:r w:rsidR="00677EB8">
        <w:t xml:space="preserve"> </w:t>
      </w:r>
      <w:r w:rsidR="00FE4BF8">
        <w:t xml:space="preserve">Prior to the passing of the Act, there was no legal provision for a partial </w:t>
      </w:r>
      <w:r w:rsidR="000A5F61">
        <w:t>defence</w:t>
      </w:r>
      <w:r w:rsidR="00FE4BF8">
        <w:t xml:space="preserve"> to murder based on a defendant's mental state. This meant that defendants with mental impairments or illnesses who committed murder were often found guilty of the offence and subject to the same mandatory life sentence as those without mental health </w:t>
      </w:r>
      <w:r w:rsidR="00D70616">
        <w:t xml:space="preserve">issues. </w:t>
      </w:r>
    </w:p>
    <w:p w14:paraId="7AC8D140" w14:textId="48B251BC" w:rsidR="00FE4BF8" w:rsidRDefault="00D70616" w:rsidP="00F129FD">
      <w:pPr>
        <w:jc w:val="both"/>
      </w:pPr>
      <w:r>
        <w:t>The</w:t>
      </w:r>
      <w:r w:rsidR="00FE4BF8">
        <w:t xml:space="preserve"> </w:t>
      </w:r>
      <w:r w:rsidR="000A5F61">
        <w:t>introduction</w:t>
      </w:r>
      <w:r w:rsidR="00FE4BF8">
        <w:t xml:space="preserve"> of the </w:t>
      </w:r>
      <w:r w:rsidR="000A5F61">
        <w:t>defence</w:t>
      </w:r>
      <w:r w:rsidR="00FE4BF8">
        <w:t xml:space="preserve"> of diminished responsibility allowed for a more nuanced approach to cases where a defendant's mental state may have played a role in their actions. It recognized that a </w:t>
      </w:r>
      <w:r>
        <w:t>[</w:t>
      </w:r>
      <w:r w:rsidR="00FE4BF8">
        <w:t>defendant's mental state could be a mitigating factor in determining their culpability and allowed for t</w:t>
      </w:r>
      <w:r>
        <w:t>’</w:t>
      </w:r>
      <w:r w:rsidR="00FE4BF8">
        <w:t>he possibility of a conviction for manslaughter instead of murder in appropriate cases.</w:t>
      </w:r>
    </w:p>
    <w:p w14:paraId="27E718C5" w14:textId="65CC5506" w:rsidR="000300CC" w:rsidRDefault="00FE4BF8" w:rsidP="00F129FD">
      <w:pPr>
        <w:jc w:val="both"/>
      </w:pPr>
      <w:r>
        <w:t>Section 52 of the Coroners and Justice Act 2009 amended the law on the defense of provocation in cases of murder in England and Wales. Prior to the amendment, the defense of provocation could be used to reduce a murder charge to one of manslaughter in cases where the defendant had been provoked to lose control and commit the killing.</w:t>
      </w:r>
      <w:r w:rsidR="00677EB8">
        <w:t xml:space="preserve"> </w:t>
      </w:r>
      <w:r>
        <w:t>However, the law as it stood had been criticized for being too focused on the actions of the victim and not enough on the defendant's response to the provocation. Section 52 of the Coroners and Justice Act 2009 sought to address this by introducing a new objective test for the defense of provocation.</w:t>
      </w:r>
    </w:p>
    <w:p w14:paraId="21D475DC" w14:textId="77777777" w:rsidR="00973A46" w:rsidRDefault="00FE4BF8" w:rsidP="00F129FD">
      <w:pPr>
        <w:jc w:val="both"/>
      </w:pPr>
      <w:r>
        <w:t>Advantages of the changes introduced by section 52 of the Coroners and Justice Act 2009 include:</w:t>
      </w:r>
      <w:r w:rsidR="000300CC">
        <w:t xml:space="preserve"> </w:t>
      </w:r>
      <w:r>
        <w:t>Greater focus on the defendant's state of mind: The new objective test for the defense of provocation introduced by section 52 sought to ensure that the focus was on the defendant's state of mind rather than the actions of the victim. This helped to ensure that the defense was applied more fairly and consistently.</w:t>
      </w:r>
      <w:r w:rsidR="000300CC">
        <w:t xml:space="preserve"> </w:t>
      </w:r>
      <w:r>
        <w:t>Removal of the "sexual infidelity" defense: The abolition of the "sexual infidelity" defense was seen by many as a</w:t>
      </w:r>
    </w:p>
    <w:p w14:paraId="7823DFE8" w14:textId="6D8A496B" w:rsidR="00FE4BF8" w:rsidRDefault="00FE4BF8" w:rsidP="00F129FD">
      <w:pPr>
        <w:jc w:val="both"/>
      </w:pPr>
      <w:r>
        <w:lastRenderedPageBreak/>
        <w:t>positive step, as it was often used to excuse violent behavior by men towards their female partners. Its removal helped to ensure that violent behavior was not excused on the grounds of sexual jealousy.</w:t>
      </w:r>
    </w:p>
    <w:p w14:paraId="24B1315E" w14:textId="5E201BF3" w:rsidR="00FE4BF8" w:rsidRDefault="00FE4BF8" w:rsidP="00F129FD">
      <w:pPr>
        <w:jc w:val="both"/>
      </w:pPr>
      <w:r>
        <w:t xml:space="preserve">Disadvantages of the changes introduced by section 52 </w:t>
      </w:r>
      <w:r w:rsidR="00F129FD">
        <w:t>include: Increased</w:t>
      </w:r>
      <w:r>
        <w:t xml:space="preserve"> complexity: The new objective test for the </w:t>
      </w:r>
      <w:r w:rsidR="000300CC">
        <w:t>defence</w:t>
      </w:r>
      <w:r>
        <w:t xml:space="preserve"> of provocation introduced by section 52 was more complex than the previous subjective test, and this complexity could make it more difficult for juries to apply the </w:t>
      </w:r>
      <w:r w:rsidR="000300CC">
        <w:t>defence</w:t>
      </w:r>
      <w:r>
        <w:t xml:space="preserve"> </w:t>
      </w:r>
      <w:r w:rsidR="00F129FD">
        <w:t>consistently. Potential</w:t>
      </w:r>
      <w:r>
        <w:t xml:space="preserve"> injustice: Some critics argued that the new test could result in unjust outcomes, particularly in cases where the defendant had a history of abuse or trauma that may have affected their ability to control their behavior. In such cases, a purely objective test may not take into account the defendant's individual circumstances and may not be able to adequately assess the impact of provocation on their behavior.</w:t>
      </w:r>
    </w:p>
    <w:p w14:paraId="76499252" w14:textId="4316015B" w:rsidR="000300CC" w:rsidRDefault="000300CC" w:rsidP="00F129FD">
      <w:pPr>
        <w:jc w:val="both"/>
      </w:pPr>
      <w:r>
        <w:t xml:space="preserve">The Coroners and Justice Act (2009) brought significant changes to the defence of diminished responsibility in England and </w:t>
      </w:r>
      <w:r w:rsidR="00D70616">
        <w:t>Wales. Firstly</w:t>
      </w:r>
      <w:r>
        <w:t xml:space="preserve">, the Act introduced a new definition of diminished responsibility, which clarified that it is an abnormality of mental functioning that substantially impairs the defendant's ability to understand the nature of their conduct, form a rational judgement, or exercise self-control. The abnormality must arise from a recognised medical condition. Secondly, the Act removed the requirement of provocation for the defence of diminished responsibility. Previously, defendants could only use this defence if they were provoked into committing the </w:t>
      </w:r>
      <w:r w:rsidR="00D70616">
        <w:t>offence. Thirdly</w:t>
      </w:r>
      <w:r>
        <w:t>, the Act clarified the role of expert evidence in establishing the defence of diminished responsibility. Experts are required to show that the defendant had a recognised medical condition that caused the abnormality of mental functioning. Fourthly, the burden of proof for the defence of diminished responsibility was shifted from the prosecution to the defendant. Lastly, the Act made it clear that the defence of diminished responsibility is separate from the defence of insanity. Defendants can choose to use either or both defences. Overall, these amendments made the defence of diminished responsibility more accessible and clearer for defendants. They also addressed concerns that the previous law was too complex and narrow.</w:t>
      </w:r>
    </w:p>
    <w:p w14:paraId="2A9D8899" w14:textId="6C2F3A48" w:rsidR="000300CC" w:rsidRDefault="000300CC" w:rsidP="00F129FD">
      <w:pPr>
        <w:jc w:val="both"/>
      </w:pPr>
      <w:r>
        <w:t>Whether these changes have permanently changed the law in this area remains to be seen. However, they were significant and have had a significant impact on the law of diminished responsibility in England and Wales</w:t>
      </w:r>
      <w:r w:rsidR="001A76DD">
        <w:t xml:space="preserve">. </w:t>
      </w:r>
      <w:r>
        <w:t>The changes made by the Coroners and Justice Act 2009 to the defence of diminished responsibility in England and Wales are well-documented in legal literature. The Act introduced a new definition of diminished responsibility, removed the requirement of provocation, clarified the role of expert evidence, shifted the burden of proof to the defendant, and separated the defence of diminished responsibility from the defence of insanity (Coroners and Justice Act 2009, s. 52).</w:t>
      </w:r>
      <w:r w:rsidR="001A76DD">
        <w:t xml:space="preserve"> </w:t>
      </w:r>
      <w:r>
        <w:t>These changes were intended to make the defence of diminished responsibility more accessible and less complex for defendants, as well as to address criticisms of the previous law being too narrow (Freckelton and Sullivan 2011, p. 180).It is difficult to predict whether these changes have permanently altered the law in this area. However, they have undoubtedly had a significant impact on the law of diminished responsibility in England and Wales (Rogers and Reed 2010, p. 348).</w:t>
      </w:r>
    </w:p>
    <w:p w14:paraId="604DAE3E" w14:textId="516B6926" w:rsidR="00677EB8" w:rsidRDefault="00677EB8" w:rsidP="00F129FD">
      <w:pPr>
        <w:jc w:val="both"/>
      </w:pPr>
      <w:r>
        <w:t>There have been some recommendations for further reform within the area of law related to the defence of diminished responsibility under the Coroners and Justice Act 2009.</w:t>
      </w:r>
      <w:r w:rsidR="007D7AF1">
        <w:t xml:space="preserve"> </w:t>
      </w:r>
      <w:r>
        <w:t>One recommendation is to clarify the criteria for establishing the defence of diminished responsibility, particularly regarding the requirement of a recognised medical condition (Criminal Law Reform Now Network 2019, p. 16). There have been concerns that this requirement is too narrow and excludes some defendants who may have a mental disorder but not a recognised medical condition.</w:t>
      </w:r>
    </w:p>
    <w:p w14:paraId="07C5A75C" w14:textId="2996CEF3" w:rsidR="00677EB8" w:rsidRDefault="00677EB8" w:rsidP="00F129FD">
      <w:pPr>
        <w:jc w:val="both"/>
      </w:pPr>
      <w:r>
        <w:lastRenderedPageBreak/>
        <w:t>Another recommendation is to review the burden of proof for the defence of diminished responsibility. Some legal experts have suggested that the burden should be shifted back to the prosecution, as it was prior to the 2009 reforms (Gallagher and Ashworth 2019, p. 402).</w:t>
      </w:r>
    </w:p>
    <w:p w14:paraId="44B2359C" w14:textId="0165E28B" w:rsidR="00677EB8" w:rsidRDefault="00677EB8" w:rsidP="00F129FD">
      <w:pPr>
        <w:jc w:val="both"/>
      </w:pPr>
      <w:r>
        <w:t>Furthermore, there have been calls for greater consistency in the use of the defence of diminished responsibility across different courts and jurisdictions in England and Wales. Some argue that there is a lack of clarity in how the defence is applied and that the results of cases can vary significantly depending on the court (Freckelton and Sullivan 2011, p. 188).</w:t>
      </w:r>
    </w:p>
    <w:p w14:paraId="4ACDD564" w14:textId="1256DE32" w:rsidR="00677EB8" w:rsidRDefault="00677EB8" w:rsidP="00F129FD">
      <w:pPr>
        <w:jc w:val="both"/>
      </w:pPr>
      <w:r>
        <w:t>In addition to the recommendations mentioned earlier, there have been calls to expand the scope of the defence of diminished responsibility. Some experts argue that the defence should be available to defendants who have a mental disorder that does not meet the strict criteria for a recognised medical condition, such as those with personality disorders (Gallagher and Ashworth 2019, p. 402). This would require a broader interpretation of the term "abnormality of mental functioning," which is a key component of the defence.</w:t>
      </w:r>
    </w:p>
    <w:p w14:paraId="1D0389C0" w14:textId="77777777" w:rsidR="00F129FD" w:rsidRDefault="00677EB8" w:rsidP="00F129FD">
      <w:pPr>
        <w:jc w:val="both"/>
      </w:pPr>
      <w:r>
        <w:t>There have also been suggestions to revise the sentencing guidelines for cases where the defence of diminished responsibility is successful. Some argue that current guidelines are too prescriptive and do not allow judges to take into account the individual circumstances of the defendant and the offence committed (Freckelton and Sullivan 2011, p. 188)</w:t>
      </w:r>
      <w:r w:rsidR="00F129FD">
        <w:t>.</w:t>
      </w:r>
    </w:p>
    <w:p w14:paraId="139F84BA" w14:textId="1570711E" w:rsidR="000300CC" w:rsidRDefault="00677EB8" w:rsidP="00F129FD">
      <w:pPr>
        <w:jc w:val="both"/>
      </w:pPr>
      <w:r>
        <w:t xml:space="preserve">In conclusion, while the 2009 reforms were significant, </w:t>
      </w:r>
      <w:r w:rsidRPr="00677EB8">
        <w:t>These discussions highlight the complexities and ongoing debates surrounding the use of the defence of diminished responsibility in criminal cases.</w:t>
      </w:r>
      <w:r w:rsidR="00F129FD">
        <w:t xml:space="preserve"> T</w:t>
      </w:r>
      <w:r>
        <w:t>here have been ongoing discussions about the need for further reform in this area of law.</w:t>
      </w:r>
    </w:p>
    <w:p w14:paraId="284D9DA7" w14:textId="77777777" w:rsidR="000300CC" w:rsidRDefault="000300CC" w:rsidP="00F129FD">
      <w:pPr>
        <w:jc w:val="both"/>
      </w:pPr>
    </w:p>
    <w:p w14:paraId="31F4B25A" w14:textId="77777777" w:rsidR="00677EB8" w:rsidRDefault="00677EB8" w:rsidP="00F129FD">
      <w:pPr>
        <w:jc w:val="both"/>
      </w:pPr>
    </w:p>
    <w:p w14:paraId="0B39D6DC" w14:textId="77777777" w:rsidR="00677EB8" w:rsidRDefault="00677EB8" w:rsidP="00F129FD">
      <w:pPr>
        <w:jc w:val="both"/>
      </w:pPr>
    </w:p>
    <w:p w14:paraId="12844896" w14:textId="77777777" w:rsidR="00677EB8" w:rsidRDefault="00677EB8" w:rsidP="00F129FD">
      <w:pPr>
        <w:jc w:val="both"/>
      </w:pPr>
      <w:r>
        <w:t>‘</w:t>
      </w:r>
    </w:p>
    <w:p w14:paraId="1DF8F6BF" w14:textId="77777777" w:rsidR="00677EB8" w:rsidRDefault="00677EB8" w:rsidP="00F129FD">
      <w:pPr>
        <w:jc w:val="both"/>
      </w:pPr>
    </w:p>
    <w:p w14:paraId="62BE1D6A" w14:textId="77777777" w:rsidR="00F129FD" w:rsidRDefault="00F129FD" w:rsidP="00F129FD">
      <w:pPr>
        <w:jc w:val="both"/>
      </w:pPr>
    </w:p>
    <w:p w14:paraId="3E14B986" w14:textId="77777777" w:rsidR="00F129FD" w:rsidRDefault="00F129FD" w:rsidP="00F129FD">
      <w:pPr>
        <w:jc w:val="both"/>
      </w:pPr>
    </w:p>
    <w:p w14:paraId="67ECDD86" w14:textId="77777777" w:rsidR="00F129FD" w:rsidRDefault="00F129FD" w:rsidP="00F129FD">
      <w:pPr>
        <w:jc w:val="both"/>
      </w:pPr>
    </w:p>
    <w:p w14:paraId="3A4D78C6" w14:textId="77777777" w:rsidR="00F129FD" w:rsidRDefault="00F129FD" w:rsidP="000300CC"/>
    <w:p w14:paraId="49B4A104" w14:textId="77777777" w:rsidR="00F129FD" w:rsidRDefault="00F129FD" w:rsidP="000300CC"/>
    <w:p w14:paraId="449FD73B" w14:textId="77777777" w:rsidR="00F129FD" w:rsidRDefault="00F129FD" w:rsidP="000300CC"/>
    <w:p w14:paraId="4D357385" w14:textId="77777777" w:rsidR="00E4704B" w:rsidRDefault="00E4704B" w:rsidP="00F129FD">
      <w:pPr>
        <w:jc w:val="both"/>
      </w:pPr>
    </w:p>
    <w:p w14:paraId="37305031" w14:textId="77777777" w:rsidR="00E4704B" w:rsidRDefault="00E4704B" w:rsidP="00F129FD">
      <w:pPr>
        <w:jc w:val="both"/>
      </w:pPr>
    </w:p>
    <w:p w14:paraId="21E25531" w14:textId="77777777" w:rsidR="00E4704B" w:rsidRDefault="00E4704B" w:rsidP="00F129FD">
      <w:pPr>
        <w:jc w:val="both"/>
      </w:pPr>
    </w:p>
    <w:p w14:paraId="0A434849" w14:textId="77777777" w:rsidR="00E4704B" w:rsidRDefault="00E4704B" w:rsidP="00F129FD">
      <w:pPr>
        <w:jc w:val="both"/>
      </w:pPr>
    </w:p>
    <w:p w14:paraId="6A0AA660" w14:textId="77777777" w:rsidR="00E4704B" w:rsidRDefault="00E4704B" w:rsidP="00F129FD">
      <w:pPr>
        <w:jc w:val="both"/>
      </w:pPr>
    </w:p>
    <w:p w14:paraId="788E1C77" w14:textId="5238D9DC" w:rsidR="000300CC" w:rsidRDefault="000300CC" w:rsidP="00F129FD">
      <w:pPr>
        <w:jc w:val="both"/>
      </w:pPr>
      <w:r>
        <w:lastRenderedPageBreak/>
        <w:t>References:</w:t>
      </w:r>
    </w:p>
    <w:p w14:paraId="7EE6EBA0" w14:textId="77777777" w:rsidR="000300CC" w:rsidRDefault="000300CC" w:rsidP="00F129FD">
      <w:pPr>
        <w:jc w:val="both"/>
      </w:pPr>
    </w:p>
    <w:p w14:paraId="680A41EA" w14:textId="294FD0AE" w:rsidR="000300CC" w:rsidRDefault="000300CC" w:rsidP="00F129FD">
      <w:pPr>
        <w:jc w:val="both"/>
      </w:pPr>
      <w:r>
        <w:t>Coroners and Justice Act 2009, c. 25, s. 52.</w:t>
      </w:r>
    </w:p>
    <w:p w14:paraId="5F549CB3" w14:textId="44A5D7AD" w:rsidR="000300CC" w:rsidRDefault="000300CC" w:rsidP="00F129FD">
      <w:pPr>
        <w:jc w:val="both"/>
      </w:pPr>
      <w:r>
        <w:t>Freckelton, I. and Sullivan, G., 2011. The coroners and justice act 2009 (UK): The diminished responsibility defence in cases of abnormality of mental functioning. Journal of Law and Medicine, 18(1), pp.179-190.</w:t>
      </w:r>
    </w:p>
    <w:p w14:paraId="1CB8D989" w14:textId="3DFB8B9A" w:rsidR="000300CC" w:rsidRDefault="000300CC" w:rsidP="00F129FD">
      <w:pPr>
        <w:jc w:val="both"/>
      </w:pPr>
      <w:r>
        <w:t>Rogers, J. and Reed, A., 2010. Criminal defences and plea bargaining: A comparative study of the United States and England and Wales. Criminal Law and Philosophy, 4(3), pp.333-353.</w:t>
      </w:r>
    </w:p>
    <w:p w14:paraId="76277626" w14:textId="5ACA694D" w:rsidR="001A76DD" w:rsidRDefault="001A76DD" w:rsidP="00F129FD">
      <w:pPr>
        <w:jc w:val="both"/>
      </w:pPr>
      <w:r w:rsidRPr="001A76DD">
        <w:t>Coroners and Justice Act 2009, c. 25. (2009). United Kingdom</w:t>
      </w:r>
    </w:p>
    <w:p w14:paraId="24A0BD67" w14:textId="48D72A0B" w:rsidR="001A76DD" w:rsidRDefault="001A76DD" w:rsidP="00F129FD">
      <w:pPr>
        <w:jc w:val="both"/>
      </w:pPr>
      <w:r>
        <w:t>Homicide Act 1957, c. 11, s. 2. (1957). United Kingdom.</w:t>
      </w:r>
    </w:p>
    <w:p w14:paraId="09F1AFC6" w14:textId="6665F4E1" w:rsidR="00677EB8" w:rsidRDefault="00677EB8" w:rsidP="00F129FD">
      <w:pPr>
        <w:jc w:val="both"/>
      </w:pPr>
      <w:r>
        <w:t xml:space="preserve">Criminal Law Reform Now Network. (2019). Diminished Responsibility: A Consultation Response. </w:t>
      </w:r>
    </w:p>
    <w:p w14:paraId="17F0F6FB" w14:textId="77777777" w:rsidR="00677EB8" w:rsidRDefault="00677EB8" w:rsidP="00F129FD">
      <w:pPr>
        <w:jc w:val="both"/>
      </w:pPr>
      <w:r>
        <w:t>Freckelton, I. and Sullivan, G. (2011). The Coroners and Justice Act 2009 (UK): The diminished responsibility defence in cases of abnormality of mental functioning. Journal of Law and Medicine, 18(1), 179-190.</w:t>
      </w:r>
    </w:p>
    <w:p w14:paraId="123FA991" w14:textId="77777777" w:rsidR="00677EB8" w:rsidRDefault="00677EB8" w:rsidP="00F129FD">
      <w:pPr>
        <w:jc w:val="both"/>
      </w:pPr>
    </w:p>
    <w:p w14:paraId="0174C0A4" w14:textId="2F58E3DD" w:rsidR="00677EB8" w:rsidRDefault="00677EB8" w:rsidP="00F129FD">
      <w:pPr>
        <w:jc w:val="both"/>
      </w:pPr>
      <w:r>
        <w:t>Gallagher, T. and Ashworth, A. (2019). Criminal law and approach to mental disorder: A perspective from England and Wales. International Journal of Law and Psychiatry, 63, 396-405.</w:t>
      </w:r>
    </w:p>
    <w:p w14:paraId="22369FE4" w14:textId="77777777" w:rsidR="001A76DD" w:rsidRDefault="001A76DD" w:rsidP="000300CC"/>
    <w:p w14:paraId="6F9C9AAE" w14:textId="214CA937" w:rsidR="00FE4BF8" w:rsidRDefault="00FE4BF8" w:rsidP="00FE4BF8"/>
    <w:sectPr w:rsidR="00FE4B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EBF82" w14:textId="77777777" w:rsidR="00C428B4" w:rsidRDefault="00C428B4" w:rsidP="00677EB8">
      <w:pPr>
        <w:spacing w:after="0" w:line="240" w:lineRule="auto"/>
      </w:pPr>
      <w:r>
        <w:separator/>
      </w:r>
    </w:p>
  </w:endnote>
  <w:endnote w:type="continuationSeparator" w:id="0">
    <w:p w14:paraId="14052137" w14:textId="77777777" w:rsidR="00C428B4" w:rsidRDefault="00C428B4" w:rsidP="00677EB8">
      <w:pPr>
        <w:spacing w:after="0" w:line="240" w:lineRule="auto"/>
      </w:pPr>
      <w:r>
        <w:continuationSeparator/>
      </w:r>
    </w:p>
  </w:endnote>
  <w:endnote w:type="continuationNotice" w:id="1">
    <w:p w14:paraId="2F707E55" w14:textId="77777777" w:rsidR="00C428B4" w:rsidRDefault="00C428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3DC95" w14:textId="77777777" w:rsidR="00C428B4" w:rsidRDefault="00C428B4" w:rsidP="00677EB8">
      <w:pPr>
        <w:spacing w:after="0" w:line="240" w:lineRule="auto"/>
      </w:pPr>
      <w:r>
        <w:separator/>
      </w:r>
    </w:p>
  </w:footnote>
  <w:footnote w:type="continuationSeparator" w:id="0">
    <w:p w14:paraId="11E9EC80" w14:textId="77777777" w:rsidR="00C428B4" w:rsidRDefault="00C428B4" w:rsidP="00677EB8">
      <w:pPr>
        <w:spacing w:after="0" w:line="240" w:lineRule="auto"/>
      </w:pPr>
      <w:r>
        <w:continuationSeparator/>
      </w:r>
    </w:p>
  </w:footnote>
  <w:footnote w:type="continuationNotice" w:id="1">
    <w:p w14:paraId="0B9FD424" w14:textId="77777777" w:rsidR="00C428B4" w:rsidRDefault="00C428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5BB"/>
    <w:rsid w:val="00022BF9"/>
    <w:rsid w:val="000300CC"/>
    <w:rsid w:val="00074B44"/>
    <w:rsid w:val="000A5F61"/>
    <w:rsid w:val="001812E4"/>
    <w:rsid w:val="001A76DD"/>
    <w:rsid w:val="001A7C25"/>
    <w:rsid w:val="004B5DAE"/>
    <w:rsid w:val="00521F27"/>
    <w:rsid w:val="00677EB8"/>
    <w:rsid w:val="006F6D7B"/>
    <w:rsid w:val="007D7AF1"/>
    <w:rsid w:val="00973A46"/>
    <w:rsid w:val="00AA1D1B"/>
    <w:rsid w:val="00AD23F7"/>
    <w:rsid w:val="00B471FF"/>
    <w:rsid w:val="00BD2623"/>
    <w:rsid w:val="00C122C6"/>
    <w:rsid w:val="00C206C2"/>
    <w:rsid w:val="00C428B4"/>
    <w:rsid w:val="00D70616"/>
    <w:rsid w:val="00D80E81"/>
    <w:rsid w:val="00E4704B"/>
    <w:rsid w:val="00E975BB"/>
    <w:rsid w:val="00F129FD"/>
    <w:rsid w:val="00FE4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03875"/>
  <w15:chartTrackingRefBased/>
  <w15:docId w15:val="{C54AD994-B8E3-4FEA-B839-E5DEC36D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EB8"/>
  </w:style>
  <w:style w:type="paragraph" w:styleId="Footer">
    <w:name w:val="footer"/>
    <w:basedOn w:val="Normal"/>
    <w:link w:val="FooterChar"/>
    <w:uiPriority w:val="99"/>
    <w:unhideWhenUsed/>
    <w:rsid w:val="00677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783524">
      <w:bodyDiv w:val="1"/>
      <w:marLeft w:val="0"/>
      <w:marRight w:val="0"/>
      <w:marTop w:val="0"/>
      <w:marBottom w:val="0"/>
      <w:divBdr>
        <w:top w:val="none" w:sz="0" w:space="0" w:color="auto"/>
        <w:left w:val="none" w:sz="0" w:space="0" w:color="auto"/>
        <w:bottom w:val="none" w:sz="0" w:space="0" w:color="auto"/>
        <w:right w:val="none" w:sz="0" w:space="0" w:color="auto"/>
      </w:divBdr>
    </w:div>
    <w:div w:id="281040088">
      <w:bodyDiv w:val="1"/>
      <w:marLeft w:val="0"/>
      <w:marRight w:val="0"/>
      <w:marTop w:val="0"/>
      <w:marBottom w:val="0"/>
      <w:divBdr>
        <w:top w:val="none" w:sz="0" w:space="0" w:color="auto"/>
        <w:left w:val="none" w:sz="0" w:space="0" w:color="auto"/>
        <w:bottom w:val="none" w:sz="0" w:space="0" w:color="auto"/>
        <w:right w:val="none" w:sz="0" w:space="0" w:color="auto"/>
      </w:divBdr>
      <w:divsChild>
        <w:div w:id="929116692">
          <w:marLeft w:val="0"/>
          <w:marRight w:val="0"/>
          <w:marTop w:val="0"/>
          <w:marBottom w:val="0"/>
          <w:divBdr>
            <w:top w:val="single" w:sz="2" w:space="0" w:color="auto"/>
            <w:left w:val="single" w:sz="2" w:space="0" w:color="auto"/>
            <w:bottom w:val="single" w:sz="6" w:space="0" w:color="auto"/>
            <w:right w:val="single" w:sz="2" w:space="0" w:color="auto"/>
          </w:divBdr>
          <w:divsChild>
            <w:div w:id="1155609335">
              <w:marLeft w:val="0"/>
              <w:marRight w:val="0"/>
              <w:marTop w:val="100"/>
              <w:marBottom w:val="100"/>
              <w:divBdr>
                <w:top w:val="single" w:sz="2" w:space="0" w:color="D9D9E3"/>
                <w:left w:val="single" w:sz="2" w:space="0" w:color="D9D9E3"/>
                <w:bottom w:val="single" w:sz="2" w:space="0" w:color="D9D9E3"/>
                <w:right w:val="single" w:sz="2" w:space="0" w:color="D9D9E3"/>
              </w:divBdr>
              <w:divsChild>
                <w:div w:id="305472046">
                  <w:marLeft w:val="0"/>
                  <w:marRight w:val="0"/>
                  <w:marTop w:val="0"/>
                  <w:marBottom w:val="0"/>
                  <w:divBdr>
                    <w:top w:val="single" w:sz="2" w:space="0" w:color="D9D9E3"/>
                    <w:left w:val="single" w:sz="2" w:space="0" w:color="D9D9E3"/>
                    <w:bottom w:val="single" w:sz="2" w:space="0" w:color="D9D9E3"/>
                    <w:right w:val="single" w:sz="2" w:space="0" w:color="D9D9E3"/>
                  </w:divBdr>
                  <w:divsChild>
                    <w:div w:id="1486167473">
                      <w:marLeft w:val="0"/>
                      <w:marRight w:val="0"/>
                      <w:marTop w:val="0"/>
                      <w:marBottom w:val="0"/>
                      <w:divBdr>
                        <w:top w:val="single" w:sz="2" w:space="0" w:color="D9D9E3"/>
                        <w:left w:val="single" w:sz="2" w:space="0" w:color="D9D9E3"/>
                        <w:bottom w:val="single" w:sz="2" w:space="0" w:color="D9D9E3"/>
                        <w:right w:val="single" w:sz="2" w:space="0" w:color="D9D9E3"/>
                      </w:divBdr>
                      <w:divsChild>
                        <w:div w:id="1101025014">
                          <w:marLeft w:val="0"/>
                          <w:marRight w:val="0"/>
                          <w:marTop w:val="0"/>
                          <w:marBottom w:val="0"/>
                          <w:divBdr>
                            <w:top w:val="single" w:sz="2" w:space="0" w:color="D9D9E3"/>
                            <w:left w:val="single" w:sz="2" w:space="0" w:color="D9D9E3"/>
                            <w:bottom w:val="single" w:sz="2" w:space="0" w:color="D9D9E3"/>
                            <w:right w:val="single" w:sz="2" w:space="0" w:color="D9D9E3"/>
                          </w:divBdr>
                          <w:divsChild>
                            <w:div w:id="1848786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01492883">
          <w:marLeft w:val="0"/>
          <w:marRight w:val="0"/>
          <w:marTop w:val="0"/>
          <w:marBottom w:val="0"/>
          <w:divBdr>
            <w:top w:val="single" w:sz="2" w:space="0" w:color="auto"/>
            <w:left w:val="single" w:sz="2" w:space="0" w:color="auto"/>
            <w:bottom w:val="single" w:sz="6" w:space="0" w:color="auto"/>
            <w:right w:val="single" w:sz="2" w:space="0" w:color="auto"/>
          </w:divBdr>
          <w:divsChild>
            <w:div w:id="770322424">
              <w:marLeft w:val="0"/>
              <w:marRight w:val="0"/>
              <w:marTop w:val="100"/>
              <w:marBottom w:val="100"/>
              <w:divBdr>
                <w:top w:val="single" w:sz="2" w:space="0" w:color="D9D9E3"/>
                <w:left w:val="single" w:sz="2" w:space="0" w:color="D9D9E3"/>
                <w:bottom w:val="single" w:sz="2" w:space="0" w:color="D9D9E3"/>
                <w:right w:val="single" w:sz="2" w:space="0" w:color="D9D9E3"/>
              </w:divBdr>
              <w:divsChild>
                <w:div w:id="956524288">
                  <w:marLeft w:val="0"/>
                  <w:marRight w:val="0"/>
                  <w:marTop w:val="0"/>
                  <w:marBottom w:val="0"/>
                  <w:divBdr>
                    <w:top w:val="single" w:sz="2" w:space="0" w:color="D9D9E3"/>
                    <w:left w:val="single" w:sz="2" w:space="0" w:color="D9D9E3"/>
                    <w:bottom w:val="single" w:sz="2" w:space="0" w:color="D9D9E3"/>
                    <w:right w:val="single" w:sz="2" w:space="0" w:color="D9D9E3"/>
                  </w:divBdr>
                  <w:divsChild>
                    <w:div w:id="873729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7087696">
                  <w:marLeft w:val="0"/>
                  <w:marRight w:val="0"/>
                  <w:marTop w:val="0"/>
                  <w:marBottom w:val="0"/>
                  <w:divBdr>
                    <w:top w:val="single" w:sz="2" w:space="0" w:color="D9D9E3"/>
                    <w:left w:val="single" w:sz="2" w:space="0" w:color="D9D9E3"/>
                    <w:bottom w:val="single" w:sz="2" w:space="0" w:color="D9D9E3"/>
                    <w:right w:val="single" w:sz="2" w:space="0" w:color="D9D9E3"/>
                  </w:divBdr>
                  <w:divsChild>
                    <w:div w:id="107894371">
                      <w:marLeft w:val="0"/>
                      <w:marRight w:val="0"/>
                      <w:marTop w:val="0"/>
                      <w:marBottom w:val="0"/>
                      <w:divBdr>
                        <w:top w:val="single" w:sz="2" w:space="0" w:color="D9D9E3"/>
                        <w:left w:val="single" w:sz="2" w:space="0" w:color="D9D9E3"/>
                        <w:bottom w:val="single" w:sz="2" w:space="0" w:color="D9D9E3"/>
                        <w:right w:val="single" w:sz="2" w:space="0" w:color="D9D9E3"/>
                      </w:divBdr>
                      <w:divsChild>
                        <w:div w:id="408622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24857808">
          <w:marLeft w:val="0"/>
          <w:marRight w:val="0"/>
          <w:marTop w:val="0"/>
          <w:marBottom w:val="0"/>
          <w:divBdr>
            <w:top w:val="single" w:sz="2" w:space="0" w:color="auto"/>
            <w:left w:val="single" w:sz="2" w:space="0" w:color="auto"/>
            <w:bottom w:val="single" w:sz="6" w:space="0" w:color="auto"/>
            <w:right w:val="single" w:sz="2" w:space="0" w:color="auto"/>
          </w:divBdr>
          <w:divsChild>
            <w:div w:id="79302649">
              <w:marLeft w:val="0"/>
              <w:marRight w:val="0"/>
              <w:marTop w:val="100"/>
              <w:marBottom w:val="100"/>
              <w:divBdr>
                <w:top w:val="single" w:sz="2" w:space="0" w:color="D9D9E3"/>
                <w:left w:val="single" w:sz="2" w:space="0" w:color="D9D9E3"/>
                <w:bottom w:val="single" w:sz="2" w:space="0" w:color="D9D9E3"/>
                <w:right w:val="single" w:sz="2" w:space="0" w:color="D9D9E3"/>
              </w:divBdr>
              <w:divsChild>
                <w:div w:id="276646464">
                  <w:marLeft w:val="0"/>
                  <w:marRight w:val="0"/>
                  <w:marTop w:val="0"/>
                  <w:marBottom w:val="0"/>
                  <w:divBdr>
                    <w:top w:val="single" w:sz="2" w:space="0" w:color="D9D9E3"/>
                    <w:left w:val="single" w:sz="2" w:space="0" w:color="D9D9E3"/>
                    <w:bottom w:val="single" w:sz="2" w:space="0" w:color="D9D9E3"/>
                    <w:right w:val="single" w:sz="2" w:space="0" w:color="D9D9E3"/>
                  </w:divBdr>
                  <w:divsChild>
                    <w:div w:id="602882760">
                      <w:marLeft w:val="0"/>
                      <w:marRight w:val="0"/>
                      <w:marTop w:val="0"/>
                      <w:marBottom w:val="0"/>
                      <w:divBdr>
                        <w:top w:val="single" w:sz="2" w:space="0" w:color="D9D9E3"/>
                        <w:left w:val="single" w:sz="2" w:space="0" w:color="D9D9E3"/>
                        <w:bottom w:val="single" w:sz="2" w:space="0" w:color="D9D9E3"/>
                        <w:right w:val="single" w:sz="2" w:space="0" w:color="D9D9E3"/>
                      </w:divBdr>
                      <w:divsChild>
                        <w:div w:id="1578518190">
                          <w:marLeft w:val="0"/>
                          <w:marRight w:val="0"/>
                          <w:marTop w:val="0"/>
                          <w:marBottom w:val="0"/>
                          <w:divBdr>
                            <w:top w:val="single" w:sz="2" w:space="0" w:color="D9D9E3"/>
                            <w:left w:val="single" w:sz="2" w:space="0" w:color="D9D9E3"/>
                            <w:bottom w:val="single" w:sz="2" w:space="0" w:color="D9D9E3"/>
                            <w:right w:val="single" w:sz="2" w:space="0" w:color="D9D9E3"/>
                          </w:divBdr>
                          <w:divsChild>
                            <w:div w:id="2111508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5804426">
      <w:bodyDiv w:val="1"/>
      <w:marLeft w:val="0"/>
      <w:marRight w:val="0"/>
      <w:marTop w:val="0"/>
      <w:marBottom w:val="0"/>
      <w:divBdr>
        <w:top w:val="none" w:sz="0" w:space="0" w:color="auto"/>
        <w:left w:val="none" w:sz="0" w:space="0" w:color="auto"/>
        <w:bottom w:val="none" w:sz="0" w:space="0" w:color="auto"/>
        <w:right w:val="none" w:sz="0" w:space="0" w:color="auto"/>
      </w:divBdr>
    </w:div>
    <w:div w:id="660617315">
      <w:bodyDiv w:val="1"/>
      <w:marLeft w:val="0"/>
      <w:marRight w:val="0"/>
      <w:marTop w:val="0"/>
      <w:marBottom w:val="0"/>
      <w:divBdr>
        <w:top w:val="none" w:sz="0" w:space="0" w:color="auto"/>
        <w:left w:val="none" w:sz="0" w:space="0" w:color="auto"/>
        <w:bottom w:val="none" w:sz="0" w:space="0" w:color="auto"/>
        <w:right w:val="none" w:sz="0" w:space="0" w:color="auto"/>
      </w:divBdr>
    </w:div>
    <w:div w:id="729815060">
      <w:bodyDiv w:val="1"/>
      <w:marLeft w:val="0"/>
      <w:marRight w:val="0"/>
      <w:marTop w:val="0"/>
      <w:marBottom w:val="0"/>
      <w:divBdr>
        <w:top w:val="none" w:sz="0" w:space="0" w:color="auto"/>
        <w:left w:val="none" w:sz="0" w:space="0" w:color="auto"/>
        <w:bottom w:val="none" w:sz="0" w:space="0" w:color="auto"/>
        <w:right w:val="none" w:sz="0" w:space="0" w:color="auto"/>
      </w:divBdr>
    </w:div>
    <w:div w:id="1058089113">
      <w:bodyDiv w:val="1"/>
      <w:marLeft w:val="0"/>
      <w:marRight w:val="0"/>
      <w:marTop w:val="0"/>
      <w:marBottom w:val="0"/>
      <w:divBdr>
        <w:top w:val="none" w:sz="0" w:space="0" w:color="auto"/>
        <w:left w:val="none" w:sz="0" w:space="0" w:color="auto"/>
        <w:bottom w:val="none" w:sz="0" w:space="0" w:color="auto"/>
        <w:right w:val="none" w:sz="0" w:space="0" w:color="auto"/>
      </w:divBdr>
    </w:div>
    <w:div w:id="1083793441">
      <w:bodyDiv w:val="1"/>
      <w:marLeft w:val="0"/>
      <w:marRight w:val="0"/>
      <w:marTop w:val="0"/>
      <w:marBottom w:val="0"/>
      <w:divBdr>
        <w:top w:val="none" w:sz="0" w:space="0" w:color="auto"/>
        <w:left w:val="none" w:sz="0" w:space="0" w:color="auto"/>
        <w:bottom w:val="none" w:sz="0" w:space="0" w:color="auto"/>
        <w:right w:val="none" w:sz="0" w:space="0" w:color="auto"/>
      </w:divBdr>
    </w:div>
    <w:div w:id="1270116818">
      <w:bodyDiv w:val="1"/>
      <w:marLeft w:val="0"/>
      <w:marRight w:val="0"/>
      <w:marTop w:val="0"/>
      <w:marBottom w:val="0"/>
      <w:divBdr>
        <w:top w:val="none" w:sz="0" w:space="0" w:color="auto"/>
        <w:left w:val="none" w:sz="0" w:space="0" w:color="auto"/>
        <w:bottom w:val="none" w:sz="0" w:space="0" w:color="auto"/>
        <w:right w:val="none" w:sz="0" w:space="0" w:color="auto"/>
      </w:divBdr>
    </w:div>
    <w:div w:id="1321233526">
      <w:bodyDiv w:val="1"/>
      <w:marLeft w:val="0"/>
      <w:marRight w:val="0"/>
      <w:marTop w:val="0"/>
      <w:marBottom w:val="0"/>
      <w:divBdr>
        <w:top w:val="none" w:sz="0" w:space="0" w:color="auto"/>
        <w:left w:val="none" w:sz="0" w:space="0" w:color="auto"/>
        <w:bottom w:val="none" w:sz="0" w:space="0" w:color="auto"/>
        <w:right w:val="none" w:sz="0" w:space="0" w:color="auto"/>
      </w:divBdr>
    </w:div>
    <w:div w:id="1628660301">
      <w:bodyDiv w:val="1"/>
      <w:marLeft w:val="0"/>
      <w:marRight w:val="0"/>
      <w:marTop w:val="0"/>
      <w:marBottom w:val="0"/>
      <w:divBdr>
        <w:top w:val="none" w:sz="0" w:space="0" w:color="auto"/>
        <w:left w:val="none" w:sz="0" w:space="0" w:color="auto"/>
        <w:bottom w:val="none" w:sz="0" w:space="0" w:color="auto"/>
        <w:right w:val="none" w:sz="0" w:space="0" w:color="auto"/>
      </w:divBdr>
    </w:div>
    <w:div w:id="182874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b542712ef5911e6957191f668409a0b6">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9F59EF-B856-4840-8360-1CD7449B518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E32293-4AF2-4ADF-B313-E7035B9001A5}">
  <ds:schemaRefs>
    <ds:schemaRef ds:uri="http://schemas.microsoft.com/sharepoint/v3/contenttype/forms"/>
  </ds:schemaRefs>
</ds:datastoreItem>
</file>

<file path=customXml/itemProps3.xml><?xml version="1.0" encoding="utf-8"?>
<ds:datastoreItem xmlns:ds="http://schemas.openxmlformats.org/officeDocument/2006/customXml" ds:itemID="{E2952939-38E2-4E06-89FD-CC1E5E75D2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1604</Words>
  <Characters>9149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Tameem Ahmed (2209835)</dc:creator>
  <cp:keywords/>
  <dc:description/>
  <cp:lastModifiedBy>Tameem Ahmed (2209835)</cp:lastModifiedBy>
  <cp:revision>8</cp:revision>
  <dcterms:created xsi:type="dcterms:W3CDTF">2023-03-07T21:32:00Z</dcterms:created>
  <dcterms:modified xsi:type="dcterms:W3CDTF">2023-03-10T22:39:00Z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