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CD7603" w14:textId="77777777" w:rsidR="00D2439D" w:rsidRPr="002B5B2A" w:rsidRDefault="00D2439D" w:rsidP="00D2439D">
      <w:pPr>
        <w:rPr>
          <w:rFonts w:ascii="Arial" w:hAnsi="Arial" w:cs="Arial"/>
        </w:rPr>
      </w:pPr>
      <w:bookmarkStart w:id="0" w:name="_gjdgxs" w:colFirst="0" w:colLast="0"/>
      <w:bookmarkEnd w:id="0"/>
      <w:r w:rsidRPr="002B5B2A">
        <w:rPr>
          <w:rFonts w:ascii="Arial" w:hAnsi="Arial" w:cs="Arial"/>
        </w:rPr>
        <w:t>Student Name: Cristina Marin</w:t>
      </w:r>
    </w:p>
    <w:p w14:paraId="693541EE" w14:textId="77777777" w:rsidR="00D2439D" w:rsidRPr="002B5B2A" w:rsidRDefault="00D2439D" w:rsidP="00D2439D">
      <w:pPr>
        <w:rPr>
          <w:rFonts w:ascii="Arial" w:hAnsi="Arial" w:cs="Arial"/>
        </w:rPr>
      </w:pPr>
      <w:r w:rsidRPr="002B5B2A">
        <w:rPr>
          <w:rFonts w:ascii="Arial" w:hAnsi="Arial" w:cs="Arial"/>
        </w:rPr>
        <w:t>Student ID: 2213202</w:t>
      </w:r>
    </w:p>
    <w:p w14:paraId="37D467C1" w14:textId="6D7DE80D" w:rsidR="00D2439D" w:rsidRPr="002B5B2A" w:rsidRDefault="00D2439D" w:rsidP="00D2439D">
      <w:pPr>
        <w:rPr>
          <w:rFonts w:ascii="Arial" w:hAnsi="Arial" w:cs="Arial"/>
        </w:rPr>
      </w:pPr>
      <w:r w:rsidRPr="002B5B2A">
        <w:rPr>
          <w:rFonts w:ascii="Arial" w:hAnsi="Arial" w:cs="Arial"/>
        </w:rPr>
        <w:t>Module code: LCBB4002</w:t>
      </w:r>
      <w:r w:rsidRPr="002B5B2A">
        <w:rPr>
          <w:rFonts w:ascii="Arial" w:hAnsi="Arial" w:cs="Arial"/>
        </w:rPr>
        <w:t xml:space="preserve"> </w:t>
      </w:r>
      <w:r w:rsidRPr="002B5B2A">
        <w:rPr>
          <w:rFonts w:ascii="Arial" w:hAnsi="Arial" w:cs="Arial"/>
        </w:rPr>
        <w:t xml:space="preserve">COMMUNITY ENGAGEMENT </w:t>
      </w:r>
    </w:p>
    <w:p w14:paraId="6C6F307F" w14:textId="00330E78" w:rsidR="00D2439D" w:rsidRPr="002B5B2A" w:rsidRDefault="00D2439D" w:rsidP="00D2439D">
      <w:pPr>
        <w:rPr>
          <w:rFonts w:ascii="Arial" w:hAnsi="Arial" w:cs="Arial"/>
        </w:rPr>
      </w:pPr>
    </w:p>
    <w:p w14:paraId="00A4634A" w14:textId="55792733" w:rsidR="00D2439D" w:rsidRPr="002B5B2A" w:rsidRDefault="00D2439D" w:rsidP="00D2439D">
      <w:pPr>
        <w:rPr>
          <w:rFonts w:ascii="Arial" w:hAnsi="Arial" w:cs="Arial"/>
        </w:rPr>
      </w:pPr>
      <w:r w:rsidRPr="002B5B2A">
        <w:rPr>
          <w:rFonts w:ascii="Arial" w:hAnsi="Arial" w:cs="Arial"/>
        </w:rPr>
        <w:t xml:space="preserve">Lecturer’s name: </w:t>
      </w:r>
      <w:r w:rsidRPr="002B5B2A">
        <w:rPr>
          <w:rFonts w:ascii="Arial" w:hAnsi="Arial" w:cs="Arial"/>
          <w:b/>
          <w:bCs/>
        </w:rPr>
        <w:t>Efua Adams</w:t>
      </w:r>
    </w:p>
    <w:p w14:paraId="0000000A" w14:textId="5D364005" w:rsidR="005A108A" w:rsidRPr="002B5B2A" w:rsidRDefault="005A108A">
      <w:pPr>
        <w:pStyle w:val="Heading1"/>
        <w:ind w:firstLine="0"/>
        <w:rPr>
          <w:rFonts w:ascii="Arial" w:hAnsi="Arial" w:cs="Arial"/>
          <w:sz w:val="22"/>
          <w:szCs w:val="22"/>
        </w:rPr>
      </w:pPr>
    </w:p>
    <w:sdt>
      <w:sdtPr>
        <w:rPr>
          <w:rFonts w:ascii="Arial" w:hAnsi="Arial" w:cs="Arial"/>
          <w:sz w:val="22"/>
          <w:szCs w:val="22"/>
        </w:rPr>
        <w:id w:val="1771660690"/>
        <w:docPartObj>
          <w:docPartGallery w:val="Table of Contents"/>
          <w:docPartUnique/>
        </w:docPartObj>
      </w:sdtPr>
      <w:sdtEndPr>
        <w:rPr>
          <w:rFonts w:eastAsia="Calibri"/>
          <w:b/>
          <w:bCs/>
          <w:noProof/>
          <w:color w:val="auto"/>
          <w:lang w:val="ro-RO"/>
        </w:rPr>
      </w:sdtEndPr>
      <w:sdtContent>
        <w:p w14:paraId="78324346" w14:textId="122BC90E" w:rsidR="00D2439D" w:rsidRPr="002B5B2A" w:rsidRDefault="00D2439D">
          <w:pPr>
            <w:pStyle w:val="TOCHeading"/>
            <w:rPr>
              <w:rFonts w:ascii="Arial" w:hAnsi="Arial" w:cs="Arial"/>
              <w:sz w:val="22"/>
              <w:szCs w:val="22"/>
            </w:rPr>
          </w:pPr>
          <w:r w:rsidRPr="002B5B2A">
            <w:rPr>
              <w:rFonts w:ascii="Arial" w:hAnsi="Arial" w:cs="Arial"/>
              <w:sz w:val="22"/>
              <w:szCs w:val="22"/>
            </w:rPr>
            <w:t>Contents</w:t>
          </w:r>
        </w:p>
        <w:p w14:paraId="7FE3FF96" w14:textId="75287731" w:rsidR="00D2439D" w:rsidRPr="002B5B2A" w:rsidRDefault="00D2439D">
          <w:pPr>
            <w:pStyle w:val="TOC2"/>
            <w:tabs>
              <w:tab w:val="right" w:leader="dot" w:pos="9060"/>
            </w:tabs>
            <w:rPr>
              <w:rFonts w:ascii="Arial" w:hAnsi="Arial" w:cs="Arial"/>
              <w:noProof/>
            </w:rPr>
          </w:pPr>
          <w:r w:rsidRPr="002B5B2A">
            <w:rPr>
              <w:rFonts w:ascii="Arial" w:hAnsi="Arial" w:cs="Arial"/>
            </w:rPr>
            <w:fldChar w:fldCharType="begin"/>
          </w:r>
          <w:r w:rsidRPr="002B5B2A">
            <w:rPr>
              <w:rFonts w:ascii="Arial" w:hAnsi="Arial" w:cs="Arial"/>
            </w:rPr>
            <w:instrText xml:space="preserve"> TOC \o "1-3" \h \z \u </w:instrText>
          </w:r>
          <w:r w:rsidRPr="002B5B2A">
            <w:rPr>
              <w:rFonts w:ascii="Arial" w:hAnsi="Arial" w:cs="Arial"/>
            </w:rPr>
            <w:fldChar w:fldCharType="separate"/>
          </w:r>
          <w:hyperlink w:anchor="_Toc128500956" w:history="1">
            <w:r w:rsidRPr="002B5B2A">
              <w:rPr>
                <w:rStyle w:val="Hyperlink"/>
                <w:rFonts w:ascii="Arial" w:hAnsi="Arial" w:cs="Arial"/>
                <w:noProof/>
              </w:rPr>
              <w:t>INTRODUCTION</w:t>
            </w:r>
            <w:r w:rsidRPr="002B5B2A">
              <w:rPr>
                <w:rFonts w:ascii="Arial" w:hAnsi="Arial" w:cs="Arial"/>
                <w:noProof/>
                <w:webHidden/>
              </w:rPr>
              <w:tab/>
            </w:r>
            <w:r w:rsidRPr="002B5B2A">
              <w:rPr>
                <w:rFonts w:ascii="Arial" w:hAnsi="Arial" w:cs="Arial"/>
                <w:noProof/>
                <w:webHidden/>
              </w:rPr>
              <w:fldChar w:fldCharType="begin"/>
            </w:r>
            <w:r w:rsidRPr="002B5B2A">
              <w:rPr>
                <w:rFonts w:ascii="Arial" w:hAnsi="Arial" w:cs="Arial"/>
                <w:noProof/>
                <w:webHidden/>
              </w:rPr>
              <w:instrText xml:space="preserve"> PAGEREF _Toc128500956 \h </w:instrText>
            </w:r>
            <w:r w:rsidRPr="002B5B2A">
              <w:rPr>
                <w:rFonts w:ascii="Arial" w:hAnsi="Arial" w:cs="Arial"/>
                <w:noProof/>
                <w:webHidden/>
              </w:rPr>
            </w:r>
            <w:r w:rsidRPr="002B5B2A">
              <w:rPr>
                <w:rFonts w:ascii="Arial" w:hAnsi="Arial" w:cs="Arial"/>
                <w:noProof/>
                <w:webHidden/>
              </w:rPr>
              <w:fldChar w:fldCharType="separate"/>
            </w:r>
            <w:r w:rsidRPr="002B5B2A">
              <w:rPr>
                <w:rFonts w:ascii="Arial" w:hAnsi="Arial" w:cs="Arial"/>
                <w:noProof/>
                <w:webHidden/>
              </w:rPr>
              <w:t>1</w:t>
            </w:r>
            <w:r w:rsidRPr="002B5B2A">
              <w:rPr>
                <w:rFonts w:ascii="Arial" w:hAnsi="Arial" w:cs="Arial"/>
                <w:noProof/>
                <w:webHidden/>
              </w:rPr>
              <w:fldChar w:fldCharType="end"/>
            </w:r>
          </w:hyperlink>
        </w:p>
        <w:p w14:paraId="68D109D6" w14:textId="1017D209" w:rsidR="00D2439D" w:rsidRPr="002B5B2A" w:rsidRDefault="00D2439D">
          <w:pPr>
            <w:pStyle w:val="TOC2"/>
            <w:tabs>
              <w:tab w:val="right" w:leader="dot" w:pos="9060"/>
            </w:tabs>
            <w:rPr>
              <w:rFonts w:ascii="Arial" w:hAnsi="Arial" w:cs="Arial"/>
              <w:noProof/>
            </w:rPr>
          </w:pPr>
          <w:hyperlink w:anchor="_Toc128500957" w:history="1">
            <w:r w:rsidRPr="002B5B2A">
              <w:rPr>
                <w:rStyle w:val="Hyperlink"/>
                <w:rFonts w:ascii="Arial" w:hAnsi="Arial" w:cs="Arial"/>
                <w:noProof/>
              </w:rPr>
              <w:t>BODY</w:t>
            </w:r>
            <w:r w:rsidRPr="002B5B2A">
              <w:rPr>
                <w:rFonts w:ascii="Arial" w:hAnsi="Arial" w:cs="Arial"/>
                <w:noProof/>
                <w:webHidden/>
              </w:rPr>
              <w:tab/>
            </w:r>
            <w:r w:rsidRPr="002B5B2A">
              <w:rPr>
                <w:rFonts w:ascii="Arial" w:hAnsi="Arial" w:cs="Arial"/>
                <w:noProof/>
                <w:webHidden/>
              </w:rPr>
              <w:fldChar w:fldCharType="begin"/>
            </w:r>
            <w:r w:rsidRPr="002B5B2A">
              <w:rPr>
                <w:rFonts w:ascii="Arial" w:hAnsi="Arial" w:cs="Arial"/>
                <w:noProof/>
                <w:webHidden/>
              </w:rPr>
              <w:instrText xml:space="preserve"> PAGEREF _Toc128500957 \h </w:instrText>
            </w:r>
            <w:r w:rsidRPr="002B5B2A">
              <w:rPr>
                <w:rFonts w:ascii="Arial" w:hAnsi="Arial" w:cs="Arial"/>
                <w:noProof/>
                <w:webHidden/>
              </w:rPr>
            </w:r>
            <w:r w:rsidRPr="002B5B2A">
              <w:rPr>
                <w:rFonts w:ascii="Arial" w:hAnsi="Arial" w:cs="Arial"/>
                <w:noProof/>
                <w:webHidden/>
              </w:rPr>
              <w:fldChar w:fldCharType="separate"/>
            </w:r>
            <w:r w:rsidRPr="002B5B2A">
              <w:rPr>
                <w:rFonts w:ascii="Arial" w:hAnsi="Arial" w:cs="Arial"/>
                <w:noProof/>
                <w:webHidden/>
              </w:rPr>
              <w:t>1</w:t>
            </w:r>
            <w:r w:rsidRPr="002B5B2A">
              <w:rPr>
                <w:rFonts w:ascii="Arial" w:hAnsi="Arial" w:cs="Arial"/>
                <w:noProof/>
                <w:webHidden/>
              </w:rPr>
              <w:fldChar w:fldCharType="end"/>
            </w:r>
          </w:hyperlink>
        </w:p>
        <w:p w14:paraId="367349C2" w14:textId="298CFD4F" w:rsidR="00D2439D" w:rsidRPr="002B5B2A" w:rsidRDefault="00D2439D">
          <w:pPr>
            <w:pStyle w:val="TOC2"/>
            <w:tabs>
              <w:tab w:val="right" w:leader="dot" w:pos="9060"/>
            </w:tabs>
            <w:rPr>
              <w:rFonts w:ascii="Arial" w:hAnsi="Arial" w:cs="Arial"/>
              <w:noProof/>
            </w:rPr>
          </w:pPr>
          <w:hyperlink w:anchor="_Toc128500958" w:history="1">
            <w:r w:rsidRPr="002B5B2A">
              <w:rPr>
                <w:rStyle w:val="Hyperlink"/>
                <w:rFonts w:ascii="Arial" w:hAnsi="Arial" w:cs="Arial"/>
                <w:noProof/>
              </w:rPr>
              <w:t>CONCLUSION</w:t>
            </w:r>
            <w:r w:rsidRPr="002B5B2A">
              <w:rPr>
                <w:rFonts w:ascii="Arial" w:hAnsi="Arial" w:cs="Arial"/>
                <w:noProof/>
                <w:webHidden/>
              </w:rPr>
              <w:tab/>
            </w:r>
            <w:r w:rsidRPr="002B5B2A">
              <w:rPr>
                <w:rFonts w:ascii="Arial" w:hAnsi="Arial" w:cs="Arial"/>
                <w:noProof/>
                <w:webHidden/>
              </w:rPr>
              <w:fldChar w:fldCharType="begin"/>
            </w:r>
            <w:r w:rsidRPr="002B5B2A">
              <w:rPr>
                <w:rFonts w:ascii="Arial" w:hAnsi="Arial" w:cs="Arial"/>
                <w:noProof/>
                <w:webHidden/>
              </w:rPr>
              <w:instrText xml:space="preserve"> PAGEREF _Toc128500958 \h </w:instrText>
            </w:r>
            <w:r w:rsidRPr="002B5B2A">
              <w:rPr>
                <w:rFonts w:ascii="Arial" w:hAnsi="Arial" w:cs="Arial"/>
                <w:noProof/>
                <w:webHidden/>
              </w:rPr>
            </w:r>
            <w:r w:rsidRPr="002B5B2A">
              <w:rPr>
                <w:rFonts w:ascii="Arial" w:hAnsi="Arial" w:cs="Arial"/>
                <w:noProof/>
                <w:webHidden/>
              </w:rPr>
              <w:fldChar w:fldCharType="separate"/>
            </w:r>
            <w:r w:rsidRPr="002B5B2A">
              <w:rPr>
                <w:rFonts w:ascii="Arial" w:hAnsi="Arial" w:cs="Arial"/>
                <w:noProof/>
                <w:webHidden/>
              </w:rPr>
              <w:t>4</w:t>
            </w:r>
            <w:r w:rsidRPr="002B5B2A">
              <w:rPr>
                <w:rFonts w:ascii="Arial" w:hAnsi="Arial" w:cs="Arial"/>
                <w:noProof/>
                <w:webHidden/>
              </w:rPr>
              <w:fldChar w:fldCharType="end"/>
            </w:r>
          </w:hyperlink>
        </w:p>
        <w:p w14:paraId="3B4BD528" w14:textId="20DE7B45" w:rsidR="00D2439D" w:rsidRPr="002B5B2A" w:rsidRDefault="00D2439D">
          <w:pPr>
            <w:rPr>
              <w:rFonts w:ascii="Arial" w:hAnsi="Arial" w:cs="Arial"/>
            </w:rPr>
          </w:pPr>
          <w:r w:rsidRPr="002B5B2A">
            <w:rPr>
              <w:rFonts w:ascii="Arial" w:hAnsi="Arial" w:cs="Arial"/>
              <w:b/>
              <w:bCs/>
              <w:noProof/>
            </w:rPr>
            <w:fldChar w:fldCharType="end"/>
          </w:r>
        </w:p>
      </w:sdtContent>
    </w:sdt>
    <w:p w14:paraId="0542DFF4" w14:textId="306A33CC" w:rsidR="00D2439D" w:rsidRPr="002B5B2A" w:rsidRDefault="00D2439D" w:rsidP="00D2439D">
      <w:pPr>
        <w:rPr>
          <w:rFonts w:ascii="Arial" w:hAnsi="Arial" w:cs="Arial"/>
        </w:rPr>
      </w:pPr>
    </w:p>
    <w:p w14:paraId="4806D9DF" w14:textId="49E12431" w:rsidR="00D2439D" w:rsidRPr="002B5B2A" w:rsidRDefault="00000000" w:rsidP="00D2439D">
      <w:pPr>
        <w:pStyle w:val="Heading2"/>
        <w:rPr>
          <w:rFonts w:ascii="Arial" w:hAnsi="Arial" w:cs="Arial"/>
          <w:sz w:val="22"/>
          <w:szCs w:val="22"/>
        </w:rPr>
      </w:pPr>
      <w:bookmarkStart w:id="1" w:name="_Toc128500956"/>
      <w:r w:rsidRPr="002B5B2A">
        <w:rPr>
          <w:rFonts w:ascii="Arial" w:hAnsi="Arial" w:cs="Arial"/>
          <w:sz w:val="22"/>
          <w:szCs w:val="22"/>
        </w:rPr>
        <w:t>INTRODUCTION</w:t>
      </w:r>
      <w:bookmarkEnd w:id="1"/>
    </w:p>
    <w:p w14:paraId="0000000C" w14:textId="77777777" w:rsidR="005A108A" w:rsidRPr="002B5B2A" w:rsidRDefault="005A108A">
      <w:pPr>
        <w:ind w:firstLine="680"/>
        <w:jc w:val="both"/>
        <w:rPr>
          <w:rFonts w:ascii="Arial" w:eastAsia="Times New Roman" w:hAnsi="Arial" w:cs="Arial"/>
        </w:rPr>
      </w:pPr>
    </w:p>
    <w:p w14:paraId="0000000D" w14:textId="77777777" w:rsidR="005A108A" w:rsidRPr="002B5B2A" w:rsidRDefault="00000000">
      <w:pPr>
        <w:ind w:firstLine="680"/>
        <w:jc w:val="both"/>
        <w:rPr>
          <w:rFonts w:ascii="Arial" w:eastAsia="Times New Roman" w:hAnsi="Arial" w:cs="Arial"/>
        </w:rPr>
      </w:pPr>
      <w:r w:rsidRPr="002B5B2A">
        <w:rPr>
          <w:rFonts w:ascii="Arial" w:eastAsia="Times New Roman" w:hAnsi="Arial" w:cs="Arial"/>
        </w:rPr>
        <w:t>The Commonwealth Games are a multisport event that brings together Commonwealth of Nations athletes to participate in a variety of sports. In 2022, the Games were held in Birmingham, UK, providing a unique opportunity for the local community to attend the event and participate in various initiatives.Birmingham Commonwealth Games Community Engagement Project aimed to provide opportunities for the local community to get involved, learn more about the games, and experience the excitement of this international event.</w:t>
      </w:r>
    </w:p>
    <w:p w14:paraId="44555800" w14:textId="77777777" w:rsidR="002B5B2A" w:rsidRDefault="002B5B2A" w:rsidP="002B5B2A">
      <w:pPr>
        <w:ind w:firstLine="680"/>
        <w:jc w:val="both"/>
        <w:rPr>
          <w:rFonts w:ascii="Arial" w:eastAsia="Times New Roman" w:hAnsi="Arial" w:cs="Arial"/>
        </w:rPr>
      </w:pPr>
    </w:p>
    <w:p w14:paraId="0000000F" w14:textId="72B27C3E" w:rsidR="005A108A" w:rsidRDefault="00000000" w:rsidP="002B5B2A">
      <w:pPr>
        <w:ind w:firstLine="680"/>
        <w:jc w:val="both"/>
        <w:rPr>
          <w:rFonts w:ascii="Arial" w:eastAsia="Times New Roman" w:hAnsi="Arial" w:cs="Arial"/>
        </w:rPr>
      </w:pPr>
      <w:r w:rsidRPr="002B5B2A">
        <w:rPr>
          <w:rFonts w:ascii="Arial" w:eastAsia="Times New Roman" w:hAnsi="Arial" w:cs="Arial"/>
        </w:rPr>
        <w:t>This project had two main components: a Community Education program and a Legacy program.</w:t>
      </w:r>
      <w:r w:rsidR="002B5B2A">
        <w:rPr>
          <w:rFonts w:ascii="Arial" w:eastAsia="Times New Roman" w:hAnsi="Arial" w:cs="Arial"/>
        </w:rPr>
        <w:t xml:space="preserve"> </w:t>
      </w:r>
      <w:r w:rsidRPr="002B5B2A">
        <w:rPr>
          <w:rFonts w:ascii="Arial" w:eastAsia="Times New Roman" w:hAnsi="Arial" w:cs="Arial"/>
        </w:rPr>
        <w:t>The Community Education Program was an opportunity for the local community to get involved in the games through initiatives such as volunteering, attending events and activities, creating artwork and videos, or taking part in virtual challenges.</w:t>
      </w:r>
    </w:p>
    <w:p w14:paraId="7C2670F5" w14:textId="77777777" w:rsidR="002B5B2A" w:rsidRPr="002B5B2A" w:rsidRDefault="002B5B2A">
      <w:pPr>
        <w:jc w:val="both"/>
        <w:rPr>
          <w:rFonts w:ascii="Arial" w:eastAsia="Times New Roman" w:hAnsi="Arial" w:cs="Arial"/>
        </w:rPr>
      </w:pPr>
    </w:p>
    <w:p w14:paraId="00000010" w14:textId="77777777" w:rsidR="005A108A" w:rsidRPr="002B5B2A" w:rsidRDefault="00000000">
      <w:pPr>
        <w:jc w:val="both"/>
        <w:rPr>
          <w:rFonts w:ascii="Arial" w:eastAsia="Times New Roman" w:hAnsi="Arial" w:cs="Arial"/>
        </w:rPr>
      </w:pPr>
      <w:r w:rsidRPr="002B5B2A">
        <w:rPr>
          <w:rFonts w:ascii="Arial" w:eastAsia="Times New Roman" w:hAnsi="Arial" w:cs="Arial"/>
        </w:rPr>
        <w:t>The Legacy Program was designed to continue the positive impact of the Games beyond 2022 by providing opportunities to leverage the skills and experience gained during the Games. This included the creation of a range of resources that communities could continue to use, such as activities, projects, and educational materials.</w:t>
      </w:r>
    </w:p>
    <w:p w14:paraId="00000011" w14:textId="77777777" w:rsidR="005A108A" w:rsidRPr="002B5B2A" w:rsidRDefault="005A108A">
      <w:pPr>
        <w:pStyle w:val="Heading1"/>
        <w:rPr>
          <w:rFonts w:ascii="Arial" w:hAnsi="Arial" w:cs="Arial"/>
          <w:sz w:val="22"/>
          <w:szCs w:val="22"/>
        </w:rPr>
      </w:pPr>
    </w:p>
    <w:p w14:paraId="00000012" w14:textId="77777777" w:rsidR="005A108A" w:rsidRPr="002B5B2A" w:rsidRDefault="00000000" w:rsidP="00D2439D">
      <w:pPr>
        <w:pStyle w:val="Heading2"/>
        <w:rPr>
          <w:rFonts w:ascii="Arial" w:hAnsi="Arial" w:cs="Arial"/>
          <w:sz w:val="22"/>
          <w:szCs w:val="22"/>
        </w:rPr>
      </w:pPr>
      <w:bookmarkStart w:id="2" w:name="_30j0zll" w:colFirst="0" w:colLast="0"/>
      <w:bookmarkStart w:id="3" w:name="_Toc128500957"/>
      <w:bookmarkEnd w:id="2"/>
      <w:r w:rsidRPr="002B5B2A">
        <w:rPr>
          <w:rFonts w:ascii="Arial" w:hAnsi="Arial" w:cs="Arial"/>
          <w:sz w:val="22"/>
          <w:szCs w:val="22"/>
        </w:rPr>
        <w:t>BODY</w:t>
      </w:r>
      <w:bookmarkEnd w:id="3"/>
    </w:p>
    <w:p w14:paraId="00000013" w14:textId="77777777" w:rsidR="005A108A" w:rsidRPr="002B5B2A" w:rsidRDefault="005A108A">
      <w:pPr>
        <w:ind w:firstLine="680"/>
        <w:jc w:val="both"/>
        <w:rPr>
          <w:rFonts w:ascii="Arial" w:eastAsia="Times New Roman" w:hAnsi="Arial" w:cs="Arial"/>
        </w:rPr>
      </w:pPr>
    </w:p>
    <w:p w14:paraId="00000014" w14:textId="20DAFA57" w:rsidR="005A108A" w:rsidRDefault="00000000">
      <w:pPr>
        <w:ind w:firstLine="680"/>
        <w:jc w:val="both"/>
        <w:rPr>
          <w:rFonts w:ascii="Arial" w:eastAsia="Times New Roman" w:hAnsi="Arial" w:cs="Arial"/>
        </w:rPr>
      </w:pPr>
      <w:r w:rsidRPr="002B5B2A">
        <w:rPr>
          <w:rFonts w:ascii="Arial" w:eastAsia="Times New Roman" w:hAnsi="Arial" w:cs="Arial"/>
        </w:rPr>
        <w:lastRenderedPageBreak/>
        <w:t>The Community Education Program was an integral part of the planning and preparation for the upcoming Games, as it aimed to ensure that local communities were aware of the event and had the opportunity to get involved in various ways. By involving local stakeholders like schools, businesses, and institutions, the Program was able to reach more people, create more opportunities for engagement, and build lasting relationships between the organizers of the Games and the local community.</w:t>
      </w:r>
    </w:p>
    <w:p w14:paraId="0BC29A53" w14:textId="77777777" w:rsidR="002B5B2A" w:rsidRPr="002B5B2A" w:rsidRDefault="002B5B2A">
      <w:pPr>
        <w:ind w:firstLine="680"/>
        <w:jc w:val="both"/>
        <w:rPr>
          <w:rFonts w:ascii="Arial" w:eastAsia="Times New Roman" w:hAnsi="Arial" w:cs="Arial"/>
        </w:rPr>
      </w:pPr>
    </w:p>
    <w:p w14:paraId="00000015" w14:textId="2C93402F" w:rsidR="005A108A" w:rsidRDefault="00000000">
      <w:pPr>
        <w:jc w:val="both"/>
        <w:rPr>
          <w:rFonts w:ascii="Arial" w:eastAsia="Times New Roman" w:hAnsi="Arial" w:cs="Arial"/>
        </w:rPr>
      </w:pPr>
      <w:r w:rsidRPr="002B5B2A">
        <w:rPr>
          <w:rFonts w:ascii="Arial" w:eastAsia="Times New Roman" w:hAnsi="Arial" w:cs="Arial"/>
        </w:rPr>
        <w:t>During the planning process, the project was adapted to the needs and interests of each region, maximizing their participation in the Games.Throughout the program, a range of events and activities were chosen to provide information and mobilize local communities.Workshops,forums, seminars, and conferences were held to raise public awareness of the importance of the Games and provide information on how they could get involved in various capacities. These events were designed to be interactive and engaging, encouraging participants to ask questions and provide their perspectives on the Games. In addition to more traditional forms of engagement, the program also featured virtual challenges and contests to attract a younger audience. These events were designed to encourage participation and excitement in the Games while providing an opportunity to learn more about the various sports and athletes taking part.</w:t>
      </w:r>
    </w:p>
    <w:p w14:paraId="28121122" w14:textId="77777777" w:rsidR="002B5B2A" w:rsidRPr="002B5B2A" w:rsidRDefault="002B5B2A">
      <w:pPr>
        <w:jc w:val="both"/>
        <w:rPr>
          <w:rFonts w:ascii="Arial" w:eastAsia="Times New Roman" w:hAnsi="Arial" w:cs="Arial"/>
        </w:rPr>
      </w:pPr>
    </w:p>
    <w:p w14:paraId="00000016" w14:textId="77777777" w:rsidR="005A108A" w:rsidRPr="002B5B2A" w:rsidRDefault="00000000">
      <w:pPr>
        <w:ind w:firstLine="680"/>
        <w:jc w:val="both"/>
        <w:rPr>
          <w:rFonts w:ascii="Arial" w:eastAsia="Times New Roman" w:hAnsi="Arial" w:cs="Arial"/>
        </w:rPr>
      </w:pPr>
      <w:r w:rsidRPr="002B5B2A">
        <w:rPr>
          <w:rFonts w:ascii="Arial" w:eastAsia="Times New Roman" w:hAnsi="Arial" w:cs="Arial"/>
        </w:rPr>
        <w:t>According to the organizers, the most useful tools of the program were the interactive and creative activities that allowed participants to express their feelings and share stories about how they were engaging with the Games.</w:t>
      </w:r>
    </w:p>
    <w:p w14:paraId="00000017" w14:textId="582818D2" w:rsidR="005A108A" w:rsidRDefault="00000000">
      <w:pPr>
        <w:jc w:val="both"/>
        <w:rPr>
          <w:rFonts w:ascii="Arial" w:eastAsia="Times New Roman" w:hAnsi="Arial" w:cs="Arial"/>
        </w:rPr>
      </w:pPr>
      <w:r w:rsidRPr="002B5B2A">
        <w:rPr>
          <w:rFonts w:ascii="Arial" w:eastAsia="Times New Roman" w:hAnsi="Arial" w:cs="Arial"/>
        </w:rPr>
        <w:t>The community education program ran for more than a year before the Games started. Its success was evident through the high level of engagement and involvement of local communities.By involving stakeholders in the planning process and tailoring the program to each area’s unique needs and interests, the project was able to create a sense of ownership and investment in the Games. In return, it contributed to a successful and memorable event that was enjoyed by residents and visitors alike.</w:t>
      </w:r>
    </w:p>
    <w:p w14:paraId="154D1778" w14:textId="77777777" w:rsidR="002B5B2A" w:rsidRPr="002B5B2A" w:rsidRDefault="002B5B2A">
      <w:pPr>
        <w:jc w:val="both"/>
        <w:rPr>
          <w:rFonts w:ascii="Arial" w:eastAsia="Times New Roman" w:hAnsi="Arial" w:cs="Arial"/>
        </w:rPr>
      </w:pPr>
    </w:p>
    <w:p w14:paraId="00000018" w14:textId="498A0EA4" w:rsidR="005A108A" w:rsidRDefault="00000000">
      <w:pPr>
        <w:jc w:val="both"/>
        <w:rPr>
          <w:rFonts w:ascii="Arial" w:eastAsia="Times New Roman" w:hAnsi="Arial" w:cs="Arial"/>
        </w:rPr>
      </w:pPr>
      <w:r w:rsidRPr="002B5B2A">
        <w:rPr>
          <w:rFonts w:ascii="Arial" w:eastAsia="Times New Roman" w:hAnsi="Arial" w:cs="Arial"/>
        </w:rPr>
        <w:t>Sporting events and school competitions were a great opportunity for students to participate in sports and physical activity, and to learn more about the games and what they involved. The events were designed to maximize participation and provide a positive experience for all students.</w:t>
      </w:r>
    </w:p>
    <w:p w14:paraId="50607E52" w14:textId="77777777" w:rsidR="002B5B2A" w:rsidRPr="002B5B2A" w:rsidRDefault="002B5B2A">
      <w:pPr>
        <w:jc w:val="both"/>
        <w:rPr>
          <w:rFonts w:ascii="Arial" w:eastAsia="Times New Roman" w:hAnsi="Arial" w:cs="Arial"/>
        </w:rPr>
      </w:pPr>
    </w:p>
    <w:p w14:paraId="00000019" w14:textId="77777777" w:rsidR="005A108A" w:rsidRPr="002B5B2A" w:rsidRDefault="00000000">
      <w:pPr>
        <w:jc w:val="both"/>
        <w:rPr>
          <w:rFonts w:ascii="Arial" w:eastAsia="Times New Roman" w:hAnsi="Arial" w:cs="Arial"/>
        </w:rPr>
      </w:pPr>
      <w:r w:rsidRPr="002B5B2A">
        <w:rPr>
          <w:rFonts w:ascii="Arial" w:eastAsia="Times New Roman" w:hAnsi="Arial" w:cs="Arial"/>
        </w:rPr>
        <w:t xml:space="preserve">The educational resources developed for this phase of the project have been critical to the project's success. These resources were designed to be engaging and interactive and provided students with a comprehensive overview of the games and their implications. </w:t>
      </w:r>
      <w:r w:rsidRPr="002B5B2A">
        <w:rPr>
          <w:rFonts w:ascii="Arial" w:eastAsia="Times New Roman" w:hAnsi="Arial" w:cs="Arial"/>
        </w:rPr>
        <w:lastRenderedPageBreak/>
        <w:t>Different tools and platforms are used to create and better understand community involvement, and they are practical or effective.</w:t>
      </w:r>
    </w:p>
    <w:p w14:paraId="0000001A" w14:textId="7DBFA71D" w:rsidR="005A108A" w:rsidRDefault="00000000">
      <w:pPr>
        <w:ind w:firstLine="680"/>
        <w:jc w:val="both"/>
        <w:rPr>
          <w:rFonts w:ascii="Arial" w:eastAsia="Times New Roman" w:hAnsi="Arial" w:cs="Arial"/>
        </w:rPr>
      </w:pPr>
      <w:bookmarkStart w:id="4" w:name="_3znysh7" w:colFirst="0" w:colLast="0"/>
      <w:bookmarkEnd w:id="4"/>
      <w:r w:rsidRPr="002B5B2A">
        <w:rPr>
          <w:rFonts w:ascii="Arial" w:eastAsia="Times New Roman" w:hAnsi="Arial" w:cs="Arial"/>
        </w:rPr>
        <w:t>As an example, one of the tools used in community engagement was a "Commonwealth Games Quiz" which provided students with the opportunity to test their knowledge on a range of questions related to the games and their history also being an interactive resource. It was well received by both, teachers and students, enabling them to learn the games interactively and engagingly.</w:t>
      </w:r>
    </w:p>
    <w:p w14:paraId="3C7B09F5" w14:textId="77777777" w:rsidR="002B5B2A" w:rsidRPr="002B5B2A" w:rsidRDefault="002B5B2A">
      <w:pPr>
        <w:ind w:firstLine="680"/>
        <w:jc w:val="both"/>
        <w:rPr>
          <w:rFonts w:ascii="Arial" w:eastAsia="Times New Roman" w:hAnsi="Arial" w:cs="Arial"/>
        </w:rPr>
      </w:pPr>
    </w:p>
    <w:p w14:paraId="0000001B" w14:textId="5739D0BF" w:rsidR="005A108A" w:rsidRDefault="00000000">
      <w:pPr>
        <w:ind w:firstLine="680"/>
        <w:jc w:val="both"/>
        <w:rPr>
          <w:rFonts w:ascii="Arial" w:eastAsia="Times New Roman" w:hAnsi="Arial" w:cs="Arial"/>
        </w:rPr>
      </w:pPr>
      <w:r w:rsidRPr="002B5B2A">
        <w:rPr>
          <w:rFonts w:ascii="Arial" w:eastAsia="Times New Roman" w:hAnsi="Arial" w:cs="Arial"/>
        </w:rPr>
        <w:t>Another example of an educational resource was a series of videos that included interviews with athletes attending the Games. These videos provided insights into the training and preparation required to become a top-level athlete, and they also highlighted the values of the Games, such as fair play and respect for others.</w:t>
      </w:r>
    </w:p>
    <w:p w14:paraId="600A19EF" w14:textId="77777777" w:rsidR="002B5B2A" w:rsidRPr="002B5B2A" w:rsidRDefault="002B5B2A">
      <w:pPr>
        <w:ind w:firstLine="680"/>
        <w:jc w:val="both"/>
        <w:rPr>
          <w:rFonts w:ascii="Arial" w:eastAsia="Times New Roman" w:hAnsi="Arial" w:cs="Arial"/>
        </w:rPr>
      </w:pPr>
    </w:p>
    <w:p w14:paraId="0000001C" w14:textId="7E91CAE6" w:rsidR="005A108A" w:rsidRDefault="00000000">
      <w:pPr>
        <w:ind w:firstLine="680"/>
        <w:jc w:val="both"/>
        <w:rPr>
          <w:rFonts w:ascii="Arial" w:eastAsia="Times New Roman" w:hAnsi="Arial" w:cs="Arial"/>
        </w:rPr>
      </w:pPr>
      <w:r w:rsidRPr="002B5B2A">
        <w:rPr>
          <w:rFonts w:ascii="Arial" w:eastAsia="Times New Roman" w:hAnsi="Arial" w:cs="Arial"/>
        </w:rPr>
        <w:t>According to Birmingham news, the videos have been watched over 10 million times, making them a hugely popular resource for the project. They were a great way to participate in the Games and learn about the various athletes attending the event.Workshops and seminars were other important elements of the Community Education Program. These events provided an opportunity for community members to come together and learn about the Games, as well as to share their perspectives and ideas for how to make the Games a success. The seminars covered a range of subjects, from the economic advantages of hosting a major sporting event to the environmental impact of the Games.</w:t>
      </w:r>
    </w:p>
    <w:p w14:paraId="3A21DB08" w14:textId="77777777" w:rsidR="002B5B2A" w:rsidRPr="002B5B2A" w:rsidRDefault="002B5B2A">
      <w:pPr>
        <w:ind w:firstLine="680"/>
        <w:jc w:val="both"/>
        <w:rPr>
          <w:rFonts w:ascii="Arial" w:eastAsia="Times New Roman" w:hAnsi="Arial" w:cs="Arial"/>
        </w:rPr>
      </w:pPr>
    </w:p>
    <w:p w14:paraId="0000001D" w14:textId="77777777" w:rsidR="005A108A" w:rsidRPr="002B5B2A" w:rsidRDefault="00000000">
      <w:pPr>
        <w:ind w:firstLine="680"/>
        <w:jc w:val="both"/>
        <w:rPr>
          <w:rFonts w:ascii="Arial" w:eastAsia="Times New Roman" w:hAnsi="Arial" w:cs="Arial"/>
        </w:rPr>
      </w:pPr>
      <w:r w:rsidRPr="002B5B2A">
        <w:rPr>
          <w:rFonts w:ascii="Arial" w:eastAsia="Times New Roman" w:hAnsi="Arial" w:cs="Arial"/>
        </w:rPr>
        <w:t>The second phase of the project focused on engaging local community groups and providing opportunities for individuals of all ages to participate in the Games. That included initiatives such as community festivals, artistic facilities, and other cultural events. The purpose was to ensure that the local people felt connected to the Games and that they owned them.</w:t>
      </w:r>
    </w:p>
    <w:p w14:paraId="0C97C857" w14:textId="77777777" w:rsidR="002B5B2A" w:rsidRDefault="002B5B2A">
      <w:pPr>
        <w:ind w:firstLine="680"/>
        <w:jc w:val="both"/>
        <w:rPr>
          <w:rFonts w:ascii="Arial" w:eastAsia="Times New Roman" w:hAnsi="Arial" w:cs="Arial"/>
        </w:rPr>
      </w:pPr>
    </w:p>
    <w:p w14:paraId="0000001E" w14:textId="35ED5FD6" w:rsidR="005A108A" w:rsidRDefault="00000000">
      <w:pPr>
        <w:ind w:firstLine="680"/>
        <w:jc w:val="both"/>
        <w:rPr>
          <w:rFonts w:ascii="Arial" w:eastAsia="Times New Roman" w:hAnsi="Arial" w:cs="Arial"/>
        </w:rPr>
      </w:pPr>
      <w:r w:rsidRPr="002B5B2A">
        <w:rPr>
          <w:rFonts w:ascii="Arial" w:eastAsia="Times New Roman" w:hAnsi="Arial" w:cs="Arial"/>
        </w:rPr>
        <w:t>The Legacy Program was also developed at this stage of the project, with an emphasis on using the skills gained from hosting a major sporting event to create lasting benefits for the local community. This included the creation of resources such as educational materials, activities, and projects that could be used by communities following the conclusion of the Games.The resources were available in various formats, including print materials, videos, and interactive digital tools, making them accessible to students of all ages and abilities.</w:t>
      </w:r>
    </w:p>
    <w:p w14:paraId="6E82715A" w14:textId="77777777" w:rsidR="002B5B2A" w:rsidRPr="002B5B2A" w:rsidRDefault="002B5B2A">
      <w:pPr>
        <w:ind w:firstLine="680"/>
        <w:jc w:val="both"/>
        <w:rPr>
          <w:rFonts w:ascii="Arial" w:eastAsia="Times New Roman" w:hAnsi="Arial" w:cs="Arial"/>
        </w:rPr>
      </w:pPr>
    </w:p>
    <w:p w14:paraId="0000001F" w14:textId="1D437705" w:rsidR="005A108A" w:rsidRDefault="00000000">
      <w:pPr>
        <w:jc w:val="both"/>
        <w:rPr>
          <w:rFonts w:ascii="Arial" w:eastAsia="Times New Roman" w:hAnsi="Arial" w:cs="Arial"/>
        </w:rPr>
      </w:pPr>
      <w:r w:rsidRPr="002B5B2A">
        <w:rPr>
          <w:rFonts w:ascii="Arial" w:eastAsia="Times New Roman" w:hAnsi="Arial" w:cs="Arial"/>
        </w:rPr>
        <w:t xml:space="preserve">In addition to educational resources, the project also enabled individuals of all ages to participate in a variety of sports activities.This included sports events and school competitions, as well as training and training from local sports clubs and organizations. These events helped </w:t>
      </w:r>
      <w:r w:rsidRPr="002B5B2A">
        <w:rPr>
          <w:rFonts w:ascii="Arial" w:eastAsia="Times New Roman" w:hAnsi="Arial" w:cs="Arial"/>
        </w:rPr>
        <w:lastRenderedPageBreak/>
        <w:t>people learn new skills, interact with their communities and participate in a fun and inclusive setting.This has been achieved through various initiatives, including the creation of community sports events, mentoring and training, and the creation of community sports clubs.Sporting events and community clubs provided a great opportunity for people of all ages to participate in sports and physical activities and learn more about the games. The events were designed to maximize participation and provide a positive experience for all participants.</w:t>
      </w:r>
    </w:p>
    <w:p w14:paraId="4039AEE4" w14:textId="77777777" w:rsidR="002B5B2A" w:rsidRPr="002B5B2A" w:rsidRDefault="002B5B2A">
      <w:pPr>
        <w:jc w:val="both"/>
        <w:rPr>
          <w:rFonts w:ascii="Arial" w:eastAsia="Times New Roman" w:hAnsi="Arial" w:cs="Arial"/>
        </w:rPr>
      </w:pPr>
    </w:p>
    <w:p w14:paraId="00000020" w14:textId="7FF743E1" w:rsidR="005A108A" w:rsidRDefault="00000000">
      <w:pPr>
        <w:jc w:val="both"/>
        <w:rPr>
          <w:rFonts w:ascii="Arial" w:eastAsia="Times New Roman" w:hAnsi="Arial" w:cs="Arial"/>
        </w:rPr>
      </w:pPr>
      <w:r w:rsidRPr="002B5B2A">
        <w:rPr>
          <w:rFonts w:ascii="Arial" w:eastAsia="Times New Roman" w:hAnsi="Arial" w:cs="Arial"/>
        </w:rPr>
        <w:t>One of the key initiatives during this phase of the project was the creation of sports clubs. These clubs were designed to provide a regular and ongoing opportunity for people to get involved in sports and physical activity, and to continue to engage with the games after the event had finished. According to the Birmingham Council, the clubs received funding and support to help them purchase equipment and resources and provide high-quality coaching and training to their members.</w:t>
      </w:r>
    </w:p>
    <w:p w14:paraId="4BF413E3" w14:textId="77777777" w:rsidR="002B5B2A" w:rsidRPr="002B5B2A" w:rsidRDefault="002B5B2A">
      <w:pPr>
        <w:jc w:val="both"/>
        <w:rPr>
          <w:rFonts w:ascii="Arial" w:eastAsia="Times New Roman" w:hAnsi="Arial" w:cs="Arial"/>
        </w:rPr>
      </w:pPr>
    </w:p>
    <w:p w14:paraId="00000021" w14:textId="6DABBCC2" w:rsidR="005A108A" w:rsidRDefault="00000000">
      <w:pPr>
        <w:rPr>
          <w:rFonts w:ascii="Arial" w:eastAsia="Times New Roman" w:hAnsi="Arial" w:cs="Arial"/>
        </w:rPr>
      </w:pPr>
      <w:r w:rsidRPr="002B5B2A">
        <w:rPr>
          <w:rFonts w:ascii="Arial" w:eastAsia="Times New Roman" w:hAnsi="Arial" w:cs="Arial"/>
        </w:rPr>
        <w:t>In addition to community sports clubs, the project allowed people to participate in various sports activities. This includes some jobs and positions like team leaders, coaches, and volunteers. The project also funded a variety of sporting events that could be used to help people participate in the Games.</w:t>
      </w:r>
    </w:p>
    <w:p w14:paraId="707561C0" w14:textId="77777777" w:rsidR="002B5B2A" w:rsidRPr="002B5B2A" w:rsidRDefault="002B5B2A">
      <w:pPr>
        <w:rPr>
          <w:rFonts w:ascii="Arial" w:eastAsia="Times New Roman" w:hAnsi="Arial" w:cs="Arial"/>
        </w:rPr>
      </w:pPr>
    </w:p>
    <w:p w14:paraId="00000022" w14:textId="240784ED" w:rsidR="005A108A" w:rsidRDefault="00000000" w:rsidP="002B5B2A">
      <w:pPr>
        <w:ind w:firstLine="680"/>
        <w:jc w:val="both"/>
        <w:rPr>
          <w:rFonts w:ascii="Arial" w:eastAsia="Times New Roman" w:hAnsi="Arial" w:cs="Arial"/>
        </w:rPr>
      </w:pPr>
      <w:r w:rsidRPr="002B5B2A">
        <w:rPr>
          <w:rFonts w:ascii="Arial" w:eastAsia="Times New Roman" w:hAnsi="Arial" w:cs="Arial"/>
        </w:rPr>
        <w:t>The project's third stage, involving the general public, was also successful. This was achieved through a series of public events and activities, including open days at local sports facilities, interactive displays and shows, and a variety of other initiatives. Also, enabled people to understand the Games and how they might participate.In addition to public events, the project has also provided a variety of resources to local businesses, such as marketing materials, advertising opportunities, and sponsorships, allowing companies to participate in the project and take advantage of the positive impact of the Games.According to MarketWatch companies in the Midlands have greatly benefitted from this project. This included hotels, restaurants, and other hospitality companies which were able to increase their profits due to the increased demand for accommodation and food during the event. Statistics show that some companies have reported a 25% increase in profits.</w:t>
      </w:r>
    </w:p>
    <w:p w14:paraId="4F832B46" w14:textId="77777777" w:rsidR="002B5B2A" w:rsidRPr="002B5B2A" w:rsidRDefault="002B5B2A" w:rsidP="002B5B2A">
      <w:pPr>
        <w:ind w:firstLine="680"/>
        <w:jc w:val="both"/>
        <w:rPr>
          <w:rFonts w:ascii="Arial" w:eastAsia="Times New Roman" w:hAnsi="Arial" w:cs="Arial"/>
        </w:rPr>
      </w:pPr>
    </w:p>
    <w:p w14:paraId="00000023" w14:textId="761FF897" w:rsidR="005A108A" w:rsidRDefault="00000000">
      <w:pPr>
        <w:ind w:firstLine="680"/>
        <w:jc w:val="both"/>
        <w:rPr>
          <w:rFonts w:ascii="Arial" w:eastAsia="Times New Roman" w:hAnsi="Arial" w:cs="Arial"/>
        </w:rPr>
      </w:pPr>
      <w:r w:rsidRPr="002B5B2A">
        <w:rPr>
          <w:rFonts w:ascii="Arial" w:eastAsia="Times New Roman" w:hAnsi="Arial" w:cs="Arial"/>
        </w:rPr>
        <w:t>Another important aspect of the project was providing information and resources regarding the Games. This included information about the history of the games, the different events and sports that were involved, and the impact that the games had on the local community and wider society. It was particularly helpful for those who had limited knowledge of the games.</w:t>
      </w:r>
    </w:p>
    <w:p w14:paraId="4390A2BB" w14:textId="77777777" w:rsidR="002B5B2A" w:rsidRPr="002B5B2A" w:rsidRDefault="002B5B2A">
      <w:pPr>
        <w:ind w:firstLine="680"/>
        <w:jc w:val="both"/>
        <w:rPr>
          <w:rFonts w:ascii="Arial" w:eastAsia="Times New Roman" w:hAnsi="Arial" w:cs="Arial"/>
        </w:rPr>
      </w:pPr>
    </w:p>
    <w:p w14:paraId="00000024" w14:textId="77777777" w:rsidR="005A108A" w:rsidRPr="002B5B2A" w:rsidRDefault="00000000">
      <w:pPr>
        <w:ind w:firstLine="680"/>
        <w:jc w:val="both"/>
        <w:rPr>
          <w:rFonts w:ascii="Arial" w:eastAsia="Times New Roman" w:hAnsi="Arial" w:cs="Arial"/>
        </w:rPr>
      </w:pPr>
      <w:r w:rsidRPr="002B5B2A">
        <w:rPr>
          <w:rFonts w:ascii="Arial" w:eastAsia="Times New Roman" w:hAnsi="Arial" w:cs="Arial"/>
        </w:rPr>
        <w:lastRenderedPageBreak/>
        <w:t>All in all, the project was a great success and achieved its goals of engaging with the community and providing a range of educational and recreational opportunities for people of all ages and abilities. It shows how sports can be used as an effective means of promoting public health, education, and community involvement.</w:t>
      </w:r>
    </w:p>
    <w:p w14:paraId="00000025" w14:textId="77777777" w:rsidR="005A108A" w:rsidRPr="002B5B2A" w:rsidRDefault="005A108A">
      <w:pPr>
        <w:ind w:firstLine="680"/>
        <w:jc w:val="both"/>
        <w:rPr>
          <w:rFonts w:ascii="Arial" w:eastAsia="Times New Roman" w:hAnsi="Arial" w:cs="Arial"/>
        </w:rPr>
      </w:pPr>
    </w:p>
    <w:p w14:paraId="00000026" w14:textId="77777777" w:rsidR="005A108A" w:rsidRPr="002B5B2A" w:rsidRDefault="00000000" w:rsidP="00D2439D">
      <w:pPr>
        <w:pStyle w:val="Heading2"/>
        <w:rPr>
          <w:rFonts w:ascii="Arial" w:hAnsi="Arial" w:cs="Arial"/>
          <w:sz w:val="22"/>
          <w:szCs w:val="22"/>
        </w:rPr>
      </w:pPr>
      <w:bookmarkStart w:id="5" w:name="_1fob9te" w:colFirst="0" w:colLast="0"/>
      <w:bookmarkStart w:id="6" w:name="_Toc128500958"/>
      <w:bookmarkEnd w:id="5"/>
      <w:r w:rsidRPr="002B5B2A">
        <w:rPr>
          <w:rFonts w:ascii="Arial" w:hAnsi="Arial" w:cs="Arial"/>
          <w:sz w:val="22"/>
          <w:szCs w:val="22"/>
        </w:rPr>
        <w:t>CONCLUSION</w:t>
      </w:r>
      <w:bookmarkEnd w:id="6"/>
    </w:p>
    <w:p w14:paraId="00000027" w14:textId="77777777" w:rsidR="005A108A" w:rsidRPr="002B5B2A" w:rsidRDefault="005A108A">
      <w:pPr>
        <w:ind w:firstLine="680"/>
        <w:jc w:val="both"/>
        <w:rPr>
          <w:rFonts w:ascii="Arial" w:eastAsia="Times New Roman" w:hAnsi="Arial" w:cs="Arial"/>
        </w:rPr>
      </w:pPr>
    </w:p>
    <w:p w14:paraId="3A52891B" w14:textId="0A125900" w:rsidR="002B5B2A" w:rsidRDefault="00000000">
      <w:pPr>
        <w:ind w:firstLine="680"/>
        <w:jc w:val="both"/>
        <w:rPr>
          <w:rFonts w:ascii="Arial" w:eastAsia="Times New Roman" w:hAnsi="Arial" w:cs="Arial"/>
        </w:rPr>
      </w:pPr>
      <w:r w:rsidRPr="002B5B2A">
        <w:rPr>
          <w:rFonts w:ascii="Arial" w:eastAsia="Times New Roman" w:hAnsi="Arial" w:cs="Arial"/>
        </w:rPr>
        <w:t>In conclusion, the Birmingham Commonwealth Games Community Engagement Project has been tremendously successful. Through its various initiatives and activities, the project provided opportunities for people of all ages and backgrounds to get involved in sports and physical activity, learn about the games, and experience the excitement of this international event.The project demonstrated the value of community commitment and the positive impact that events such as the Commonwealth Games can have on local communities.</w:t>
      </w:r>
    </w:p>
    <w:p w14:paraId="7CED0985" w14:textId="77777777" w:rsidR="002B5B2A" w:rsidRDefault="002B5B2A">
      <w:pPr>
        <w:ind w:firstLine="680"/>
        <w:jc w:val="both"/>
        <w:rPr>
          <w:rFonts w:ascii="Arial" w:eastAsia="Times New Roman" w:hAnsi="Arial" w:cs="Arial"/>
        </w:rPr>
      </w:pPr>
    </w:p>
    <w:p w14:paraId="765ADF96" w14:textId="77777777" w:rsidR="002B5B2A" w:rsidRDefault="00000000">
      <w:pPr>
        <w:ind w:firstLine="680"/>
        <w:jc w:val="both"/>
        <w:rPr>
          <w:rFonts w:ascii="Arial" w:eastAsia="Times New Roman" w:hAnsi="Arial" w:cs="Arial"/>
        </w:rPr>
      </w:pPr>
      <w:r w:rsidRPr="002B5B2A">
        <w:rPr>
          <w:rFonts w:ascii="Arial" w:eastAsia="Times New Roman" w:hAnsi="Arial" w:cs="Arial"/>
        </w:rPr>
        <w:t>Many factors contributed to the success of the project, including several factors such as the effective collaboration between different stakeholders, the provision of support and resources, and the focus on providing high-quality experiences for the local community. Through its various initiatives, the project has helped people learn new skills, interact with their local community and participate in a fun and inclusive setting.</w:t>
      </w:r>
    </w:p>
    <w:p w14:paraId="1E56FC1B" w14:textId="77777777" w:rsidR="002B5B2A" w:rsidRDefault="002B5B2A">
      <w:pPr>
        <w:ind w:firstLine="680"/>
        <w:jc w:val="both"/>
        <w:rPr>
          <w:rFonts w:ascii="Arial" w:eastAsia="Times New Roman" w:hAnsi="Arial" w:cs="Arial"/>
        </w:rPr>
      </w:pPr>
    </w:p>
    <w:p w14:paraId="00000028" w14:textId="174071B5" w:rsidR="005A108A" w:rsidRPr="002B5B2A" w:rsidRDefault="00000000">
      <w:pPr>
        <w:ind w:firstLine="680"/>
        <w:jc w:val="both"/>
        <w:rPr>
          <w:rFonts w:ascii="Arial" w:eastAsia="Times New Roman" w:hAnsi="Arial" w:cs="Arial"/>
        </w:rPr>
      </w:pPr>
      <w:r w:rsidRPr="002B5B2A">
        <w:rPr>
          <w:rFonts w:ascii="Arial" w:eastAsia="Times New Roman" w:hAnsi="Arial" w:cs="Arial"/>
        </w:rPr>
        <w:t>The project will have an impact for many years to come as the community continues to build on the foundation laid during the Games. Through the creation of new sports clubs, the development of new resources and initiatives, and the continued engagement of the local community, the legacy of the Birmingham Commonwealth Games will live on.</w:t>
      </w:r>
    </w:p>
    <w:sectPr w:rsidR="005A108A" w:rsidRPr="002B5B2A">
      <w:footerReference w:type="default" r:id="rId6"/>
      <w:pgSz w:w="11906" w:h="16838"/>
      <w:pgMar w:top="1418" w:right="1418" w:bottom="1418" w:left="1418" w:header="567" w:footer="567"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DF30A0" w14:textId="77777777" w:rsidR="004321A2" w:rsidRDefault="004321A2">
      <w:pPr>
        <w:spacing w:line="240" w:lineRule="auto"/>
      </w:pPr>
      <w:r>
        <w:separator/>
      </w:r>
    </w:p>
  </w:endnote>
  <w:endnote w:type="continuationSeparator" w:id="0">
    <w:p w14:paraId="02994990" w14:textId="77777777" w:rsidR="004321A2" w:rsidRDefault="004321A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29" w14:textId="263AAD2B" w:rsidR="005A108A" w:rsidRDefault="00000000">
    <w:pPr>
      <w:pBdr>
        <w:top w:val="nil"/>
        <w:left w:val="nil"/>
        <w:bottom w:val="nil"/>
        <w:right w:val="nil"/>
        <w:between w:val="nil"/>
      </w:pBdr>
      <w:tabs>
        <w:tab w:val="center" w:pos="4513"/>
        <w:tab w:val="right" w:pos="9026"/>
        <w:tab w:val="left" w:pos="3960"/>
        <w:tab w:val="center" w:pos="4535"/>
      </w:tabs>
      <w:spacing w:line="240" w:lineRule="auto"/>
      <w:rPr>
        <w:rFonts w:ascii="Times New Roman" w:eastAsia="Times New Roman" w:hAnsi="Times New Roman" w:cs="Times New Roman"/>
        <w:color w:val="000000"/>
        <w:sz w:val="24"/>
        <w:szCs w:val="24"/>
      </w:rPr>
    </w:pPr>
    <w:r>
      <w:rPr>
        <w:color w:val="000000"/>
      </w:rPr>
      <w:tab/>
    </w:r>
    <w:r>
      <w:rPr>
        <w:rFonts w:ascii="Times New Roman" w:eastAsia="Times New Roman" w:hAnsi="Times New Roman" w:cs="Times New Roman"/>
        <w:color w:val="000000"/>
        <w:sz w:val="24"/>
        <w:szCs w:val="24"/>
      </w:rPr>
      <w:fldChar w:fldCharType="begin"/>
    </w:r>
    <w:r>
      <w:rPr>
        <w:rFonts w:ascii="Times New Roman" w:eastAsia="Times New Roman" w:hAnsi="Times New Roman" w:cs="Times New Roman"/>
        <w:color w:val="000000"/>
        <w:sz w:val="24"/>
        <w:szCs w:val="24"/>
      </w:rPr>
      <w:instrText>PAGE</w:instrText>
    </w:r>
    <w:r>
      <w:rPr>
        <w:rFonts w:ascii="Times New Roman" w:eastAsia="Times New Roman" w:hAnsi="Times New Roman" w:cs="Times New Roman"/>
        <w:color w:val="000000"/>
        <w:sz w:val="24"/>
        <w:szCs w:val="24"/>
      </w:rPr>
      <w:fldChar w:fldCharType="separate"/>
    </w:r>
    <w:r w:rsidR="00D2439D">
      <w:rPr>
        <w:rFonts w:ascii="Times New Roman" w:eastAsia="Times New Roman" w:hAnsi="Times New Roman" w:cs="Times New Roman"/>
        <w:noProof/>
        <w:color w:val="000000"/>
        <w:sz w:val="24"/>
        <w:szCs w:val="24"/>
      </w:rPr>
      <w:t>1</w:t>
    </w:r>
    <w:r>
      <w:rPr>
        <w:rFonts w:ascii="Times New Roman" w:eastAsia="Times New Roman" w:hAnsi="Times New Roman" w:cs="Times New Roman"/>
        <w:color w:val="000000"/>
        <w:sz w:val="24"/>
        <w:szCs w:val="24"/>
      </w:rPr>
      <w:fldChar w:fldCharType="end"/>
    </w:r>
  </w:p>
  <w:p w14:paraId="0000002A" w14:textId="77777777" w:rsidR="005A108A" w:rsidRDefault="005A108A">
    <w:pPr>
      <w:pBdr>
        <w:top w:val="nil"/>
        <w:left w:val="nil"/>
        <w:bottom w:val="nil"/>
        <w:right w:val="nil"/>
        <w:between w:val="nil"/>
      </w:pBdr>
      <w:tabs>
        <w:tab w:val="center" w:pos="4513"/>
        <w:tab w:val="right" w:pos="9026"/>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BE2C5B" w14:textId="77777777" w:rsidR="004321A2" w:rsidRDefault="004321A2">
      <w:pPr>
        <w:spacing w:line="240" w:lineRule="auto"/>
      </w:pPr>
      <w:r>
        <w:separator/>
      </w:r>
    </w:p>
  </w:footnote>
  <w:footnote w:type="continuationSeparator" w:id="0">
    <w:p w14:paraId="485EB194" w14:textId="77777777" w:rsidR="004321A2" w:rsidRDefault="004321A2">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A108A"/>
    <w:rsid w:val="002B5B2A"/>
    <w:rsid w:val="004321A2"/>
    <w:rsid w:val="005A108A"/>
    <w:rsid w:val="00D2439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9294BA"/>
  <w15:docId w15:val="{EF1B10E7-C404-4839-A144-480D8BF94A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ro-RO" w:eastAsia="en-US" w:bidi="ar-SA"/>
      </w:rPr>
    </w:rPrDefault>
    <w:pPrDefault>
      <w:pPr>
        <w:spacing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ind w:firstLine="680"/>
      <w:jc w:val="both"/>
      <w:outlineLvl w:val="0"/>
    </w:pPr>
    <w:rPr>
      <w:rFonts w:ascii="Times New Roman" w:eastAsia="Times New Roman" w:hAnsi="Times New Roman" w:cs="Times New Roman"/>
      <w:sz w:val="24"/>
      <w:szCs w:val="24"/>
    </w:rPr>
  </w:style>
  <w:style w:type="paragraph" w:styleId="Heading2">
    <w:name w:val="heading 2"/>
    <w:basedOn w:val="Normal"/>
    <w:next w:val="Normal"/>
    <w:uiPriority w:val="9"/>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TOCHeading">
    <w:name w:val="TOC Heading"/>
    <w:basedOn w:val="Heading1"/>
    <w:next w:val="Normal"/>
    <w:uiPriority w:val="39"/>
    <w:unhideWhenUsed/>
    <w:qFormat/>
    <w:rsid w:val="00D2439D"/>
    <w:pPr>
      <w:keepNext/>
      <w:keepLines/>
      <w:spacing w:before="240" w:line="259" w:lineRule="auto"/>
      <w:ind w:firstLine="0"/>
      <w:jc w:val="left"/>
      <w:outlineLvl w:val="9"/>
    </w:pPr>
    <w:rPr>
      <w:rFonts w:asciiTheme="majorHAnsi" w:eastAsiaTheme="majorEastAsia" w:hAnsiTheme="majorHAnsi" w:cstheme="majorBidi"/>
      <w:color w:val="365F91" w:themeColor="accent1" w:themeShade="BF"/>
      <w:sz w:val="32"/>
      <w:szCs w:val="32"/>
      <w:lang w:val="en-US"/>
    </w:rPr>
  </w:style>
  <w:style w:type="paragraph" w:styleId="TOC2">
    <w:name w:val="toc 2"/>
    <w:basedOn w:val="Normal"/>
    <w:next w:val="Normal"/>
    <w:autoRedefine/>
    <w:uiPriority w:val="39"/>
    <w:unhideWhenUsed/>
    <w:rsid w:val="00D2439D"/>
    <w:pPr>
      <w:spacing w:after="100"/>
      <w:ind w:left="220"/>
    </w:pPr>
  </w:style>
  <w:style w:type="character" w:styleId="Hyperlink">
    <w:name w:val="Hyperlink"/>
    <w:basedOn w:val="DefaultParagraphFont"/>
    <w:uiPriority w:val="99"/>
    <w:unhideWhenUsed/>
    <w:rsid w:val="00D2439D"/>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5</Pages>
  <Words>1684</Words>
  <Characters>9602</Characters>
  <Application>Microsoft Office Word</Application>
  <DocSecurity>0</DocSecurity>
  <Lines>80</Lines>
  <Paragraphs>22</Paragraphs>
  <ScaleCrop>false</ScaleCrop>
  <Company/>
  <LinksUpToDate>false</LinksUpToDate>
  <CharactersWithSpaces>11264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Cristian Lungu (2212206)</cp:lastModifiedBy>
  <cp:revision>3</cp:revision>
  <dcterms:created xsi:type="dcterms:W3CDTF">2023-02-28T18:19:00Z</dcterms:created>
  <dcterms:modified xsi:type="dcterms:W3CDTF">2023-02-28T18:23:00Z</dcterms:modified>
</cp:coreProperties>
</file>