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DE420A" w14:textId="0E1EFCBA" w:rsidR="002955CE" w:rsidRPr="00FB7926" w:rsidRDefault="00FB7926">
      <w:pPr>
        <w:rPr>
          <w:rFonts w:ascii="Georgia" w:hAnsi="Georgia"/>
          <w:b/>
          <w:bCs/>
          <w:u w:val="single"/>
        </w:rPr>
      </w:pPr>
      <w:r w:rsidRPr="00FB7926">
        <w:rPr>
          <w:rFonts w:ascii="Georgia" w:hAnsi="Georgia"/>
          <w:b/>
          <w:bCs/>
          <w:u w:val="single"/>
        </w:rPr>
        <w:t xml:space="preserve">‘No Man is an </w:t>
      </w:r>
      <w:proofErr w:type="spellStart"/>
      <w:r w:rsidRPr="00FB7926">
        <w:rPr>
          <w:rFonts w:ascii="Georgia" w:hAnsi="Georgia"/>
          <w:b/>
          <w:bCs/>
          <w:i/>
          <w:iCs/>
          <w:u w:val="single"/>
        </w:rPr>
        <w:t>Iland</w:t>
      </w:r>
      <w:proofErr w:type="spellEnd"/>
      <w:r w:rsidRPr="00FB7926">
        <w:rPr>
          <w:rFonts w:ascii="Georgia" w:hAnsi="Georgia"/>
          <w:b/>
          <w:bCs/>
          <w:u w:val="single"/>
        </w:rPr>
        <w:t xml:space="preserve">, </w:t>
      </w:r>
      <w:proofErr w:type="spellStart"/>
      <w:r w:rsidRPr="00FB7926">
        <w:rPr>
          <w:rFonts w:ascii="Georgia" w:hAnsi="Georgia"/>
          <w:b/>
          <w:bCs/>
          <w:u w:val="single"/>
        </w:rPr>
        <w:t>intire</w:t>
      </w:r>
      <w:proofErr w:type="spellEnd"/>
      <w:r w:rsidRPr="00FB7926">
        <w:rPr>
          <w:rFonts w:ascii="Georgia" w:hAnsi="Georgia"/>
          <w:b/>
          <w:bCs/>
          <w:u w:val="single"/>
        </w:rPr>
        <w:t xml:space="preserve"> of it </w:t>
      </w:r>
      <w:proofErr w:type="spellStart"/>
      <w:r w:rsidRPr="00FB7926">
        <w:rPr>
          <w:rFonts w:ascii="Georgia" w:hAnsi="Georgia"/>
          <w:b/>
          <w:bCs/>
          <w:u w:val="single"/>
        </w:rPr>
        <w:t>selfe</w:t>
      </w:r>
      <w:proofErr w:type="spellEnd"/>
      <w:r w:rsidRPr="00FB7926">
        <w:rPr>
          <w:rFonts w:ascii="Georgia" w:hAnsi="Georgia"/>
          <w:b/>
          <w:bCs/>
          <w:u w:val="single"/>
        </w:rPr>
        <w:t xml:space="preserve">; every man is a </w:t>
      </w:r>
      <w:proofErr w:type="spellStart"/>
      <w:r w:rsidRPr="00FB7926">
        <w:rPr>
          <w:rFonts w:ascii="Georgia" w:hAnsi="Georgia"/>
          <w:b/>
          <w:bCs/>
          <w:u w:val="single"/>
        </w:rPr>
        <w:t>peece</w:t>
      </w:r>
      <w:proofErr w:type="spellEnd"/>
      <w:r w:rsidRPr="00FB7926">
        <w:rPr>
          <w:rFonts w:ascii="Georgia" w:hAnsi="Georgia"/>
          <w:b/>
          <w:bCs/>
          <w:u w:val="single"/>
        </w:rPr>
        <w:t xml:space="preserve"> of the </w:t>
      </w:r>
      <w:r w:rsidRPr="00FB7926">
        <w:rPr>
          <w:rFonts w:ascii="Georgia" w:hAnsi="Georgia"/>
          <w:b/>
          <w:bCs/>
          <w:i/>
          <w:iCs/>
          <w:u w:val="single"/>
        </w:rPr>
        <w:t>Continent</w:t>
      </w:r>
      <w:r w:rsidRPr="00FB7926">
        <w:rPr>
          <w:rFonts w:ascii="Georgia" w:hAnsi="Georgia"/>
          <w:b/>
          <w:bCs/>
          <w:u w:val="single"/>
        </w:rPr>
        <w:t xml:space="preserve">, a part of the </w:t>
      </w:r>
      <w:proofErr w:type="spellStart"/>
      <w:r w:rsidRPr="00FB7926">
        <w:rPr>
          <w:rFonts w:ascii="Georgia" w:hAnsi="Georgia"/>
          <w:b/>
          <w:bCs/>
          <w:i/>
          <w:iCs/>
          <w:u w:val="single"/>
        </w:rPr>
        <w:t>maine</w:t>
      </w:r>
      <w:proofErr w:type="spellEnd"/>
      <w:r w:rsidRPr="00FB7926">
        <w:rPr>
          <w:rFonts w:ascii="Georgia" w:hAnsi="Georgia"/>
          <w:b/>
          <w:bCs/>
          <w:u w:val="single"/>
        </w:rPr>
        <w:t xml:space="preserve">, […] Any </w:t>
      </w:r>
      <w:proofErr w:type="spellStart"/>
      <w:r w:rsidRPr="00FB7926">
        <w:rPr>
          <w:rFonts w:ascii="Georgia" w:hAnsi="Georgia"/>
          <w:b/>
          <w:bCs/>
          <w:u w:val="single"/>
        </w:rPr>
        <w:t>Mans</w:t>
      </w:r>
      <w:proofErr w:type="spellEnd"/>
      <w:r w:rsidRPr="00FB7926">
        <w:rPr>
          <w:rFonts w:ascii="Georgia" w:hAnsi="Georgia"/>
          <w:b/>
          <w:bCs/>
          <w:i/>
          <w:iCs/>
          <w:u w:val="single"/>
        </w:rPr>
        <w:t xml:space="preserve"> death</w:t>
      </w:r>
      <w:r w:rsidRPr="00FB7926">
        <w:rPr>
          <w:rFonts w:ascii="Georgia" w:hAnsi="Georgia"/>
          <w:b/>
          <w:bCs/>
          <w:u w:val="single"/>
        </w:rPr>
        <w:t xml:space="preserve"> diminishes </w:t>
      </w:r>
      <w:r w:rsidRPr="00FB7926">
        <w:rPr>
          <w:rFonts w:ascii="Georgia" w:hAnsi="Georgia"/>
          <w:b/>
          <w:bCs/>
          <w:i/>
          <w:iCs/>
          <w:u w:val="single"/>
        </w:rPr>
        <w:t>me</w:t>
      </w:r>
      <w:r w:rsidRPr="00FB7926">
        <w:rPr>
          <w:rFonts w:ascii="Georgia" w:hAnsi="Georgia"/>
          <w:b/>
          <w:bCs/>
          <w:u w:val="single"/>
        </w:rPr>
        <w:t xml:space="preserve">, because I am involved in </w:t>
      </w:r>
      <w:proofErr w:type="spellStart"/>
      <w:r w:rsidRPr="00FB7926">
        <w:rPr>
          <w:rFonts w:ascii="Georgia" w:hAnsi="Georgia"/>
          <w:b/>
          <w:bCs/>
          <w:i/>
          <w:iCs/>
          <w:u w:val="single"/>
        </w:rPr>
        <w:t>Mankinde</w:t>
      </w:r>
      <w:proofErr w:type="spellEnd"/>
      <w:r w:rsidRPr="00FB7926">
        <w:rPr>
          <w:rFonts w:ascii="Georgia" w:hAnsi="Georgia"/>
          <w:b/>
          <w:bCs/>
          <w:u w:val="single"/>
        </w:rPr>
        <w:t xml:space="preserve">’ (Meditation XVII). How is the concept of belonging to humanity influenced by the experience of illness in Donne’s </w:t>
      </w:r>
      <w:r w:rsidRPr="00FB7926">
        <w:rPr>
          <w:rFonts w:ascii="Georgia" w:hAnsi="Georgia"/>
          <w:b/>
          <w:bCs/>
          <w:i/>
          <w:iCs/>
          <w:u w:val="single"/>
        </w:rPr>
        <w:t>Devotions upon Emergent Occasions</w:t>
      </w:r>
      <w:r w:rsidRPr="00FB7926">
        <w:rPr>
          <w:rFonts w:ascii="Georgia" w:hAnsi="Georgia"/>
          <w:b/>
          <w:bCs/>
          <w:u w:val="single"/>
        </w:rPr>
        <w:t>?</w:t>
      </w:r>
    </w:p>
    <w:p w14:paraId="55D223EA" w14:textId="55F0F901" w:rsidR="00FB7926" w:rsidRDefault="00FB7926" w:rsidP="00C44EC6">
      <w:pPr>
        <w:spacing w:line="480" w:lineRule="auto"/>
        <w:jc w:val="both"/>
        <w:rPr>
          <w:rFonts w:ascii="Georgia" w:hAnsi="Georgia"/>
        </w:rPr>
      </w:pPr>
      <w:r>
        <w:rPr>
          <w:rFonts w:ascii="Georgia" w:hAnsi="Georgia"/>
        </w:rPr>
        <w:t>This essay will discus</w:t>
      </w:r>
      <w:r w:rsidR="00D00535">
        <w:rPr>
          <w:rFonts w:ascii="Georgia" w:hAnsi="Georgia"/>
        </w:rPr>
        <w:t xml:space="preserve">s how the concept of belonging to humanity is influenced by the experience of illness in John Donne’s </w:t>
      </w:r>
      <w:r w:rsidR="00D00535">
        <w:rPr>
          <w:rFonts w:ascii="Georgia" w:hAnsi="Georgia"/>
          <w:i/>
          <w:iCs/>
        </w:rPr>
        <w:t>Devotions upon Emergent Occasions</w:t>
      </w:r>
      <w:r w:rsidR="00D00535">
        <w:rPr>
          <w:rFonts w:ascii="Georgia" w:hAnsi="Georgia"/>
        </w:rPr>
        <w:t>. The research will be</w:t>
      </w:r>
      <w:r w:rsidR="00C651AB">
        <w:rPr>
          <w:rFonts w:ascii="Georgia" w:hAnsi="Georgia"/>
        </w:rPr>
        <w:t>gin</w:t>
      </w:r>
      <w:r w:rsidR="00D00535">
        <w:rPr>
          <w:rFonts w:ascii="Georgia" w:hAnsi="Georgia"/>
        </w:rPr>
        <w:t xml:space="preserve"> by looking at who John Donne </w:t>
      </w:r>
      <w:r w:rsidR="00011A43">
        <w:rPr>
          <w:rFonts w:ascii="Georgia" w:hAnsi="Georgia"/>
        </w:rPr>
        <w:t>was and</w:t>
      </w:r>
      <w:r w:rsidR="00D00535">
        <w:rPr>
          <w:rFonts w:ascii="Georgia" w:hAnsi="Georgia"/>
        </w:rPr>
        <w:t xml:space="preserve"> providing a basic outline of what </w:t>
      </w:r>
      <w:r w:rsidR="00D00535">
        <w:rPr>
          <w:rFonts w:ascii="Georgia" w:hAnsi="Georgia"/>
          <w:i/>
          <w:iCs/>
        </w:rPr>
        <w:t xml:space="preserve">Devotions upon Emergent Occasions </w:t>
      </w:r>
      <w:r w:rsidR="00D00535">
        <w:rPr>
          <w:rFonts w:ascii="Georgia" w:hAnsi="Georgia"/>
        </w:rPr>
        <w:t>is about.</w:t>
      </w:r>
      <w:r w:rsidR="00011A43">
        <w:rPr>
          <w:rFonts w:ascii="Georgia" w:hAnsi="Georgia"/>
        </w:rPr>
        <w:t xml:space="preserve"> This essay will then briefly</w:t>
      </w:r>
      <w:r w:rsidR="003C3697">
        <w:rPr>
          <w:rFonts w:ascii="Georgia" w:hAnsi="Georgia"/>
        </w:rPr>
        <w:t xml:space="preserve"> go onto look more specifically at the quote</w:t>
      </w:r>
      <w:r w:rsidR="00C67839">
        <w:rPr>
          <w:rFonts w:ascii="Georgia" w:hAnsi="Georgia"/>
        </w:rPr>
        <w:t xml:space="preserve"> from </w:t>
      </w:r>
      <w:r w:rsidR="004761BF">
        <w:rPr>
          <w:rFonts w:ascii="Georgia" w:hAnsi="Georgia"/>
        </w:rPr>
        <w:t>Meditation XVII and</w:t>
      </w:r>
      <w:r w:rsidR="00202CF1">
        <w:rPr>
          <w:rFonts w:ascii="Georgia" w:hAnsi="Georgia"/>
        </w:rPr>
        <w:t xml:space="preserve"> looking at it in relation to the question this essay is exploring</w:t>
      </w:r>
      <w:r w:rsidR="003C3697">
        <w:rPr>
          <w:rFonts w:ascii="Georgia" w:hAnsi="Georgia"/>
        </w:rPr>
        <w:t xml:space="preserve">, </w:t>
      </w:r>
      <w:r w:rsidR="00011A43">
        <w:rPr>
          <w:rFonts w:ascii="Georgia" w:hAnsi="Georgia"/>
        </w:rPr>
        <w:t>finally then going onto look at</w:t>
      </w:r>
      <w:r w:rsidR="003C3697">
        <w:rPr>
          <w:rFonts w:ascii="Georgia" w:hAnsi="Georgia"/>
        </w:rPr>
        <w:t xml:space="preserve"> the influence of experiencing illness on the concept of humanity</w:t>
      </w:r>
      <w:r w:rsidR="00306FAF">
        <w:rPr>
          <w:rFonts w:ascii="Georgia" w:hAnsi="Georgia"/>
        </w:rPr>
        <w:t xml:space="preserve">, by looking at a range of different metaphors that Donne uses throughout his writing in </w:t>
      </w:r>
      <w:r w:rsidR="00306FAF">
        <w:rPr>
          <w:rFonts w:ascii="Georgia" w:hAnsi="Georgia"/>
          <w:i/>
          <w:iCs/>
        </w:rPr>
        <w:t>Devotions upon Emergent Occasions</w:t>
      </w:r>
      <w:r w:rsidR="00306FAF">
        <w:rPr>
          <w:rFonts w:ascii="Georgia" w:hAnsi="Georgia"/>
        </w:rPr>
        <w:t>.</w:t>
      </w:r>
    </w:p>
    <w:p w14:paraId="144908C4" w14:textId="1A811DE6" w:rsidR="00FB7F43" w:rsidRPr="00FB7F43" w:rsidRDefault="00135AA4" w:rsidP="00C44EC6">
      <w:pPr>
        <w:spacing w:line="480" w:lineRule="auto"/>
        <w:jc w:val="both"/>
        <w:rPr>
          <w:rFonts w:ascii="Georgia" w:hAnsi="Georgia"/>
        </w:rPr>
      </w:pPr>
      <w:r>
        <w:rPr>
          <w:rFonts w:ascii="Georgia" w:hAnsi="Georgia"/>
        </w:rPr>
        <w:t xml:space="preserve">Before going into the main body of research regarding the question of this essay, this </w:t>
      </w:r>
      <w:r w:rsidR="00AA0057">
        <w:rPr>
          <w:rFonts w:ascii="Georgia" w:hAnsi="Georgia"/>
        </w:rPr>
        <w:t xml:space="preserve">opening </w:t>
      </w:r>
      <w:r w:rsidR="00B06F1E">
        <w:rPr>
          <w:rFonts w:ascii="Georgia" w:hAnsi="Georgia"/>
        </w:rPr>
        <w:t>paragraph</w:t>
      </w:r>
      <w:r>
        <w:rPr>
          <w:rFonts w:ascii="Georgia" w:hAnsi="Georgia"/>
        </w:rPr>
        <w:t xml:space="preserve"> will provide some brief contextual research to understand better both John Donne, who wrote the </w:t>
      </w:r>
      <w:r w:rsidR="004651FD">
        <w:rPr>
          <w:rFonts w:ascii="Georgia" w:hAnsi="Georgia"/>
        </w:rPr>
        <w:t xml:space="preserve">piece of </w:t>
      </w:r>
      <w:r>
        <w:rPr>
          <w:rFonts w:ascii="Georgia" w:hAnsi="Georgia"/>
        </w:rPr>
        <w:t xml:space="preserve">work in question, and the text </w:t>
      </w:r>
      <w:r>
        <w:rPr>
          <w:rFonts w:ascii="Georgia" w:hAnsi="Georgia"/>
          <w:i/>
          <w:iCs/>
        </w:rPr>
        <w:t>Devotions upon Emergent Occasions</w:t>
      </w:r>
      <w:r>
        <w:rPr>
          <w:rFonts w:ascii="Georgia" w:hAnsi="Georgia"/>
        </w:rPr>
        <w:t xml:space="preserve"> to understand what this piece of writing is regarding. </w:t>
      </w:r>
      <w:r w:rsidR="000300F4">
        <w:rPr>
          <w:rFonts w:ascii="Georgia" w:hAnsi="Georgia"/>
        </w:rPr>
        <w:t xml:space="preserve">John Donne, 1572-1631, </w:t>
      </w:r>
      <w:r w:rsidR="001C47CC">
        <w:rPr>
          <w:rFonts w:ascii="Georgia" w:hAnsi="Georgia"/>
        </w:rPr>
        <w:t xml:space="preserve">was a popular, leading English poet and </w:t>
      </w:r>
      <w:r w:rsidR="003D7D50">
        <w:rPr>
          <w:rFonts w:ascii="Georgia" w:hAnsi="Georgia"/>
        </w:rPr>
        <w:t>is considered</w:t>
      </w:r>
      <w:r w:rsidR="001C47CC">
        <w:rPr>
          <w:rFonts w:ascii="Georgia" w:hAnsi="Georgia"/>
        </w:rPr>
        <w:t xml:space="preserve"> a pioneer of metaphysical poetry</w:t>
      </w:r>
      <w:r w:rsidR="008041FE">
        <w:rPr>
          <w:rFonts w:ascii="Georgia" w:hAnsi="Georgia"/>
        </w:rPr>
        <w:t xml:space="preserve">, many people often </w:t>
      </w:r>
      <w:r w:rsidR="001A5BE5">
        <w:rPr>
          <w:rFonts w:ascii="Georgia" w:hAnsi="Georgia"/>
        </w:rPr>
        <w:t>consider</w:t>
      </w:r>
      <w:r w:rsidR="008041FE">
        <w:rPr>
          <w:rFonts w:ascii="Georgia" w:hAnsi="Georgia"/>
        </w:rPr>
        <w:t xml:space="preserve"> Donne </w:t>
      </w:r>
      <w:r w:rsidR="001A5BE5">
        <w:rPr>
          <w:rFonts w:ascii="Georgia" w:hAnsi="Georgia"/>
        </w:rPr>
        <w:t>to be</w:t>
      </w:r>
      <w:r w:rsidR="008041FE">
        <w:rPr>
          <w:rFonts w:ascii="Georgia" w:hAnsi="Georgia"/>
        </w:rPr>
        <w:t xml:space="preserve"> the first metaphysical poet there was</w:t>
      </w:r>
      <w:r w:rsidR="00C04C73">
        <w:rPr>
          <w:rFonts w:ascii="Georgia" w:hAnsi="Georgia"/>
        </w:rPr>
        <w:t>, in the later part of his life Donne</w:t>
      </w:r>
      <w:r w:rsidR="002B6D73">
        <w:rPr>
          <w:rFonts w:ascii="Georgia" w:hAnsi="Georgia"/>
        </w:rPr>
        <w:t xml:space="preserve"> was appointed the dean of St. Paul’s Cathedral.</w:t>
      </w:r>
      <w:r w:rsidR="008041FE">
        <w:rPr>
          <w:rFonts w:ascii="Georgia" w:hAnsi="Georgia"/>
        </w:rPr>
        <w:t xml:space="preserve"> </w:t>
      </w:r>
      <w:r w:rsidR="00FB7F43">
        <w:rPr>
          <w:rFonts w:ascii="Georgia" w:hAnsi="Georgia"/>
          <w:i/>
          <w:iCs/>
        </w:rPr>
        <w:t xml:space="preserve">Devotions upon Emergent Occasions </w:t>
      </w:r>
      <w:r w:rsidR="00FB7F43">
        <w:rPr>
          <w:rFonts w:ascii="Georgia" w:hAnsi="Georgia"/>
        </w:rPr>
        <w:t>was written by Donne i</w:t>
      </w:r>
      <w:r w:rsidR="00E90454">
        <w:rPr>
          <w:rFonts w:ascii="Georgia" w:hAnsi="Georgia"/>
        </w:rPr>
        <w:t>n</w:t>
      </w:r>
      <w:r w:rsidR="00FB7F43">
        <w:rPr>
          <w:rFonts w:ascii="Georgia" w:hAnsi="Georgia"/>
        </w:rPr>
        <w:t xml:space="preserve"> 1623 after his recovery from a life-threatening illness,</w:t>
      </w:r>
      <w:r w:rsidR="00C04C73">
        <w:rPr>
          <w:rFonts w:ascii="Georgia" w:hAnsi="Georgia"/>
        </w:rPr>
        <w:t xml:space="preserve"> and then later published in 1624,</w:t>
      </w:r>
      <w:r w:rsidR="00FB7F43">
        <w:rPr>
          <w:rFonts w:ascii="Georgia" w:hAnsi="Georgia"/>
        </w:rPr>
        <w:t xml:space="preserve"> </w:t>
      </w:r>
      <w:r w:rsidR="00B41DB4">
        <w:rPr>
          <w:rFonts w:ascii="Georgia" w:hAnsi="Georgia"/>
        </w:rPr>
        <w:t xml:space="preserve">it consists of a range of different meditations, </w:t>
      </w:r>
      <w:r w:rsidR="003B1C00">
        <w:rPr>
          <w:rFonts w:ascii="Georgia" w:hAnsi="Georgia"/>
        </w:rPr>
        <w:t>prayers,</w:t>
      </w:r>
      <w:r w:rsidR="00B41DB4">
        <w:rPr>
          <w:rFonts w:ascii="Georgia" w:hAnsi="Georgia"/>
        </w:rPr>
        <w:t xml:space="preserve"> and expostulations in which</w:t>
      </w:r>
      <w:r w:rsidR="00D80A26">
        <w:rPr>
          <w:rFonts w:ascii="Georgia" w:hAnsi="Georgia"/>
        </w:rPr>
        <w:t xml:space="preserve"> all</w:t>
      </w:r>
      <w:r w:rsidR="00B41DB4">
        <w:rPr>
          <w:rFonts w:ascii="Georgia" w:hAnsi="Georgia"/>
        </w:rPr>
        <w:t xml:space="preserve"> link to the experiences of Donne’s illness and events that occurred throughout the</w:t>
      </w:r>
      <w:r w:rsidR="00BF402E">
        <w:rPr>
          <w:rFonts w:ascii="Georgia" w:hAnsi="Georgia"/>
        </w:rPr>
        <w:t xml:space="preserve"> period of Donne’s</w:t>
      </w:r>
      <w:r w:rsidR="00B41DB4">
        <w:rPr>
          <w:rFonts w:ascii="Georgia" w:hAnsi="Georgia"/>
        </w:rPr>
        <w:t xml:space="preserve"> illness. </w:t>
      </w:r>
    </w:p>
    <w:p w14:paraId="48622A80" w14:textId="66D6582E" w:rsidR="00011A43" w:rsidRDefault="00D92335" w:rsidP="00C44EC6">
      <w:pPr>
        <w:spacing w:line="480" w:lineRule="auto"/>
        <w:jc w:val="both"/>
        <w:rPr>
          <w:rFonts w:ascii="Georgia" w:hAnsi="Georgia"/>
        </w:rPr>
      </w:pPr>
      <w:r>
        <w:rPr>
          <w:rFonts w:ascii="Georgia" w:hAnsi="Georgia"/>
        </w:rPr>
        <w:t>It should also be considered important to touch on the meaning of the quote presented in the question of this essay, exploring briefly what seems to be meant when Donne writes</w:t>
      </w:r>
      <w:r w:rsidR="007E5BB9">
        <w:rPr>
          <w:rFonts w:ascii="Georgia" w:hAnsi="Georgia"/>
        </w:rPr>
        <w:t xml:space="preserve">, </w:t>
      </w:r>
      <w:bookmarkStart w:id="0" w:name="_Hlk72074442"/>
      <w:bookmarkStart w:id="1" w:name="_Hlk72074365"/>
      <w:r w:rsidR="007E5BB9">
        <w:rPr>
          <w:rFonts w:ascii="Georgia" w:hAnsi="Georgia"/>
        </w:rPr>
        <w:t>‘</w:t>
      </w:r>
      <w:r w:rsidR="007E5BB9" w:rsidRPr="007E5BB9">
        <w:rPr>
          <w:rFonts w:ascii="Georgia" w:hAnsi="Georgia"/>
        </w:rPr>
        <w:t>No man is an island</w:t>
      </w:r>
      <w:bookmarkEnd w:id="0"/>
      <w:r w:rsidR="007E5BB9" w:rsidRPr="007E5BB9">
        <w:rPr>
          <w:rFonts w:ascii="Georgia" w:hAnsi="Georgia"/>
        </w:rPr>
        <w:t>, entire of itself; every man is a piece of the continent, a part of the main.</w:t>
      </w:r>
      <w:r w:rsidR="007E5BB9">
        <w:rPr>
          <w:rFonts w:ascii="Georgia" w:hAnsi="Georgia"/>
        </w:rPr>
        <w:t xml:space="preserve">’ </w:t>
      </w:r>
      <w:bookmarkEnd w:id="1"/>
      <w:r w:rsidR="007E5BB9">
        <w:rPr>
          <w:rFonts w:ascii="Georgia" w:hAnsi="Georgia"/>
        </w:rPr>
        <w:t>[…] ‘</w:t>
      </w:r>
      <w:bookmarkStart w:id="2" w:name="_Hlk72074276"/>
      <w:r w:rsidR="007E5BB9" w:rsidRPr="007E5BB9">
        <w:rPr>
          <w:rFonts w:ascii="Georgia" w:hAnsi="Georgia"/>
        </w:rPr>
        <w:t xml:space="preserve">any </w:t>
      </w:r>
      <w:r w:rsidR="007E5BB9" w:rsidRPr="007E5BB9">
        <w:rPr>
          <w:rFonts w:ascii="Georgia" w:hAnsi="Georgia"/>
        </w:rPr>
        <w:lastRenderedPageBreak/>
        <w:t>man's death diminishes me, because I am involved in mankind,</w:t>
      </w:r>
      <w:bookmarkEnd w:id="2"/>
      <w:r w:rsidR="007E5BB9">
        <w:rPr>
          <w:rFonts w:ascii="Georgia" w:hAnsi="Georgia"/>
        </w:rPr>
        <w:t>’.</w:t>
      </w:r>
      <w:r w:rsidR="007E5BB9">
        <w:rPr>
          <w:rStyle w:val="FootnoteReference"/>
          <w:rFonts w:ascii="Georgia" w:hAnsi="Georgia"/>
        </w:rPr>
        <w:footnoteReference w:id="1"/>
      </w:r>
      <w:r w:rsidR="000F19FA">
        <w:rPr>
          <w:rFonts w:ascii="Georgia" w:hAnsi="Georgia"/>
        </w:rPr>
        <w:t xml:space="preserve"> This quote is probably considered </w:t>
      </w:r>
      <w:r w:rsidR="001B2FE0">
        <w:rPr>
          <w:rFonts w:ascii="Georgia" w:hAnsi="Georgia"/>
        </w:rPr>
        <w:t xml:space="preserve">to be </w:t>
      </w:r>
      <w:r w:rsidR="000F19FA">
        <w:rPr>
          <w:rFonts w:ascii="Georgia" w:hAnsi="Georgia"/>
        </w:rPr>
        <w:t>one of Donne’s most famous</w:t>
      </w:r>
      <w:r w:rsidR="00CD43C0">
        <w:rPr>
          <w:rFonts w:ascii="Georgia" w:hAnsi="Georgia"/>
        </w:rPr>
        <w:t>, and has been analysed by many different scholars, therefore</w:t>
      </w:r>
      <w:r w:rsidR="000B3F11">
        <w:rPr>
          <w:rFonts w:ascii="Georgia" w:hAnsi="Georgia"/>
        </w:rPr>
        <w:t xml:space="preserve"> there is no need to examine this in too much depth, however a brief examination will provide useful to the research that follows. </w:t>
      </w:r>
      <w:r w:rsidR="007E13E1">
        <w:rPr>
          <w:rFonts w:ascii="Georgia" w:hAnsi="Georgia"/>
        </w:rPr>
        <w:t xml:space="preserve">Essentially, Donne’s </w:t>
      </w:r>
      <w:r w:rsidR="00245EC7">
        <w:rPr>
          <w:rFonts w:ascii="Georgia" w:hAnsi="Georgia"/>
        </w:rPr>
        <w:t>opening section of the</w:t>
      </w:r>
      <w:r w:rsidR="007E13E1">
        <w:rPr>
          <w:rFonts w:ascii="Georgia" w:hAnsi="Georgia"/>
        </w:rPr>
        <w:t xml:space="preserve"> quote</w:t>
      </w:r>
      <w:r w:rsidR="00935B0C">
        <w:rPr>
          <w:rFonts w:ascii="Georgia" w:hAnsi="Georgia"/>
        </w:rPr>
        <w:t xml:space="preserve">, </w:t>
      </w:r>
      <w:r w:rsidR="00935B0C" w:rsidRPr="00935B0C">
        <w:rPr>
          <w:rFonts w:ascii="Georgia" w:hAnsi="Georgia"/>
        </w:rPr>
        <w:t>‘No man is an island, entire of itself; every man is a piece of the continent, a part of the main.’</w:t>
      </w:r>
      <w:r w:rsidR="00935B0C">
        <w:rPr>
          <w:rFonts w:ascii="Georgia" w:hAnsi="Georgia"/>
        </w:rPr>
        <w:t>,</w:t>
      </w:r>
      <w:r w:rsidR="00935B0C">
        <w:rPr>
          <w:rStyle w:val="FootnoteReference"/>
          <w:rFonts w:ascii="Georgia" w:hAnsi="Georgia"/>
        </w:rPr>
        <w:footnoteReference w:id="2"/>
      </w:r>
      <w:r w:rsidR="00935B0C" w:rsidRPr="00935B0C">
        <w:rPr>
          <w:rFonts w:ascii="Georgia" w:hAnsi="Georgia"/>
        </w:rPr>
        <w:t xml:space="preserve"> </w:t>
      </w:r>
      <w:r w:rsidR="007E13E1">
        <w:rPr>
          <w:rFonts w:ascii="Georgia" w:hAnsi="Georgia"/>
        </w:rPr>
        <w:t>tells the reader that although people are all individuals,</w:t>
      </w:r>
      <w:r w:rsidR="006460B4">
        <w:rPr>
          <w:rFonts w:ascii="Georgia" w:hAnsi="Georgia"/>
        </w:rPr>
        <w:t xml:space="preserve"> represented by the island metaphor,</w:t>
      </w:r>
      <w:r w:rsidR="007E13E1">
        <w:rPr>
          <w:rFonts w:ascii="Georgia" w:hAnsi="Georgia"/>
        </w:rPr>
        <w:t xml:space="preserve"> </w:t>
      </w:r>
      <w:r w:rsidR="000972BB">
        <w:rPr>
          <w:rFonts w:ascii="Georgia" w:hAnsi="Georgia"/>
        </w:rPr>
        <w:t>they cannot simply exist alone, unconnected to society,</w:t>
      </w:r>
      <w:r w:rsidR="006460B4">
        <w:rPr>
          <w:rFonts w:ascii="Georgia" w:hAnsi="Georgia"/>
        </w:rPr>
        <w:t xml:space="preserve"> this is where the metaphor of the continent comes in.</w:t>
      </w:r>
      <w:r w:rsidR="000972BB">
        <w:rPr>
          <w:rFonts w:ascii="Georgia" w:hAnsi="Georgia"/>
        </w:rPr>
        <w:t xml:space="preserve"> </w:t>
      </w:r>
      <w:r w:rsidR="006460B4">
        <w:rPr>
          <w:rFonts w:ascii="Georgia" w:hAnsi="Georgia"/>
        </w:rPr>
        <w:t>I</w:t>
      </w:r>
      <w:r w:rsidR="000972BB">
        <w:rPr>
          <w:rFonts w:ascii="Georgia" w:hAnsi="Georgia"/>
        </w:rPr>
        <w:t xml:space="preserve">n the religious context that Donne talks about </w:t>
      </w:r>
      <w:r w:rsidR="00A31FBF">
        <w:rPr>
          <w:rFonts w:ascii="Georgia" w:hAnsi="Georgia"/>
        </w:rPr>
        <w:t xml:space="preserve">it </w:t>
      </w:r>
      <w:r w:rsidR="000972BB">
        <w:rPr>
          <w:rFonts w:ascii="Georgia" w:hAnsi="Georgia"/>
        </w:rPr>
        <w:t xml:space="preserve">explains that </w:t>
      </w:r>
      <w:r w:rsidR="00A31FBF">
        <w:rPr>
          <w:rFonts w:ascii="Georgia" w:hAnsi="Georgia"/>
        </w:rPr>
        <w:t>people</w:t>
      </w:r>
      <w:r w:rsidR="007E13E1">
        <w:rPr>
          <w:rFonts w:ascii="Georgia" w:hAnsi="Georgia"/>
        </w:rPr>
        <w:t xml:space="preserve"> are connected through</w:t>
      </w:r>
      <w:r w:rsidR="000972BB">
        <w:rPr>
          <w:rFonts w:ascii="Georgia" w:hAnsi="Georgia"/>
        </w:rPr>
        <w:t xml:space="preserve"> </w:t>
      </w:r>
      <w:r w:rsidR="00A31FBF">
        <w:rPr>
          <w:rFonts w:ascii="Georgia" w:hAnsi="Georgia"/>
        </w:rPr>
        <w:t>their</w:t>
      </w:r>
      <w:r w:rsidR="007E13E1">
        <w:rPr>
          <w:rFonts w:ascii="Georgia" w:hAnsi="Georgia"/>
        </w:rPr>
        <w:t xml:space="preserve"> beliefs, </w:t>
      </w:r>
      <w:r w:rsidR="00245EC7">
        <w:rPr>
          <w:rFonts w:ascii="Georgia" w:hAnsi="Georgia"/>
        </w:rPr>
        <w:t xml:space="preserve">this </w:t>
      </w:r>
      <w:r w:rsidR="001C107B">
        <w:rPr>
          <w:rFonts w:ascii="Georgia" w:hAnsi="Georgia"/>
        </w:rPr>
        <w:t xml:space="preserve">running </w:t>
      </w:r>
      <w:r w:rsidR="00245EC7">
        <w:rPr>
          <w:rFonts w:ascii="Georgia" w:hAnsi="Georgia"/>
        </w:rPr>
        <w:t xml:space="preserve">connection between people means that anything that happens throughout this dynamic has an effect on the </w:t>
      </w:r>
      <w:r w:rsidR="00093279">
        <w:rPr>
          <w:rFonts w:ascii="Georgia" w:hAnsi="Georgia"/>
        </w:rPr>
        <w:t xml:space="preserve">people in this </w:t>
      </w:r>
      <w:r w:rsidR="00245EC7">
        <w:rPr>
          <w:rFonts w:ascii="Georgia" w:hAnsi="Georgia"/>
        </w:rPr>
        <w:t xml:space="preserve">group, which relates to the end section of Donne’s quote </w:t>
      </w:r>
      <w:r w:rsidR="00BD49C7">
        <w:rPr>
          <w:rFonts w:ascii="Georgia" w:hAnsi="Georgia"/>
        </w:rPr>
        <w:t>‘</w:t>
      </w:r>
      <w:r w:rsidR="00BD49C7" w:rsidRPr="00BD49C7">
        <w:rPr>
          <w:rFonts w:ascii="Georgia" w:hAnsi="Georgia"/>
        </w:rPr>
        <w:t>any man's death diminishes me, because I am involved in mankind,</w:t>
      </w:r>
      <w:r w:rsidR="00BD49C7">
        <w:rPr>
          <w:rFonts w:ascii="Georgia" w:hAnsi="Georgia"/>
        </w:rPr>
        <w:t>’.</w:t>
      </w:r>
      <w:r w:rsidR="00BD49C7">
        <w:rPr>
          <w:rStyle w:val="FootnoteReference"/>
          <w:rFonts w:ascii="Georgia" w:hAnsi="Georgia"/>
        </w:rPr>
        <w:footnoteReference w:id="3"/>
      </w:r>
      <w:r w:rsidR="00A31FBF">
        <w:rPr>
          <w:rFonts w:ascii="Georgia" w:hAnsi="Georgia"/>
        </w:rPr>
        <w:t xml:space="preserve"> </w:t>
      </w:r>
      <w:r w:rsidR="00B96F06">
        <w:rPr>
          <w:rFonts w:ascii="Georgia" w:hAnsi="Georgia"/>
        </w:rPr>
        <w:t>Finally, before this essay goes onto examine the link between humanity and illness in Donne’s</w:t>
      </w:r>
      <w:r w:rsidR="00011A43">
        <w:rPr>
          <w:rFonts w:ascii="Georgia" w:hAnsi="Georgia"/>
        </w:rPr>
        <w:t xml:space="preserve"> </w:t>
      </w:r>
      <w:r w:rsidR="00011A43">
        <w:rPr>
          <w:rFonts w:ascii="Georgia" w:hAnsi="Georgia"/>
          <w:i/>
          <w:iCs/>
        </w:rPr>
        <w:t>Devotions upon Emergent Occasions</w:t>
      </w:r>
      <w:r w:rsidR="00B96F06">
        <w:rPr>
          <w:rFonts w:ascii="Georgia" w:hAnsi="Georgia"/>
        </w:rPr>
        <w:t>, there is something quite interesting to pick up on with regards to the quote</w:t>
      </w:r>
      <w:r w:rsidR="00937EF0">
        <w:rPr>
          <w:rFonts w:ascii="Georgia" w:hAnsi="Georgia"/>
        </w:rPr>
        <w:t xml:space="preserve"> in question.</w:t>
      </w:r>
      <w:r w:rsidR="00B96F06">
        <w:rPr>
          <w:rFonts w:ascii="Georgia" w:hAnsi="Georgia"/>
        </w:rPr>
        <w:t xml:space="preserve"> </w:t>
      </w:r>
      <w:r w:rsidR="00011A43">
        <w:rPr>
          <w:rFonts w:ascii="Georgia" w:hAnsi="Georgia"/>
        </w:rPr>
        <w:t>Although Donne’s</w:t>
      </w:r>
      <w:r w:rsidR="00A31FBF">
        <w:rPr>
          <w:rFonts w:ascii="Georgia" w:hAnsi="Georgia"/>
        </w:rPr>
        <w:t xml:space="preserve"> ‘</w:t>
      </w:r>
      <w:r w:rsidR="00A31FBF" w:rsidRPr="00A31FBF">
        <w:rPr>
          <w:rFonts w:ascii="Georgia" w:hAnsi="Georgia"/>
        </w:rPr>
        <w:t>No man is an island</w:t>
      </w:r>
      <w:r w:rsidR="00A31FBF">
        <w:rPr>
          <w:rFonts w:ascii="Georgia" w:hAnsi="Georgia"/>
        </w:rPr>
        <w:t>,’</w:t>
      </w:r>
      <w:r w:rsidR="00A31FBF">
        <w:rPr>
          <w:rStyle w:val="FootnoteReference"/>
          <w:rFonts w:ascii="Georgia" w:hAnsi="Georgia"/>
        </w:rPr>
        <w:footnoteReference w:id="4"/>
      </w:r>
      <w:r w:rsidR="00011A43">
        <w:rPr>
          <w:rFonts w:ascii="Georgia" w:hAnsi="Georgia"/>
        </w:rPr>
        <w:t xml:space="preserve"> quote is considered a unique metaphor for humans and humanity, it cannot be considered as unique as one might first think, and similar ideas can be place</w:t>
      </w:r>
      <w:r w:rsidR="00DA5508">
        <w:rPr>
          <w:rFonts w:ascii="Georgia" w:hAnsi="Georgia"/>
        </w:rPr>
        <w:t>d</w:t>
      </w:r>
      <w:r w:rsidR="00011A43">
        <w:rPr>
          <w:rFonts w:ascii="Georgia" w:hAnsi="Georgia"/>
        </w:rPr>
        <w:t xml:space="preserve"> in Daoist philosophy, and further in traditional Chinese medical views of the body.</w:t>
      </w:r>
      <w:r w:rsidR="00DA5508">
        <w:rPr>
          <w:rFonts w:ascii="Georgia" w:hAnsi="Georgia"/>
        </w:rPr>
        <w:t xml:space="preserve"> The Daoist doctrine and traditional Chinese medicine view the body as a country,</w:t>
      </w:r>
      <w:r w:rsidR="00A31FBF">
        <w:rPr>
          <w:rFonts w:ascii="Georgia" w:hAnsi="Georgia"/>
        </w:rPr>
        <w:t xml:space="preserve"> also often being referred to as a bureaucratic state,</w:t>
      </w:r>
      <w:r w:rsidR="00C44EC6">
        <w:rPr>
          <w:rStyle w:val="FootnoteReference"/>
          <w:rFonts w:ascii="Georgia" w:hAnsi="Georgia"/>
        </w:rPr>
        <w:footnoteReference w:id="5"/>
      </w:r>
      <w:r w:rsidR="00DA5508">
        <w:rPr>
          <w:rFonts w:ascii="Georgia" w:hAnsi="Georgia"/>
        </w:rPr>
        <w:t xml:space="preserve"> although this slightly differs from Donne’s idea that everyone’s body is part of the country within a group of people, the ideas follow a similar discourse, in that the body, or man, cannot be in harmony with just oneself, but also needs to </w:t>
      </w:r>
      <w:r w:rsidR="00DA5508">
        <w:rPr>
          <w:rFonts w:ascii="Georgia" w:hAnsi="Georgia"/>
        </w:rPr>
        <w:lastRenderedPageBreak/>
        <w:t xml:space="preserve">take all aspects of the world and </w:t>
      </w:r>
      <w:r w:rsidR="003C05A1">
        <w:rPr>
          <w:rFonts w:ascii="Georgia" w:hAnsi="Georgia"/>
        </w:rPr>
        <w:t>what is</w:t>
      </w:r>
      <w:r w:rsidR="00DA5508">
        <w:rPr>
          <w:rFonts w:ascii="Georgia" w:hAnsi="Georgia"/>
        </w:rPr>
        <w:t xml:space="preserve"> happening around them into consideration. Some Greek medical and philosophical ideas share similar traits to </w:t>
      </w:r>
      <w:r w:rsidR="003C05A1">
        <w:rPr>
          <w:rFonts w:ascii="Georgia" w:hAnsi="Georgia"/>
        </w:rPr>
        <w:t xml:space="preserve">Chinese doctrines and traditional Chinese medical ideas, an example can be seen in the Greek idea of balancing, and the Chinese </w:t>
      </w:r>
      <w:r w:rsidR="003C05A1" w:rsidRPr="004205DF">
        <w:rPr>
          <w:rFonts w:ascii="Georgia" w:hAnsi="Georgia"/>
          <w:i/>
          <w:iCs/>
        </w:rPr>
        <w:t>yin-yang</w:t>
      </w:r>
      <w:r w:rsidR="003C05A1">
        <w:rPr>
          <w:rFonts w:ascii="Georgia" w:hAnsi="Georgia"/>
        </w:rPr>
        <w:t xml:space="preserve"> theory</w:t>
      </w:r>
      <w:r w:rsidR="008C6C00">
        <w:rPr>
          <w:rFonts w:ascii="Georgia" w:hAnsi="Georgia"/>
        </w:rPr>
        <w:t xml:space="preserve"> which also uses the theory of </w:t>
      </w:r>
      <w:r w:rsidR="008C49F3">
        <w:rPr>
          <w:rFonts w:ascii="Georgia" w:hAnsi="Georgia"/>
        </w:rPr>
        <w:t>balancing;</w:t>
      </w:r>
      <w:r w:rsidR="003C05A1">
        <w:rPr>
          <w:rFonts w:ascii="Georgia" w:hAnsi="Georgia"/>
        </w:rPr>
        <w:t xml:space="preserve"> </w:t>
      </w:r>
      <w:r w:rsidR="00524717" w:rsidRPr="003C05A1">
        <w:rPr>
          <w:rFonts w:ascii="Georgia" w:hAnsi="Georgia"/>
        </w:rPr>
        <w:t>therefore,</w:t>
      </w:r>
      <w:r w:rsidR="003C05A1">
        <w:rPr>
          <w:rFonts w:ascii="Georgia" w:hAnsi="Georgia"/>
        </w:rPr>
        <w:t xml:space="preserve"> it is not too surprising that this is another line of thought that seems to share similarities with one another.</w:t>
      </w:r>
    </w:p>
    <w:p w14:paraId="42F9E2DF" w14:textId="2ACFBF33" w:rsidR="00D92335" w:rsidRDefault="00956610" w:rsidP="00C44EC6">
      <w:pPr>
        <w:spacing w:line="480" w:lineRule="auto"/>
        <w:jc w:val="both"/>
        <w:rPr>
          <w:rFonts w:ascii="Georgia" w:hAnsi="Georgia"/>
        </w:rPr>
      </w:pPr>
      <w:r>
        <w:rPr>
          <w:rFonts w:ascii="Georgia" w:hAnsi="Georgia"/>
        </w:rPr>
        <w:t xml:space="preserve">Firstly, it should be appropriate to discuss what belonging to humanity means, particularly in this context. </w:t>
      </w:r>
      <w:proofErr w:type="gramStart"/>
      <w:r w:rsidR="00CF0B07">
        <w:rPr>
          <w:rFonts w:ascii="Georgia" w:hAnsi="Georgia"/>
        </w:rPr>
        <w:t>Generally speaking, humans</w:t>
      </w:r>
      <w:proofErr w:type="gramEnd"/>
      <w:r w:rsidR="00CF0B07">
        <w:rPr>
          <w:rFonts w:ascii="Georgia" w:hAnsi="Georgia"/>
        </w:rPr>
        <w:t xml:space="preserve"> are a species that are hugely dependent on being a member of a group and feeling accepted by group members. </w:t>
      </w:r>
      <w:r w:rsidR="00746D33">
        <w:rPr>
          <w:rFonts w:ascii="Georgia" w:hAnsi="Georgia"/>
        </w:rPr>
        <w:t xml:space="preserve">Interconnectedness of people is an important part of life and society, not only historically, but also still </w:t>
      </w:r>
      <w:r w:rsidR="00B40678">
        <w:rPr>
          <w:rFonts w:ascii="Georgia" w:hAnsi="Georgia"/>
        </w:rPr>
        <w:t>in modern society</w:t>
      </w:r>
      <w:r w:rsidR="00746D33">
        <w:rPr>
          <w:rFonts w:ascii="Georgia" w:hAnsi="Georgia"/>
        </w:rPr>
        <w:t xml:space="preserve"> the connection between people is </w:t>
      </w:r>
      <w:r w:rsidR="000432B6">
        <w:rPr>
          <w:rFonts w:ascii="Georgia" w:hAnsi="Georgia"/>
        </w:rPr>
        <w:t xml:space="preserve">considered </w:t>
      </w:r>
      <w:r w:rsidR="00746D33">
        <w:rPr>
          <w:rFonts w:ascii="Georgia" w:hAnsi="Georgia"/>
        </w:rPr>
        <w:t>an essential part of daily life</w:t>
      </w:r>
      <w:r w:rsidR="0069162B">
        <w:rPr>
          <w:rFonts w:ascii="Georgia" w:hAnsi="Georgia"/>
        </w:rPr>
        <w:t xml:space="preserve">, things such as </w:t>
      </w:r>
      <w:r w:rsidR="00690579">
        <w:rPr>
          <w:rFonts w:ascii="Georgia" w:hAnsi="Georgia"/>
        </w:rPr>
        <w:t xml:space="preserve">the </w:t>
      </w:r>
      <w:r w:rsidR="0069162B">
        <w:rPr>
          <w:rFonts w:ascii="Georgia" w:hAnsi="Georgia"/>
        </w:rPr>
        <w:t>death</w:t>
      </w:r>
      <w:r w:rsidR="00690579">
        <w:rPr>
          <w:rFonts w:ascii="Georgia" w:hAnsi="Georgia"/>
        </w:rPr>
        <w:t xml:space="preserve"> of somebody</w:t>
      </w:r>
      <w:r w:rsidR="0069162B">
        <w:rPr>
          <w:rFonts w:ascii="Georgia" w:hAnsi="Georgia"/>
        </w:rPr>
        <w:t xml:space="preserve"> still effects the </w:t>
      </w:r>
      <w:r w:rsidR="00690579">
        <w:rPr>
          <w:rFonts w:ascii="Georgia" w:hAnsi="Georgia"/>
        </w:rPr>
        <w:t xml:space="preserve">whole </w:t>
      </w:r>
      <w:r w:rsidR="0069162B">
        <w:rPr>
          <w:rFonts w:ascii="Georgia" w:hAnsi="Georgia"/>
        </w:rPr>
        <w:t>community of people that were around the person that</w:t>
      </w:r>
      <w:r w:rsidR="00070930">
        <w:rPr>
          <w:rFonts w:ascii="Georgia" w:hAnsi="Georgia"/>
        </w:rPr>
        <w:t xml:space="preserve"> may have</w:t>
      </w:r>
      <w:r w:rsidR="0069162B">
        <w:rPr>
          <w:rFonts w:ascii="Georgia" w:hAnsi="Georgia"/>
        </w:rPr>
        <w:t xml:space="preserve"> died. </w:t>
      </w:r>
      <w:r w:rsidR="00CF662D">
        <w:rPr>
          <w:rFonts w:ascii="Georgia" w:hAnsi="Georgia"/>
        </w:rPr>
        <w:t>Furthermore, when discussing how the concept of belonging to humanity is influenced by the experience of illness, death is an important concept, and although some people may sometimes categorise death and illness as two different experiences, death is an important aspect when discussing the experience of illness historically and this essay will therefore heavily use Donne’s discussions of death to further answer this question</w:t>
      </w:r>
      <w:r w:rsidR="008C6C00">
        <w:rPr>
          <w:rFonts w:ascii="Georgia" w:hAnsi="Georgia"/>
        </w:rPr>
        <w:t xml:space="preserve">, as well as looking at Donne’s views on suffering. </w:t>
      </w:r>
    </w:p>
    <w:p w14:paraId="33EB2E09" w14:textId="1D4FBE24" w:rsidR="00F013EC" w:rsidRDefault="0023418E" w:rsidP="00C44EC6">
      <w:pPr>
        <w:spacing w:line="480" w:lineRule="auto"/>
        <w:jc w:val="both"/>
        <w:rPr>
          <w:rFonts w:ascii="Georgia" w:hAnsi="Georgia"/>
        </w:rPr>
      </w:pPr>
      <w:r>
        <w:rPr>
          <w:rFonts w:ascii="Georgia" w:hAnsi="Georgia"/>
        </w:rPr>
        <w:t>As discussed</w:t>
      </w:r>
      <w:r w:rsidR="00A706F3">
        <w:rPr>
          <w:rFonts w:ascii="Georgia" w:hAnsi="Georgia"/>
        </w:rPr>
        <w:t xml:space="preserve"> in the former paragraph</w:t>
      </w:r>
      <w:r>
        <w:rPr>
          <w:rFonts w:ascii="Georgia" w:hAnsi="Georgia"/>
        </w:rPr>
        <w:t>, the interconnectedness of society plays an important role throughout daily life and to the concept of belonging to humanity, t</w:t>
      </w:r>
      <w:r w:rsidR="000200BB">
        <w:rPr>
          <w:rFonts w:ascii="Georgia" w:hAnsi="Georgia"/>
        </w:rPr>
        <w:t>he interconnectedness of people is heavily emphasised throughout Donne’s writing</w:t>
      </w:r>
      <w:r w:rsidR="001A686A">
        <w:rPr>
          <w:rFonts w:ascii="Georgia" w:hAnsi="Georgia"/>
        </w:rPr>
        <w:t xml:space="preserve">, in Donne’s case he is specifically talking about the interconnectedness of people </w:t>
      </w:r>
      <w:r w:rsidR="00F813F2">
        <w:rPr>
          <w:rFonts w:ascii="Georgia" w:hAnsi="Georgia"/>
        </w:rPr>
        <w:t>under</w:t>
      </w:r>
      <w:r w:rsidR="001A686A">
        <w:rPr>
          <w:rFonts w:ascii="Georgia" w:hAnsi="Georgia"/>
        </w:rPr>
        <w:t xml:space="preserve"> the Catholic church</w:t>
      </w:r>
      <w:r w:rsidR="00E066E2">
        <w:rPr>
          <w:rFonts w:ascii="Georgia" w:hAnsi="Georgia"/>
        </w:rPr>
        <w:t xml:space="preserve">, ‘The church is Catholic, universal, so are all her actions; </w:t>
      </w:r>
      <w:r w:rsidR="007855D2">
        <w:rPr>
          <w:rFonts w:ascii="Georgia" w:hAnsi="Georgia"/>
        </w:rPr>
        <w:t>all that she does belongs to all.’</w:t>
      </w:r>
      <w:r w:rsidR="00352243">
        <w:rPr>
          <w:rFonts w:ascii="Georgia" w:hAnsi="Georgia"/>
        </w:rPr>
        <w:t>,</w:t>
      </w:r>
      <w:r w:rsidR="007855D2">
        <w:rPr>
          <w:rStyle w:val="FootnoteReference"/>
          <w:rFonts w:ascii="Georgia" w:hAnsi="Georgia"/>
        </w:rPr>
        <w:footnoteReference w:id="6"/>
      </w:r>
      <w:r w:rsidR="00352243">
        <w:rPr>
          <w:rFonts w:ascii="Georgia" w:hAnsi="Georgia"/>
        </w:rPr>
        <w:t xml:space="preserve"> through this sentence Donne implies that everything that occurs under the Catholic church impacts everyone, this is made clear when Donne goes onto write</w:t>
      </w:r>
      <w:r w:rsidR="0016345E">
        <w:rPr>
          <w:rFonts w:ascii="Georgia" w:hAnsi="Georgia"/>
        </w:rPr>
        <w:t>, ‘</w:t>
      </w:r>
      <w:r w:rsidR="00DD02BA">
        <w:rPr>
          <w:rFonts w:ascii="Georgia" w:hAnsi="Georgia"/>
        </w:rPr>
        <w:t xml:space="preserve">When she baptizes a child, that action concerns me; for that child is thereby connected to that body which is my head too, and </w:t>
      </w:r>
      <w:r w:rsidR="00DD02BA">
        <w:rPr>
          <w:rFonts w:ascii="Georgia" w:hAnsi="Georgia"/>
        </w:rPr>
        <w:lastRenderedPageBreak/>
        <w:t>ingrafted into that body whereof I am a member. And when she buries a man, that action concerns me:’.</w:t>
      </w:r>
      <w:r w:rsidR="00DD02BA">
        <w:rPr>
          <w:rStyle w:val="FootnoteReference"/>
          <w:rFonts w:ascii="Georgia" w:hAnsi="Georgia"/>
        </w:rPr>
        <w:footnoteReference w:id="7"/>
      </w:r>
      <w:r w:rsidR="00201500">
        <w:rPr>
          <w:rFonts w:ascii="Georgia" w:hAnsi="Georgia"/>
        </w:rPr>
        <w:t xml:space="preserve"> </w:t>
      </w:r>
      <w:r w:rsidR="00F013EC">
        <w:rPr>
          <w:rFonts w:ascii="Georgia" w:hAnsi="Georgia"/>
        </w:rPr>
        <w:t xml:space="preserve">Throughout Donne’s </w:t>
      </w:r>
      <w:r w:rsidR="00F013EC">
        <w:rPr>
          <w:rFonts w:ascii="Georgia" w:hAnsi="Georgia"/>
          <w:i/>
          <w:iCs/>
        </w:rPr>
        <w:t>Devotions upon Emergent Occasions</w:t>
      </w:r>
      <w:r w:rsidR="00F013EC">
        <w:rPr>
          <w:rFonts w:ascii="Georgia" w:hAnsi="Georgia"/>
        </w:rPr>
        <w:t>, there is an emphasis on how people are connected through both birth and death throughout the community, and much of Donne’s writing implies that although you may not be directly in connection to these occurrences,</w:t>
      </w:r>
      <w:r w:rsidR="00020EA6">
        <w:rPr>
          <w:rFonts w:ascii="Georgia" w:hAnsi="Georgia"/>
        </w:rPr>
        <w:t xml:space="preserve"> for instance it is not an immediate family member,</w:t>
      </w:r>
      <w:r w:rsidR="00F013EC">
        <w:rPr>
          <w:rFonts w:ascii="Georgia" w:hAnsi="Georgia"/>
        </w:rPr>
        <w:t xml:space="preserve"> they still effect you and will have an impact on you. Both birth and death are things that can affect the dynamic of a group,</w:t>
      </w:r>
      <w:r w:rsidR="00020EA6">
        <w:rPr>
          <w:rFonts w:ascii="Georgia" w:hAnsi="Georgia"/>
        </w:rPr>
        <w:t xml:space="preserve"> the birth and death of people subsequently change the roles of people in the </w:t>
      </w:r>
      <w:r w:rsidR="00DA1050">
        <w:rPr>
          <w:rFonts w:ascii="Georgia" w:hAnsi="Georgia"/>
        </w:rPr>
        <w:t>group,</w:t>
      </w:r>
      <w:r w:rsidR="00020EA6">
        <w:rPr>
          <w:rFonts w:ascii="Georgia" w:hAnsi="Georgia"/>
        </w:rPr>
        <w:t xml:space="preserve"> and this can </w:t>
      </w:r>
      <w:r w:rsidR="008B45BB">
        <w:rPr>
          <w:rFonts w:ascii="Georgia" w:hAnsi="Georgia"/>
        </w:rPr>
        <w:t>affect</w:t>
      </w:r>
      <w:r w:rsidR="00020EA6">
        <w:rPr>
          <w:rFonts w:ascii="Georgia" w:hAnsi="Georgia"/>
        </w:rPr>
        <w:t xml:space="preserve"> everyone,</w:t>
      </w:r>
      <w:r w:rsidR="00F013EC">
        <w:rPr>
          <w:rFonts w:ascii="Georgia" w:hAnsi="Georgia"/>
        </w:rPr>
        <w:t xml:space="preserve"> </w:t>
      </w:r>
      <w:r w:rsidR="00020EA6">
        <w:rPr>
          <w:rFonts w:ascii="Georgia" w:hAnsi="Georgia"/>
        </w:rPr>
        <w:t>therefore</w:t>
      </w:r>
      <w:r w:rsidR="00F013EC">
        <w:rPr>
          <w:rFonts w:ascii="Georgia" w:hAnsi="Georgia"/>
        </w:rPr>
        <w:t xml:space="preserve"> clearly these are important aspects throughout life and to</w:t>
      </w:r>
      <w:r w:rsidR="00DA1050">
        <w:rPr>
          <w:rFonts w:ascii="Georgia" w:hAnsi="Georgia"/>
        </w:rPr>
        <w:t xml:space="preserve"> consider when looking at the concept of</w:t>
      </w:r>
      <w:r w:rsidR="00F013EC">
        <w:rPr>
          <w:rFonts w:ascii="Georgia" w:hAnsi="Georgia"/>
        </w:rPr>
        <w:t xml:space="preserve"> humanity. </w:t>
      </w:r>
      <w:r w:rsidR="00270CEF">
        <w:rPr>
          <w:rFonts w:ascii="Georgia" w:hAnsi="Georgia"/>
        </w:rPr>
        <w:t xml:space="preserve">Although we cannot necessarily relate birth to the experience of illness, there is no argument that death is related to the experience of illness. </w:t>
      </w:r>
      <w:r w:rsidR="006617A0">
        <w:rPr>
          <w:rFonts w:ascii="Georgia" w:hAnsi="Georgia"/>
        </w:rPr>
        <w:t>H</w:t>
      </w:r>
      <w:r w:rsidR="00F013EC">
        <w:rPr>
          <w:rFonts w:ascii="Georgia" w:hAnsi="Georgia"/>
        </w:rPr>
        <w:t xml:space="preserve">ow does this link to the experience of illness? Well, very clearly, illness during this period, especially a bad illness, would </w:t>
      </w:r>
      <w:proofErr w:type="gramStart"/>
      <w:r w:rsidR="00F013EC">
        <w:rPr>
          <w:rFonts w:ascii="Georgia" w:hAnsi="Georgia"/>
        </w:rPr>
        <w:t>more often than not</w:t>
      </w:r>
      <w:proofErr w:type="gramEnd"/>
      <w:r w:rsidR="00F013EC">
        <w:rPr>
          <w:rFonts w:ascii="Georgia" w:hAnsi="Georgia"/>
        </w:rPr>
        <w:t xml:space="preserve"> lead to the death of someone</w:t>
      </w:r>
      <w:r w:rsidR="00DA1050">
        <w:rPr>
          <w:rFonts w:ascii="Georgia" w:hAnsi="Georgia"/>
        </w:rPr>
        <w:t xml:space="preserve"> and in turn this would </w:t>
      </w:r>
      <w:r w:rsidR="004F1D5F">
        <w:rPr>
          <w:rFonts w:ascii="Georgia" w:hAnsi="Georgia"/>
        </w:rPr>
        <w:t>affect</w:t>
      </w:r>
      <w:r w:rsidR="00DA1050">
        <w:rPr>
          <w:rFonts w:ascii="Georgia" w:hAnsi="Georgia"/>
        </w:rPr>
        <w:t xml:space="preserve"> and change the group of people it concerned. </w:t>
      </w:r>
    </w:p>
    <w:p w14:paraId="4D6B47A9" w14:textId="609E8887" w:rsidR="0038347F" w:rsidRDefault="0038347F" w:rsidP="00C44EC6">
      <w:pPr>
        <w:spacing w:line="480" w:lineRule="auto"/>
        <w:jc w:val="both"/>
        <w:rPr>
          <w:rFonts w:ascii="Georgia" w:hAnsi="Georgia"/>
        </w:rPr>
      </w:pPr>
      <w:r>
        <w:rPr>
          <w:rFonts w:ascii="Georgia" w:hAnsi="Georgia"/>
        </w:rPr>
        <w:t xml:space="preserve">However, it is very important to mention that not everyone’s death will affect you. </w:t>
      </w:r>
      <w:r w:rsidR="002C5F0B">
        <w:rPr>
          <w:rFonts w:ascii="Georgia" w:hAnsi="Georgia"/>
        </w:rPr>
        <w:t xml:space="preserve">As Donne writes in Meditation XVI, </w:t>
      </w:r>
      <w:r w:rsidR="00734511">
        <w:rPr>
          <w:rFonts w:ascii="Georgia" w:hAnsi="Georgia"/>
        </w:rPr>
        <w:t>‘When the Turks took Constantinople, they melted the bells into ordnance; I have heard both bells and ordnance, but never been so much affected with those as these bells.’ […] ‘Here the bells can scarce solemnize the funeral of any person, but that I knew him, or knew that he was my neighbour: we dwelt in houses near to one another before, but now he is gone into that house into which I m</w:t>
      </w:r>
      <w:r w:rsidR="00B02CEB">
        <w:rPr>
          <w:rFonts w:ascii="Georgia" w:hAnsi="Georgia"/>
        </w:rPr>
        <w:t>u</w:t>
      </w:r>
      <w:r w:rsidR="00734511">
        <w:rPr>
          <w:rFonts w:ascii="Georgia" w:hAnsi="Georgia"/>
        </w:rPr>
        <w:t>st follow him.’,</w:t>
      </w:r>
      <w:r w:rsidR="00734511">
        <w:rPr>
          <w:rStyle w:val="FootnoteReference"/>
          <w:rFonts w:ascii="Georgia" w:hAnsi="Georgia"/>
        </w:rPr>
        <w:footnoteReference w:id="8"/>
      </w:r>
      <w:r w:rsidR="005A3A25">
        <w:rPr>
          <w:rFonts w:ascii="Georgia" w:hAnsi="Georgia"/>
        </w:rPr>
        <w:t xml:space="preserve"> t</w:t>
      </w:r>
      <w:r w:rsidR="00B3021C">
        <w:rPr>
          <w:rFonts w:ascii="Georgia" w:hAnsi="Georgia"/>
        </w:rPr>
        <w:t xml:space="preserve">hrough this quote, Donne implies that a death outside of his community, or country does not affect him, however, a death that occurs inside his community, or country affects him as he lives among these people </w:t>
      </w:r>
      <w:r w:rsidR="00FF7185">
        <w:rPr>
          <w:rFonts w:ascii="Georgia" w:hAnsi="Georgia"/>
        </w:rPr>
        <w:t xml:space="preserve">and therefore has a different level of compassion and benevolence towards these people. </w:t>
      </w:r>
      <w:r w:rsidR="000276B7">
        <w:rPr>
          <w:rFonts w:ascii="Georgia" w:hAnsi="Georgia"/>
        </w:rPr>
        <w:t>That is</w:t>
      </w:r>
      <w:r w:rsidR="00FF7185">
        <w:rPr>
          <w:rFonts w:ascii="Georgia" w:hAnsi="Georgia"/>
        </w:rPr>
        <w:t xml:space="preserve"> not to say that the death of these people incurred no emotional reaction from Donne, however </w:t>
      </w:r>
      <w:r w:rsidR="00FF7185">
        <w:rPr>
          <w:rFonts w:ascii="Georgia" w:hAnsi="Georgia"/>
        </w:rPr>
        <w:lastRenderedPageBreak/>
        <w:t>as these were not his neighbours</w:t>
      </w:r>
      <w:r w:rsidR="00407E15">
        <w:rPr>
          <w:rFonts w:ascii="Georgia" w:hAnsi="Georgia"/>
        </w:rPr>
        <w:t>,</w:t>
      </w:r>
      <w:r w:rsidR="00FF7185">
        <w:rPr>
          <w:rFonts w:ascii="Georgia" w:hAnsi="Georgia"/>
        </w:rPr>
        <w:t xml:space="preserve"> like those in his community</w:t>
      </w:r>
      <w:r w:rsidR="00407E15">
        <w:rPr>
          <w:rFonts w:ascii="Georgia" w:hAnsi="Georgia"/>
        </w:rPr>
        <w:t>,</w:t>
      </w:r>
      <w:r w:rsidR="00FF7185">
        <w:rPr>
          <w:rFonts w:ascii="Georgia" w:hAnsi="Georgia"/>
        </w:rPr>
        <w:t xml:space="preserve"> it does not trigger the same reaction and feelings as it is not as close to home. </w:t>
      </w:r>
    </w:p>
    <w:p w14:paraId="78CF6EF4" w14:textId="77777777" w:rsidR="006A7A61" w:rsidRDefault="00053659" w:rsidP="00C44EC6">
      <w:pPr>
        <w:spacing w:line="480" w:lineRule="auto"/>
        <w:jc w:val="both"/>
        <w:rPr>
          <w:rFonts w:ascii="Georgia" w:hAnsi="Georgia"/>
        </w:rPr>
      </w:pPr>
      <w:r>
        <w:rPr>
          <w:rFonts w:ascii="Georgia" w:hAnsi="Georgia"/>
        </w:rPr>
        <w:t>One very clear metaphor that is used</w:t>
      </w:r>
      <w:r w:rsidR="006B6179">
        <w:rPr>
          <w:rFonts w:ascii="Georgia" w:hAnsi="Georgia"/>
        </w:rPr>
        <w:t xml:space="preserve"> specifically</w:t>
      </w:r>
      <w:r>
        <w:rPr>
          <w:rFonts w:ascii="Georgia" w:hAnsi="Georgia"/>
        </w:rPr>
        <w:t xml:space="preserve"> in Meditation XVII, is the use of gold and wealth being compared to the idea of suffering and illness</w:t>
      </w:r>
      <w:r w:rsidR="0034773C">
        <w:rPr>
          <w:rFonts w:ascii="Georgia" w:hAnsi="Georgia"/>
        </w:rPr>
        <w:t>, Donne writes, ‘Another man may be sick too, and sick to death, and this affliction may lie in his bowels, as gold in a mine, and be of no use to him; but this bell, that tells me of his affliction, digs out and applies that gold to me: if by this consideration of another’s danger I take mine own into contemplation, and so secure myself, by making me recourse to my God, who is our only security.’.</w:t>
      </w:r>
      <w:r w:rsidR="0034773C">
        <w:rPr>
          <w:rStyle w:val="FootnoteReference"/>
          <w:rFonts w:ascii="Georgia" w:hAnsi="Georgia"/>
        </w:rPr>
        <w:footnoteReference w:id="9"/>
      </w:r>
      <w:r w:rsidR="00505FF4">
        <w:rPr>
          <w:rFonts w:ascii="Georgia" w:hAnsi="Georgia"/>
        </w:rPr>
        <w:t xml:space="preserve"> </w:t>
      </w:r>
      <w:r w:rsidR="00620C0D">
        <w:rPr>
          <w:rFonts w:ascii="Georgia" w:hAnsi="Georgia"/>
        </w:rPr>
        <w:t>Through the use of gold as a metaphor Donne</w:t>
      </w:r>
      <w:r w:rsidR="00483A79">
        <w:rPr>
          <w:rFonts w:ascii="Georgia" w:hAnsi="Georgia"/>
        </w:rPr>
        <w:t xml:space="preserve"> makes reference to the concept of humanity.</w:t>
      </w:r>
      <w:r w:rsidR="00620C0D">
        <w:rPr>
          <w:rFonts w:ascii="Georgia" w:hAnsi="Georgia"/>
        </w:rPr>
        <w:t xml:space="preserve"> </w:t>
      </w:r>
      <w:r w:rsidR="00C73E07">
        <w:rPr>
          <w:rFonts w:ascii="Georgia" w:hAnsi="Georgia"/>
        </w:rPr>
        <w:t xml:space="preserve">Although at first this does not have </w:t>
      </w:r>
      <w:r w:rsidR="00EE566B">
        <w:rPr>
          <w:rFonts w:ascii="Georgia" w:hAnsi="Georgia"/>
        </w:rPr>
        <w:t>an</w:t>
      </w:r>
      <w:r w:rsidR="00C73E07">
        <w:rPr>
          <w:rFonts w:ascii="Georgia" w:hAnsi="Georgia"/>
        </w:rPr>
        <w:t xml:space="preserve"> obvious link to the concept of humanity, through this metaphor Donne implies</w:t>
      </w:r>
      <w:r w:rsidR="00483A79">
        <w:rPr>
          <w:rFonts w:ascii="Georgia" w:hAnsi="Georgia"/>
        </w:rPr>
        <w:t xml:space="preserve"> the interconnectedness of suffering between a community.</w:t>
      </w:r>
      <w:r w:rsidR="00C73E07">
        <w:rPr>
          <w:rFonts w:ascii="Georgia" w:hAnsi="Georgia"/>
        </w:rPr>
        <w:t xml:space="preserve"> </w:t>
      </w:r>
      <w:r w:rsidR="00505FF4">
        <w:rPr>
          <w:rFonts w:ascii="Georgia" w:hAnsi="Georgia"/>
        </w:rPr>
        <w:t>Prior to this, the experience of suffering is implied by Donne to be something that brings people together</w:t>
      </w:r>
      <w:r w:rsidR="00EE566B">
        <w:rPr>
          <w:rFonts w:ascii="Georgia" w:hAnsi="Georgia"/>
        </w:rPr>
        <w:t>,</w:t>
      </w:r>
      <w:r w:rsidR="00505FF4">
        <w:rPr>
          <w:rFonts w:ascii="Georgia" w:hAnsi="Georgia"/>
        </w:rPr>
        <w:t xml:space="preserve"> as he says, ‘</w:t>
      </w:r>
      <w:r w:rsidR="001B01FF" w:rsidRPr="001B01FF">
        <w:rPr>
          <w:rFonts w:ascii="Georgia" w:hAnsi="Georgia"/>
        </w:rPr>
        <w:t xml:space="preserve">Neither can we call this a begging of misery, or a borrowing of misery, as though we were not miserable enough of ourselves, but must fetch in more from the next house, in taking upon us the misery of our neighbours. Truly it </w:t>
      </w:r>
      <w:proofErr w:type="gramStart"/>
      <w:r w:rsidR="001B01FF" w:rsidRPr="001B01FF">
        <w:rPr>
          <w:rFonts w:ascii="Georgia" w:hAnsi="Georgia"/>
        </w:rPr>
        <w:t>were</w:t>
      </w:r>
      <w:proofErr w:type="gramEnd"/>
      <w:r w:rsidR="001B01FF" w:rsidRPr="001B01FF">
        <w:rPr>
          <w:rFonts w:ascii="Georgia" w:hAnsi="Georgia"/>
        </w:rPr>
        <w:t xml:space="preserve"> an excusable covetousness if we did, for affliction is a treasure, and scarce any man hath enough of it. No man hath affliction enough that is not matured and ripened by </w:t>
      </w:r>
      <w:proofErr w:type="gramStart"/>
      <w:r w:rsidR="001B01FF" w:rsidRPr="001B01FF">
        <w:rPr>
          <w:rFonts w:ascii="Georgia" w:hAnsi="Georgia"/>
        </w:rPr>
        <w:t>it, and</w:t>
      </w:r>
      <w:proofErr w:type="gramEnd"/>
      <w:r w:rsidR="001B01FF" w:rsidRPr="001B01FF">
        <w:rPr>
          <w:rFonts w:ascii="Georgia" w:hAnsi="Georgia"/>
        </w:rPr>
        <w:t xml:space="preserve"> made fit for God by that affliction.</w:t>
      </w:r>
      <w:r w:rsidR="00505FF4">
        <w:rPr>
          <w:rFonts w:ascii="Georgia" w:hAnsi="Georgia"/>
        </w:rPr>
        <w:t>’,</w:t>
      </w:r>
      <w:r w:rsidR="00505FF4">
        <w:rPr>
          <w:rStyle w:val="FootnoteReference"/>
          <w:rFonts w:ascii="Georgia" w:hAnsi="Georgia"/>
        </w:rPr>
        <w:footnoteReference w:id="10"/>
      </w:r>
      <w:r w:rsidR="00505FF4">
        <w:rPr>
          <w:rFonts w:ascii="Georgia" w:hAnsi="Georgia"/>
        </w:rPr>
        <w:t xml:space="preserve"> essentially</w:t>
      </w:r>
      <w:r w:rsidR="00F56D8C">
        <w:rPr>
          <w:rFonts w:ascii="Georgia" w:hAnsi="Georgia"/>
        </w:rPr>
        <w:t xml:space="preserve"> what</w:t>
      </w:r>
      <w:r w:rsidR="00505FF4">
        <w:rPr>
          <w:rFonts w:ascii="Georgia" w:hAnsi="Georgia"/>
        </w:rPr>
        <w:t xml:space="preserve"> Donne is saying</w:t>
      </w:r>
      <w:r w:rsidR="00F56D8C">
        <w:rPr>
          <w:rFonts w:ascii="Georgia" w:hAnsi="Georgia"/>
        </w:rPr>
        <w:t xml:space="preserve"> throughout this quote is</w:t>
      </w:r>
      <w:r w:rsidR="00505FF4">
        <w:rPr>
          <w:rFonts w:ascii="Georgia" w:hAnsi="Georgia"/>
        </w:rPr>
        <w:t xml:space="preserve"> </w:t>
      </w:r>
      <w:r w:rsidR="0026580B">
        <w:rPr>
          <w:rFonts w:ascii="Georgia" w:hAnsi="Georgia"/>
        </w:rPr>
        <w:t>that people take on the afflictions of th</w:t>
      </w:r>
      <w:r w:rsidR="00F56D8C">
        <w:rPr>
          <w:rFonts w:ascii="Georgia" w:hAnsi="Georgia"/>
        </w:rPr>
        <w:t>eir</w:t>
      </w:r>
      <w:r w:rsidR="0026580B">
        <w:rPr>
          <w:rFonts w:ascii="Georgia" w:hAnsi="Georgia"/>
        </w:rPr>
        <w:t xml:space="preserve"> neighbours and implies that no one is suffering alone, therefore understanding our neighbours pain and other peoples pain will make oneself stronger.</w:t>
      </w:r>
      <w:r w:rsidR="00F56D8C">
        <w:rPr>
          <w:rFonts w:ascii="Georgia" w:hAnsi="Georgia"/>
        </w:rPr>
        <w:t xml:space="preserve"> </w:t>
      </w:r>
      <w:r w:rsidR="001050DB">
        <w:rPr>
          <w:rFonts w:ascii="Georgia" w:hAnsi="Georgia"/>
        </w:rPr>
        <w:t xml:space="preserve">In this case, affliction can be taken to mean suffering, and this can be applied to the concept of illness. </w:t>
      </w:r>
      <w:r w:rsidR="00F56D8C">
        <w:rPr>
          <w:rFonts w:ascii="Georgia" w:hAnsi="Georgia"/>
        </w:rPr>
        <w:t>This understandably</w:t>
      </w:r>
      <w:r w:rsidR="00AC785E">
        <w:rPr>
          <w:rFonts w:ascii="Georgia" w:hAnsi="Georgia"/>
        </w:rPr>
        <w:t xml:space="preserve"> and undoubtfully</w:t>
      </w:r>
      <w:r w:rsidR="00F56D8C">
        <w:rPr>
          <w:rFonts w:ascii="Georgia" w:hAnsi="Georgia"/>
        </w:rPr>
        <w:t xml:space="preserve"> links to the interconnection of people for the concept of humanity. </w:t>
      </w:r>
    </w:p>
    <w:p w14:paraId="2EA133FF" w14:textId="2453A971" w:rsidR="00617D82" w:rsidRDefault="008960A9" w:rsidP="00C44EC6">
      <w:pPr>
        <w:spacing w:line="480" w:lineRule="auto"/>
        <w:jc w:val="both"/>
        <w:rPr>
          <w:rFonts w:ascii="Georgia" w:hAnsi="Georgia"/>
        </w:rPr>
      </w:pPr>
      <w:r>
        <w:rPr>
          <w:rFonts w:ascii="Georgia" w:hAnsi="Georgia"/>
        </w:rPr>
        <w:lastRenderedPageBreak/>
        <w:t xml:space="preserve">When discussing the influence of the experience of illness on the concept of belonging to humanity it is unavoidable to </w:t>
      </w:r>
      <w:r w:rsidR="007F5B6B">
        <w:rPr>
          <w:rFonts w:ascii="Georgia" w:hAnsi="Georgia"/>
        </w:rPr>
        <w:t xml:space="preserve">talk about death and in John Donne’s </w:t>
      </w:r>
      <w:r w:rsidR="007F5B6B">
        <w:rPr>
          <w:rFonts w:ascii="Georgia" w:hAnsi="Georgia"/>
          <w:i/>
          <w:iCs/>
        </w:rPr>
        <w:t>Devotions upon Emergent Occasions</w:t>
      </w:r>
      <w:r w:rsidR="007F5B6B">
        <w:rPr>
          <w:rFonts w:ascii="Georgia" w:hAnsi="Georgia"/>
        </w:rPr>
        <w:t xml:space="preserve"> it is one of the main discussion points</w:t>
      </w:r>
      <w:r w:rsidR="0041036E">
        <w:rPr>
          <w:rFonts w:ascii="Georgia" w:hAnsi="Georgia"/>
        </w:rPr>
        <w:t xml:space="preserve"> to pick up on</w:t>
      </w:r>
      <w:r w:rsidR="007F5B6B">
        <w:rPr>
          <w:rFonts w:ascii="Georgia" w:hAnsi="Georgia"/>
        </w:rPr>
        <w:t xml:space="preserve"> regarding belonging to humanity. </w:t>
      </w:r>
      <w:r w:rsidR="0099097D">
        <w:rPr>
          <w:rFonts w:ascii="Georgia" w:hAnsi="Georgia"/>
        </w:rPr>
        <w:t xml:space="preserve">It is quite apparent that the experience of illness </w:t>
      </w:r>
      <w:r w:rsidR="00A04A7B">
        <w:rPr>
          <w:rFonts w:ascii="Georgia" w:hAnsi="Georgia"/>
        </w:rPr>
        <w:t>shows the interconnectedness of a communit</w:t>
      </w:r>
      <w:r w:rsidR="00932191">
        <w:rPr>
          <w:rFonts w:ascii="Georgia" w:hAnsi="Georgia"/>
        </w:rPr>
        <w:t xml:space="preserve">y and much of Meditation XVII emphasises the idea that you do not suffer </w:t>
      </w:r>
      <w:r w:rsidR="00386E68">
        <w:rPr>
          <w:rFonts w:ascii="Georgia" w:hAnsi="Georgia"/>
        </w:rPr>
        <w:t>alone,</w:t>
      </w:r>
      <w:r w:rsidR="00932191">
        <w:rPr>
          <w:rFonts w:ascii="Georgia" w:hAnsi="Georgia"/>
        </w:rPr>
        <w:t xml:space="preserve"> and you take on your neighbours suffering as well</w:t>
      </w:r>
      <w:r w:rsidR="00983A38">
        <w:rPr>
          <w:rFonts w:ascii="Georgia" w:hAnsi="Georgia"/>
        </w:rPr>
        <w:t xml:space="preserve">, this is clearly presented in Donne’s usage of gold as a metaphor. </w:t>
      </w:r>
      <w:proofErr w:type="gramStart"/>
      <w:r w:rsidR="008F7967">
        <w:rPr>
          <w:rFonts w:ascii="Georgia" w:hAnsi="Georgia"/>
        </w:rPr>
        <w:t>It is clear that Donne’s</w:t>
      </w:r>
      <w:proofErr w:type="gramEnd"/>
      <w:r w:rsidR="008F7967">
        <w:rPr>
          <w:rFonts w:ascii="Georgia" w:hAnsi="Georgia"/>
        </w:rPr>
        <w:t xml:space="preserve"> ideas are not unfounded, and the fact that his metaphor of the body being like a continent resonat</w:t>
      </w:r>
      <w:r w:rsidR="004A533F">
        <w:rPr>
          <w:rFonts w:ascii="Georgia" w:hAnsi="Georgia"/>
        </w:rPr>
        <w:t>ing</w:t>
      </w:r>
      <w:r w:rsidR="008F7967">
        <w:rPr>
          <w:rFonts w:ascii="Georgia" w:hAnsi="Georgia"/>
        </w:rPr>
        <w:t xml:space="preserve"> with Daoist</w:t>
      </w:r>
      <w:r w:rsidR="004A533F">
        <w:rPr>
          <w:rFonts w:ascii="Georgia" w:hAnsi="Georgia"/>
        </w:rPr>
        <w:t xml:space="preserve"> philosophical ideas and traditional Chinese medical</w:t>
      </w:r>
      <w:r w:rsidR="008F7967">
        <w:rPr>
          <w:rFonts w:ascii="Georgia" w:hAnsi="Georgia"/>
        </w:rPr>
        <w:t xml:space="preserve"> ideas regarding the body shows that the interconnectedness of people is an important aspect of daily life, no matter country or person</w:t>
      </w:r>
      <w:r w:rsidR="00910A21">
        <w:rPr>
          <w:rFonts w:ascii="Georgia" w:hAnsi="Georgia"/>
        </w:rPr>
        <w:t>, the concept of humanity can be</w:t>
      </w:r>
      <w:r w:rsidR="00085BDB">
        <w:rPr>
          <w:rFonts w:ascii="Georgia" w:hAnsi="Georgia"/>
        </w:rPr>
        <w:t xml:space="preserve"> regarded as</w:t>
      </w:r>
      <w:r w:rsidR="00910A21">
        <w:rPr>
          <w:rFonts w:ascii="Georgia" w:hAnsi="Georgia"/>
        </w:rPr>
        <w:t xml:space="preserve"> similar </w:t>
      </w:r>
      <w:r w:rsidR="00F22474">
        <w:rPr>
          <w:rFonts w:ascii="Georgia" w:hAnsi="Georgia"/>
        </w:rPr>
        <w:t>almost throughout the World</w:t>
      </w:r>
      <w:r w:rsidR="00647BB5">
        <w:rPr>
          <w:rFonts w:ascii="Georgia" w:hAnsi="Georgia"/>
        </w:rPr>
        <w:t>, and with the chance of deeper research this can most likely be proved</w:t>
      </w:r>
      <w:r w:rsidR="00910A21">
        <w:rPr>
          <w:rFonts w:ascii="Georgia" w:hAnsi="Georgia"/>
        </w:rPr>
        <w:t>. However, as it seems to be presented by Donne, this interconnectedness is only felt by neighbours and people in your community, and not so much felt when regarding others</w:t>
      </w:r>
      <w:r w:rsidR="00AD2E8E">
        <w:rPr>
          <w:rFonts w:ascii="Georgia" w:hAnsi="Georgia"/>
        </w:rPr>
        <w:t xml:space="preserve"> that are outside of this sphere. </w:t>
      </w:r>
      <w:r w:rsidR="00387396">
        <w:rPr>
          <w:rFonts w:ascii="Georgia" w:hAnsi="Georgia"/>
        </w:rPr>
        <w:t xml:space="preserve">Essentially, the concept of humanity is influenced by the experience of illness through the idea of a community of people being interconnected </w:t>
      </w:r>
      <w:r w:rsidR="00E5431B">
        <w:rPr>
          <w:rFonts w:ascii="Georgia" w:hAnsi="Georgia"/>
        </w:rPr>
        <w:t xml:space="preserve">with </w:t>
      </w:r>
      <w:proofErr w:type="gramStart"/>
      <w:r w:rsidR="00E5431B">
        <w:rPr>
          <w:rFonts w:ascii="Georgia" w:hAnsi="Georgia"/>
        </w:rPr>
        <w:t xml:space="preserve">one another, </w:t>
      </w:r>
      <w:r w:rsidR="00387396">
        <w:rPr>
          <w:rFonts w:ascii="Georgia" w:hAnsi="Georgia"/>
        </w:rPr>
        <w:t>and</w:t>
      </w:r>
      <w:proofErr w:type="gramEnd"/>
      <w:r w:rsidR="00387396">
        <w:rPr>
          <w:rFonts w:ascii="Georgia" w:hAnsi="Georgia"/>
        </w:rPr>
        <w:t xml:space="preserve"> taking on each other’s afflictions even if they do not relate to what oneself might be going through. </w:t>
      </w:r>
    </w:p>
    <w:p w14:paraId="177DC218" w14:textId="77777777" w:rsidR="00617D82" w:rsidRDefault="00617D82">
      <w:pPr>
        <w:rPr>
          <w:rFonts w:ascii="Georgia" w:hAnsi="Georgia"/>
        </w:rPr>
      </w:pPr>
      <w:r>
        <w:rPr>
          <w:rFonts w:ascii="Georgia" w:hAnsi="Georgia"/>
        </w:rPr>
        <w:br w:type="page"/>
      </w:r>
    </w:p>
    <w:p w14:paraId="44C811D8" w14:textId="00A187FC" w:rsidR="008F7967" w:rsidRDefault="00617D82" w:rsidP="00C44EC6">
      <w:pPr>
        <w:spacing w:line="480" w:lineRule="auto"/>
        <w:jc w:val="both"/>
        <w:rPr>
          <w:rFonts w:ascii="Georgia" w:hAnsi="Georgia"/>
        </w:rPr>
      </w:pPr>
      <w:r>
        <w:rPr>
          <w:rFonts w:ascii="Georgia" w:hAnsi="Georgia"/>
          <w:b/>
          <w:bCs/>
          <w:u w:val="single"/>
        </w:rPr>
        <w:lastRenderedPageBreak/>
        <w:t>Bibliography</w:t>
      </w:r>
    </w:p>
    <w:p w14:paraId="01D0549B" w14:textId="79509CFD" w:rsidR="008A2071" w:rsidRDefault="008A2071" w:rsidP="00617D82">
      <w:pPr>
        <w:spacing w:line="276" w:lineRule="auto"/>
        <w:rPr>
          <w:rFonts w:ascii="Georgia" w:hAnsi="Georgia"/>
        </w:rPr>
      </w:pPr>
      <w:r>
        <w:rPr>
          <w:rFonts w:ascii="Georgia" w:hAnsi="Georgia"/>
        </w:rPr>
        <w:t xml:space="preserve">Donne, John, </w:t>
      </w:r>
      <w:r>
        <w:rPr>
          <w:rFonts w:ascii="Georgia" w:hAnsi="Georgia"/>
          <w:i/>
          <w:iCs/>
        </w:rPr>
        <w:t xml:space="preserve">‘Devotions Upon Emergent Occasions Together </w:t>
      </w:r>
      <w:proofErr w:type="gramStart"/>
      <w:r>
        <w:rPr>
          <w:rFonts w:ascii="Georgia" w:hAnsi="Georgia"/>
          <w:i/>
          <w:iCs/>
        </w:rPr>
        <w:t>With</w:t>
      </w:r>
      <w:proofErr w:type="gramEnd"/>
      <w:r>
        <w:rPr>
          <w:rFonts w:ascii="Georgia" w:hAnsi="Georgia"/>
          <w:i/>
          <w:iCs/>
        </w:rPr>
        <w:t xml:space="preserve"> Death’s Duel’</w:t>
      </w:r>
      <w:r>
        <w:rPr>
          <w:rFonts w:ascii="Georgia" w:hAnsi="Georgia"/>
        </w:rPr>
        <w:t>, Project Gutenberg, (2007)</w:t>
      </w:r>
      <w:r w:rsidR="00A87E31">
        <w:rPr>
          <w:rFonts w:ascii="Georgia" w:hAnsi="Georgia"/>
        </w:rPr>
        <w:t>.</w:t>
      </w:r>
      <w:r w:rsidR="00282C5B">
        <w:rPr>
          <w:rFonts w:ascii="Georgia" w:hAnsi="Georgia"/>
        </w:rPr>
        <w:t xml:space="preserve"> Available at:</w:t>
      </w:r>
      <w:r>
        <w:rPr>
          <w:rFonts w:ascii="Georgia" w:hAnsi="Georgia"/>
        </w:rPr>
        <w:t xml:space="preserve"> </w:t>
      </w:r>
      <w:r w:rsidRPr="008A2071">
        <w:rPr>
          <w:rFonts w:ascii="Georgia" w:hAnsi="Georgia"/>
        </w:rPr>
        <w:t xml:space="preserve">&lt; </w:t>
      </w:r>
      <w:hyperlink r:id="rId7" w:anchor="Page_1" w:history="1">
        <w:r w:rsidRPr="009E04E2">
          <w:rPr>
            <w:rStyle w:val="Hyperlink"/>
            <w:rFonts w:ascii="Georgia" w:hAnsi="Georgia"/>
          </w:rPr>
          <w:t>https://www.gutenberg.org/files/23772/23772-h/23772-h.htm#Page_1</w:t>
        </w:r>
      </w:hyperlink>
      <w:r>
        <w:rPr>
          <w:rFonts w:ascii="Georgia" w:hAnsi="Georgia"/>
        </w:rPr>
        <w:t xml:space="preserve"> &gt;.</w:t>
      </w:r>
    </w:p>
    <w:p w14:paraId="755F07A7" w14:textId="2EC97332" w:rsidR="00507D90" w:rsidRPr="00507D90" w:rsidRDefault="00507D90" w:rsidP="00617D82">
      <w:pPr>
        <w:spacing w:line="276" w:lineRule="auto"/>
        <w:rPr>
          <w:rFonts w:ascii="Georgia" w:hAnsi="Georgia"/>
        </w:rPr>
      </w:pPr>
      <w:r>
        <w:rPr>
          <w:rFonts w:ascii="Georgia" w:hAnsi="Georgia"/>
        </w:rPr>
        <w:t xml:space="preserve">Horn, Matthew, ‘John Donne, godly inscription, and permanency of self in “Devotions upon Emergent Occasions”’, </w:t>
      </w:r>
      <w:r>
        <w:rPr>
          <w:rFonts w:ascii="Georgia" w:hAnsi="Georgia"/>
          <w:i/>
          <w:iCs/>
        </w:rPr>
        <w:t>Renaissance Studies</w:t>
      </w:r>
      <w:r>
        <w:rPr>
          <w:rFonts w:ascii="Georgia" w:hAnsi="Georgia"/>
        </w:rPr>
        <w:t xml:space="preserve">, 24(3), (2010), pp. 365-380. </w:t>
      </w:r>
    </w:p>
    <w:p w14:paraId="732D02ED" w14:textId="172C99CE" w:rsidR="00E44B8F" w:rsidRDefault="00E44B8F" w:rsidP="00617D82">
      <w:pPr>
        <w:spacing w:line="276" w:lineRule="auto"/>
        <w:rPr>
          <w:rFonts w:ascii="Georgia" w:hAnsi="Georgia"/>
        </w:rPr>
      </w:pPr>
      <w:r>
        <w:rPr>
          <w:rFonts w:ascii="Georgia" w:hAnsi="Georgia"/>
        </w:rPr>
        <w:t xml:space="preserve">Morrissey, Thomas J., ‘The Self and the Meditative Tradition in Donne’s “Devotions”’, </w:t>
      </w:r>
      <w:r w:rsidR="003856BD">
        <w:rPr>
          <w:rFonts w:ascii="Georgia" w:hAnsi="Georgia"/>
          <w:i/>
          <w:iCs/>
        </w:rPr>
        <w:t>Notre Dame English Journal</w:t>
      </w:r>
      <w:r w:rsidR="003856BD">
        <w:rPr>
          <w:rFonts w:ascii="Georgia" w:hAnsi="Georgia"/>
        </w:rPr>
        <w:t xml:space="preserve">, 13(1), (1980), pp. 29-49. </w:t>
      </w:r>
      <w:r>
        <w:rPr>
          <w:rFonts w:ascii="Georgia" w:hAnsi="Georgia"/>
        </w:rPr>
        <w:t xml:space="preserve"> </w:t>
      </w:r>
    </w:p>
    <w:p w14:paraId="0439B6BA" w14:textId="6C3A9A7F" w:rsidR="008D1C34" w:rsidRDefault="008D1C34" w:rsidP="00617D82">
      <w:pPr>
        <w:spacing w:line="276" w:lineRule="auto"/>
        <w:rPr>
          <w:rFonts w:ascii="Georgia" w:hAnsi="Georgia"/>
        </w:rPr>
      </w:pPr>
      <w:r>
        <w:rPr>
          <w:rFonts w:ascii="Georgia" w:hAnsi="Georgia"/>
        </w:rPr>
        <w:t xml:space="preserve">Mueller, Janel M., ‘The Exegesis of Experience: Dean Donne’s “Devotions upon Emergent Occasions”’, </w:t>
      </w:r>
      <w:r>
        <w:rPr>
          <w:rFonts w:ascii="Georgia" w:hAnsi="Georgia"/>
          <w:i/>
          <w:iCs/>
        </w:rPr>
        <w:t>The Journal of English and Germanic Philology</w:t>
      </w:r>
      <w:r>
        <w:rPr>
          <w:rFonts w:ascii="Georgia" w:hAnsi="Georgia"/>
        </w:rPr>
        <w:t xml:space="preserve">, 67(1), (1968), pp. 1-19.  </w:t>
      </w:r>
    </w:p>
    <w:p w14:paraId="1F45E80F" w14:textId="5874C7F3" w:rsidR="00A87E31" w:rsidRPr="00A87E31" w:rsidRDefault="00A87E31" w:rsidP="00617D82">
      <w:pPr>
        <w:spacing w:line="276" w:lineRule="auto"/>
        <w:rPr>
          <w:rFonts w:ascii="Georgia" w:hAnsi="Georgia"/>
        </w:rPr>
      </w:pPr>
      <w:proofErr w:type="spellStart"/>
      <w:r>
        <w:rPr>
          <w:rFonts w:ascii="Georgia" w:hAnsi="Georgia"/>
        </w:rPr>
        <w:t>Pinka</w:t>
      </w:r>
      <w:proofErr w:type="spellEnd"/>
      <w:r>
        <w:rPr>
          <w:rFonts w:ascii="Georgia" w:hAnsi="Georgia"/>
        </w:rPr>
        <w:t xml:space="preserve">, Patricia Garland, ‘John Donne | English Poet’, </w:t>
      </w:r>
      <w:proofErr w:type="spellStart"/>
      <w:r>
        <w:rPr>
          <w:rFonts w:ascii="Georgia" w:hAnsi="Georgia"/>
          <w:i/>
          <w:iCs/>
        </w:rPr>
        <w:t>Encyclopedia</w:t>
      </w:r>
      <w:proofErr w:type="spellEnd"/>
      <w:r>
        <w:rPr>
          <w:rFonts w:ascii="Georgia" w:hAnsi="Georgia"/>
          <w:i/>
          <w:iCs/>
        </w:rPr>
        <w:t xml:space="preserve"> Britannica</w:t>
      </w:r>
      <w:r>
        <w:rPr>
          <w:rFonts w:ascii="Georgia" w:hAnsi="Georgia"/>
        </w:rPr>
        <w:t>, (</w:t>
      </w:r>
      <w:proofErr w:type="spellStart"/>
      <w:r>
        <w:rPr>
          <w:rFonts w:ascii="Georgia" w:hAnsi="Georgia"/>
        </w:rPr>
        <w:t>n.d</w:t>
      </w:r>
      <w:proofErr w:type="spellEnd"/>
      <w:r>
        <w:rPr>
          <w:rFonts w:ascii="Georgia" w:hAnsi="Georgia"/>
        </w:rPr>
        <w:t>).</w:t>
      </w:r>
      <w:r w:rsidR="00282C5B">
        <w:rPr>
          <w:rFonts w:ascii="Georgia" w:hAnsi="Georgia"/>
        </w:rPr>
        <w:t xml:space="preserve"> Available at:</w:t>
      </w:r>
      <w:r>
        <w:rPr>
          <w:rFonts w:ascii="Georgia" w:hAnsi="Georgia"/>
        </w:rPr>
        <w:t xml:space="preserve"> &lt; </w:t>
      </w:r>
      <w:hyperlink r:id="rId8" w:history="1">
        <w:r w:rsidRPr="009E04E2">
          <w:rPr>
            <w:rStyle w:val="Hyperlink"/>
            <w:rFonts w:ascii="Georgia" w:hAnsi="Georgia"/>
          </w:rPr>
          <w:t>https://www.britannica.com/biography/John-Donne</w:t>
        </w:r>
      </w:hyperlink>
      <w:r>
        <w:rPr>
          <w:rFonts w:ascii="Georgia" w:hAnsi="Georgia"/>
        </w:rPr>
        <w:t xml:space="preserve"> &gt; [Accessed 15 May 2021]. </w:t>
      </w:r>
    </w:p>
    <w:p w14:paraId="4FEA8EC3" w14:textId="1FA70B0D" w:rsidR="00617D82" w:rsidRDefault="00617D82" w:rsidP="00617D82">
      <w:pPr>
        <w:spacing w:line="276" w:lineRule="auto"/>
        <w:rPr>
          <w:rFonts w:ascii="Georgia" w:hAnsi="Georgia"/>
        </w:rPr>
      </w:pPr>
      <w:r w:rsidRPr="00617D82">
        <w:rPr>
          <w:rFonts w:ascii="Georgia" w:hAnsi="Georgia"/>
        </w:rPr>
        <w:t xml:space="preserve">Schipper, Kristofer, ‘The Taoist Body’, </w:t>
      </w:r>
      <w:r w:rsidRPr="008D1C34">
        <w:rPr>
          <w:rFonts w:ascii="Georgia" w:hAnsi="Georgia"/>
          <w:i/>
          <w:iCs/>
        </w:rPr>
        <w:t>History of Religions</w:t>
      </w:r>
      <w:r w:rsidRPr="00617D82">
        <w:rPr>
          <w:rFonts w:ascii="Georgia" w:hAnsi="Georgia"/>
        </w:rPr>
        <w:t>, 17(3/4), (1978), pp. 355-386.</w:t>
      </w:r>
    </w:p>
    <w:p w14:paraId="665FAE6A" w14:textId="418120B9" w:rsidR="006050A2" w:rsidRPr="006050A2" w:rsidRDefault="006050A2" w:rsidP="00617D82">
      <w:pPr>
        <w:spacing w:line="276" w:lineRule="auto"/>
        <w:rPr>
          <w:rFonts w:ascii="Georgia" w:hAnsi="Georgia"/>
        </w:rPr>
      </w:pPr>
      <w:r>
        <w:rPr>
          <w:rFonts w:ascii="Georgia" w:hAnsi="Georgia"/>
        </w:rPr>
        <w:t xml:space="preserve">Selleck, Nancy, ‘Donne’s Body’, </w:t>
      </w:r>
      <w:r>
        <w:rPr>
          <w:rFonts w:ascii="Georgia" w:hAnsi="Georgia"/>
          <w:i/>
          <w:iCs/>
        </w:rPr>
        <w:t>Studies in English Literature, 1500-1900</w:t>
      </w:r>
      <w:r>
        <w:rPr>
          <w:rFonts w:ascii="Georgia" w:hAnsi="Georgia"/>
        </w:rPr>
        <w:t xml:space="preserve">, 41(1), (2001), pp. 149-174. </w:t>
      </w:r>
    </w:p>
    <w:sectPr w:rsidR="006050A2" w:rsidRPr="006050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7D31EF" w14:textId="77777777" w:rsidR="007855D2" w:rsidRDefault="007855D2" w:rsidP="007855D2">
      <w:pPr>
        <w:spacing w:after="0" w:line="240" w:lineRule="auto"/>
      </w:pPr>
      <w:r>
        <w:separator/>
      </w:r>
    </w:p>
  </w:endnote>
  <w:endnote w:type="continuationSeparator" w:id="0">
    <w:p w14:paraId="5539AEF4" w14:textId="77777777" w:rsidR="007855D2" w:rsidRDefault="007855D2" w:rsidP="007855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0DD553" w14:textId="77777777" w:rsidR="007855D2" w:rsidRDefault="007855D2" w:rsidP="007855D2">
      <w:pPr>
        <w:spacing w:after="0" w:line="240" w:lineRule="auto"/>
      </w:pPr>
      <w:r>
        <w:separator/>
      </w:r>
    </w:p>
  </w:footnote>
  <w:footnote w:type="continuationSeparator" w:id="0">
    <w:p w14:paraId="0363A08E" w14:textId="77777777" w:rsidR="007855D2" w:rsidRDefault="007855D2" w:rsidP="007855D2">
      <w:pPr>
        <w:spacing w:after="0" w:line="240" w:lineRule="auto"/>
      </w:pPr>
      <w:r>
        <w:continuationSeparator/>
      </w:r>
    </w:p>
  </w:footnote>
  <w:footnote w:id="1">
    <w:p w14:paraId="29FA6DE4" w14:textId="3EF8DA48" w:rsidR="007E5BB9" w:rsidRDefault="007E5BB9">
      <w:pPr>
        <w:pStyle w:val="FootnoteText"/>
      </w:pPr>
      <w:r>
        <w:rPr>
          <w:rStyle w:val="FootnoteReference"/>
        </w:rPr>
        <w:footnoteRef/>
      </w:r>
      <w:r>
        <w:t xml:space="preserve"> John Donne</w:t>
      </w:r>
      <w:r w:rsidR="00157BBB">
        <w:t>,</w:t>
      </w:r>
      <w:r w:rsidR="00D06045">
        <w:t xml:space="preserve"> </w:t>
      </w:r>
      <w:r w:rsidR="00D06045">
        <w:rPr>
          <w:i/>
          <w:iCs/>
        </w:rPr>
        <w:t>‘Meditation XVII’</w:t>
      </w:r>
      <w:r w:rsidR="00D06045">
        <w:t xml:space="preserve"> in</w:t>
      </w:r>
      <w:r>
        <w:t xml:space="preserve"> </w:t>
      </w:r>
      <w:r w:rsidR="00290B17" w:rsidRPr="00035B74">
        <w:rPr>
          <w:i/>
          <w:iCs/>
        </w:rPr>
        <w:t>‘</w:t>
      </w:r>
      <w:r w:rsidRPr="00035B74">
        <w:rPr>
          <w:i/>
          <w:iCs/>
        </w:rPr>
        <w:t>Devotions</w:t>
      </w:r>
      <w:r w:rsidR="00290B17" w:rsidRPr="00035B74">
        <w:rPr>
          <w:i/>
          <w:iCs/>
        </w:rPr>
        <w:t xml:space="preserve"> Upon Emergent Occasions Together </w:t>
      </w:r>
      <w:proofErr w:type="gramStart"/>
      <w:r w:rsidR="00290B17" w:rsidRPr="00035B74">
        <w:rPr>
          <w:i/>
          <w:iCs/>
        </w:rPr>
        <w:t>With</w:t>
      </w:r>
      <w:proofErr w:type="gramEnd"/>
      <w:r w:rsidR="00290B17" w:rsidRPr="00035B74">
        <w:rPr>
          <w:i/>
          <w:iCs/>
        </w:rPr>
        <w:t xml:space="preserve"> Death’s Duel’</w:t>
      </w:r>
      <w:r w:rsidR="00290B17">
        <w:t>, Project Gutenberg, (2007)</w:t>
      </w:r>
      <w:r w:rsidR="00282C5B">
        <w:t>.</w:t>
      </w:r>
      <w:r w:rsidR="00140345">
        <w:t xml:space="preserve"> Available at:</w:t>
      </w:r>
      <w:r w:rsidR="00290B17">
        <w:t xml:space="preserve"> </w:t>
      </w:r>
      <w:bookmarkStart w:id="3" w:name="_Hlk72226125"/>
      <w:r w:rsidR="00290B17">
        <w:t xml:space="preserve">&lt; </w:t>
      </w:r>
      <w:hyperlink r:id="rId1" w:anchor="Page_1" w:history="1">
        <w:r w:rsidR="00290B17" w:rsidRPr="00140404">
          <w:rPr>
            <w:rStyle w:val="Hyperlink"/>
          </w:rPr>
          <w:t>https://www.gutenberg.org/files/23772/23772-h/23772-h.htm#Page_1</w:t>
        </w:r>
      </w:hyperlink>
      <w:bookmarkEnd w:id="3"/>
      <w:r w:rsidR="00290B17">
        <w:t xml:space="preserve"> &gt;, [Accessed 1</w:t>
      </w:r>
      <w:r w:rsidR="002475AF">
        <w:t>6</w:t>
      </w:r>
      <w:r w:rsidR="00290B17">
        <w:t xml:space="preserve"> May 2021],</w:t>
      </w:r>
      <w:r>
        <w:t xml:space="preserve"> pp. 108-109. </w:t>
      </w:r>
    </w:p>
  </w:footnote>
  <w:footnote w:id="2">
    <w:p w14:paraId="18B09396" w14:textId="7BEA480C" w:rsidR="00935B0C" w:rsidRDefault="00935B0C">
      <w:pPr>
        <w:pStyle w:val="FootnoteText"/>
      </w:pPr>
      <w:r>
        <w:rPr>
          <w:rStyle w:val="FootnoteReference"/>
        </w:rPr>
        <w:footnoteRef/>
      </w:r>
      <w:r>
        <w:t xml:space="preserve"> John Donne,</w:t>
      </w:r>
      <w:r w:rsidR="00A83E03">
        <w:t xml:space="preserve"> </w:t>
      </w:r>
      <w:r w:rsidR="00A83E03">
        <w:rPr>
          <w:i/>
          <w:iCs/>
        </w:rPr>
        <w:t>‘Meditation XVII’</w:t>
      </w:r>
      <w:r w:rsidR="00A83E03">
        <w:t xml:space="preserve"> in</w:t>
      </w:r>
      <w:r>
        <w:t xml:space="preserve"> </w:t>
      </w:r>
      <w:r w:rsidR="00A83E03" w:rsidRPr="00A83E03">
        <w:rPr>
          <w:i/>
          <w:iCs/>
        </w:rPr>
        <w:t>‘</w:t>
      </w:r>
      <w:r w:rsidRPr="00A83E03">
        <w:rPr>
          <w:i/>
          <w:iCs/>
        </w:rPr>
        <w:t>Devotions</w:t>
      </w:r>
      <w:r w:rsidR="00A83E03" w:rsidRPr="00A83E03">
        <w:rPr>
          <w:i/>
          <w:iCs/>
        </w:rPr>
        <w:t xml:space="preserve"> Upon Emergent Occasions Together </w:t>
      </w:r>
      <w:proofErr w:type="gramStart"/>
      <w:r w:rsidR="00A83E03" w:rsidRPr="00A83E03">
        <w:rPr>
          <w:i/>
          <w:iCs/>
        </w:rPr>
        <w:t>With</w:t>
      </w:r>
      <w:proofErr w:type="gramEnd"/>
      <w:r w:rsidR="00A83E03" w:rsidRPr="00A83E03">
        <w:rPr>
          <w:i/>
          <w:iCs/>
        </w:rPr>
        <w:t xml:space="preserve"> Death’s Duel’</w:t>
      </w:r>
      <w:r w:rsidR="00A83E03">
        <w:t>, Project Gutenberg, (2007)</w:t>
      </w:r>
      <w:r w:rsidR="00282C5B">
        <w:t>.</w:t>
      </w:r>
      <w:r w:rsidR="00140345">
        <w:t xml:space="preserve"> Available at:</w:t>
      </w:r>
      <w:r w:rsidR="00A83E03">
        <w:t xml:space="preserve"> </w:t>
      </w:r>
      <w:r w:rsidR="00A83E03" w:rsidRPr="00A83E03">
        <w:t xml:space="preserve">&lt; </w:t>
      </w:r>
      <w:hyperlink r:id="rId2" w:anchor="Page_1" w:history="1">
        <w:r w:rsidR="00A83E03" w:rsidRPr="009F19AB">
          <w:rPr>
            <w:rStyle w:val="Hyperlink"/>
          </w:rPr>
          <w:t>https://www.gutenberg.org/files/23772/23772-h/23772-h.htm#Page_1</w:t>
        </w:r>
      </w:hyperlink>
      <w:r w:rsidR="00A83E03">
        <w:t xml:space="preserve"> &gt;</w:t>
      </w:r>
      <w:r w:rsidR="002475AF">
        <w:t>, [Accessed 16 May 2021],</w:t>
      </w:r>
      <w:r>
        <w:t xml:space="preserve"> p. 108. </w:t>
      </w:r>
    </w:p>
  </w:footnote>
  <w:footnote w:id="3">
    <w:p w14:paraId="31FAF6DA" w14:textId="6EB7F0E0" w:rsidR="00BD49C7" w:rsidRDefault="00BD49C7">
      <w:pPr>
        <w:pStyle w:val="FootnoteText"/>
      </w:pPr>
      <w:r>
        <w:rPr>
          <w:rStyle w:val="FootnoteReference"/>
        </w:rPr>
        <w:footnoteRef/>
      </w:r>
      <w:r>
        <w:t xml:space="preserve"> John Donne</w:t>
      </w:r>
      <w:r w:rsidR="00157BBB">
        <w:t>,</w:t>
      </w:r>
      <w:r w:rsidR="00C002ED">
        <w:t xml:space="preserve"> </w:t>
      </w:r>
      <w:r w:rsidR="00C002ED">
        <w:rPr>
          <w:i/>
          <w:iCs/>
        </w:rPr>
        <w:t>‘Meditation XVII’</w:t>
      </w:r>
      <w:r w:rsidR="00C002ED">
        <w:t xml:space="preserve"> in</w:t>
      </w:r>
      <w:r>
        <w:t xml:space="preserve"> </w:t>
      </w:r>
      <w:r w:rsidR="00C002ED" w:rsidRPr="00C002ED">
        <w:rPr>
          <w:i/>
          <w:iCs/>
        </w:rPr>
        <w:t>‘</w:t>
      </w:r>
      <w:r w:rsidRPr="00C002ED">
        <w:rPr>
          <w:i/>
          <w:iCs/>
        </w:rPr>
        <w:t>Devotions</w:t>
      </w:r>
      <w:r w:rsidR="00C002ED" w:rsidRPr="00C002ED">
        <w:rPr>
          <w:i/>
          <w:iCs/>
        </w:rPr>
        <w:t xml:space="preserve"> Upon Emergent Occasions Together </w:t>
      </w:r>
      <w:proofErr w:type="gramStart"/>
      <w:r w:rsidR="00C002ED" w:rsidRPr="00C002ED">
        <w:rPr>
          <w:i/>
          <w:iCs/>
        </w:rPr>
        <w:t>With</w:t>
      </w:r>
      <w:proofErr w:type="gramEnd"/>
      <w:r w:rsidR="00C002ED" w:rsidRPr="00C002ED">
        <w:rPr>
          <w:i/>
          <w:iCs/>
        </w:rPr>
        <w:t xml:space="preserve"> Death’s Duel’</w:t>
      </w:r>
      <w:r w:rsidR="00C002ED">
        <w:t>, Project Gutenberg, (2007)</w:t>
      </w:r>
      <w:r w:rsidR="00282C5B">
        <w:t>.</w:t>
      </w:r>
      <w:r w:rsidR="00140345">
        <w:t xml:space="preserve"> Available at:</w:t>
      </w:r>
      <w:r w:rsidR="00C002ED">
        <w:t xml:space="preserve"> </w:t>
      </w:r>
      <w:r w:rsidR="00C002ED" w:rsidRPr="00C002ED">
        <w:t xml:space="preserve">&lt; </w:t>
      </w:r>
      <w:hyperlink r:id="rId3" w:anchor="Page_1" w:history="1">
        <w:r w:rsidR="00C002ED" w:rsidRPr="009F19AB">
          <w:rPr>
            <w:rStyle w:val="Hyperlink"/>
          </w:rPr>
          <w:t>https://www.gutenberg.org/files/23772/23772-h/23772-h.htm#Page_1</w:t>
        </w:r>
      </w:hyperlink>
      <w:r w:rsidR="00C002ED">
        <w:t xml:space="preserve"> &gt;,</w:t>
      </w:r>
      <w:r w:rsidR="002475AF">
        <w:t xml:space="preserve"> [Accessed 16 May 2021],</w:t>
      </w:r>
      <w:r>
        <w:t xml:space="preserve"> p. 109. </w:t>
      </w:r>
    </w:p>
  </w:footnote>
  <w:footnote w:id="4">
    <w:p w14:paraId="204BAF3D" w14:textId="25D76F16" w:rsidR="00A31FBF" w:rsidRDefault="00A31FBF">
      <w:pPr>
        <w:pStyle w:val="FootnoteText"/>
      </w:pPr>
      <w:r>
        <w:rPr>
          <w:rStyle w:val="FootnoteReference"/>
        </w:rPr>
        <w:footnoteRef/>
      </w:r>
      <w:r>
        <w:t xml:space="preserve"> John Donne,</w:t>
      </w:r>
      <w:r w:rsidR="00C002ED">
        <w:t xml:space="preserve"> </w:t>
      </w:r>
      <w:r w:rsidR="00C002ED">
        <w:rPr>
          <w:i/>
          <w:iCs/>
        </w:rPr>
        <w:t>‘Meditation XVII’</w:t>
      </w:r>
      <w:r w:rsidR="00C002ED">
        <w:t xml:space="preserve"> in</w:t>
      </w:r>
      <w:r>
        <w:t xml:space="preserve"> </w:t>
      </w:r>
      <w:r w:rsidR="00C002ED" w:rsidRPr="00A7159D">
        <w:rPr>
          <w:i/>
          <w:iCs/>
        </w:rPr>
        <w:t>‘</w:t>
      </w:r>
      <w:r w:rsidRPr="00A7159D">
        <w:rPr>
          <w:i/>
          <w:iCs/>
        </w:rPr>
        <w:t>Devotions</w:t>
      </w:r>
      <w:r w:rsidR="00C002ED" w:rsidRPr="00A7159D">
        <w:rPr>
          <w:i/>
          <w:iCs/>
        </w:rPr>
        <w:t xml:space="preserve"> Upon Emergent Occasions Together with Death’s Duel’</w:t>
      </w:r>
      <w:r w:rsidR="00C002ED">
        <w:t>, Project Gutenberg</w:t>
      </w:r>
      <w:r w:rsidR="006D27B1">
        <w:t>, (2007)</w:t>
      </w:r>
      <w:r w:rsidR="00282C5B">
        <w:t>.</w:t>
      </w:r>
      <w:r w:rsidR="00140345">
        <w:t xml:space="preserve"> Available at:</w:t>
      </w:r>
      <w:r w:rsidR="006D27B1">
        <w:t xml:space="preserve"> </w:t>
      </w:r>
      <w:r w:rsidR="006D27B1" w:rsidRPr="006D27B1">
        <w:t xml:space="preserve">&lt; </w:t>
      </w:r>
      <w:hyperlink r:id="rId4" w:anchor="Page_1" w:history="1">
        <w:r w:rsidR="006D27B1" w:rsidRPr="009F19AB">
          <w:rPr>
            <w:rStyle w:val="Hyperlink"/>
          </w:rPr>
          <w:t>https://www.gutenberg.org/files/23772/23772-h/23772-h.htm#Page_1</w:t>
        </w:r>
      </w:hyperlink>
      <w:r w:rsidR="006D27B1">
        <w:t xml:space="preserve"> &gt;,</w:t>
      </w:r>
      <w:r w:rsidR="002475AF">
        <w:t xml:space="preserve"> [Accessed 16 May 2021],</w:t>
      </w:r>
      <w:r>
        <w:t xml:space="preserve"> p. 108.</w:t>
      </w:r>
    </w:p>
  </w:footnote>
  <w:footnote w:id="5">
    <w:p w14:paraId="04E68460" w14:textId="5D03EDAA" w:rsidR="00C44EC6" w:rsidRDefault="00C44EC6">
      <w:pPr>
        <w:pStyle w:val="FootnoteText"/>
      </w:pPr>
      <w:r>
        <w:rPr>
          <w:rStyle w:val="FootnoteReference"/>
        </w:rPr>
        <w:footnoteRef/>
      </w:r>
      <w:r>
        <w:t xml:space="preserve"> </w:t>
      </w:r>
      <w:r w:rsidR="00CC039A" w:rsidRPr="00CC039A">
        <w:t xml:space="preserve">Kristofer Schipper, ‘The Taoist Body’, </w:t>
      </w:r>
      <w:r w:rsidR="00CC039A" w:rsidRPr="00CC039A">
        <w:rPr>
          <w:i/>
          <w:iCs/>
        </w:rPr>
        <w:t>History of Religions</w:t>
      </w:r>
      <w:r w:rsidR="00CC039A" w:rsidRPr="00CC039A">
        <w:t>, 17(3/4), (1978), p. 355.</w:t>
      </w:r>
    </w:p>
  </w:footnote>
  <w:footnote w:id="6">
    <w:p w14:paraId="1659C657" w14:textId="132A543A" w:rsidR="007855D2" w:rsidRDefault="007855D2">
      <w:pPr>
        <w:pStyle w:val="FootnoteText"/>
      </w:pPr>
      <w:r>
        <w:rPr>
          <w:rStyle w:val="FootnoteReference"/>
        </w:rPr>
        <w:footnoteRef/>
      </w:r>
      <w:r>
        <w:t xml:space="preserve"> John Donne</w:t>
      </w:r>
      <w:r w:rsidR="006D27B1">
        <w:t xml:space="preserve">, </w:t>
      </w:r>
      <w:r w:rsidR="006D27B1">
        <w:rPr>
          <w:i/>
          <w:iCs/>
        </w:rPr>
        <w:t>‘Meditation XVII’</w:t>
      </w:r>
      <w:r w:rsidR="006D27B1">
        <w:t xml:space="preserve"> in</w:t>
      </w:r>
      <w:r>
        <w:t xml:space="preserve"> </w:t>
      </w:r>
      <w:r w:rsidR="006D27B1" w:rsidRPr="006D27B1">
        <w:rPr>
          <w:i/>
          <w:iCs/>
        </w:rPr>
        <w:t>‘</w:t>
      </w:r>
      <w:r w:rsidRPr="006D27B1">
        <w:rPr>
          <w:i/>
          <w:iCs/>
        </w:rPr>
        <w:t>Devotions</w:t>
      </w:r>
      <w:r w:rsidR="006D27B1" w:rsidRPr="006D27B1">
        <w:rPr>
          <w:i/>
          <w:iCs/>
        </w:rPr>
        <w:t xml:space="preserve"> Upon Emergent Occasions Together </w:t>
      </w:r>
      <w:proofErr w:type="gramStart"/>
      <w:r w:rsidR="006D27B1" w:rsidRPr="006D27B1">
        <w:rPr>
          <w:i/>
          <w:iCs/>
        </w:rPr>
        <w:t>With</w:t>
      </w:r>
      <w:proofErr w:type="gramEnd"/>
      <w:r w:rsidR="006D27B1" w:rsidRPr="006D27B1">
        <w:rPr>
          <w:i/>
          <w:iCs/>
        </w:rPr>
        <w:t xml:space="preserve"> Death’s Duel’</w:t>
      </w:r>
      <w:r w:rsidR="006D27B1">
        <w:t>, Project Gutenberg, (2007)</w:t>
      </w:r>
      <w:r w:rsidR="00AD50EF">
        <w:t>.</w:t>
      </w:r>
      <w:r w:rsidR="00140345">
        <w:t xml:space="preserve"> Available at:</w:t>
      </w:r>
      <w:r w:rsidR="006D27B1">
        <w:t xml:space="preserve"> </w:t>
      </w:r>
      <w:r w:rsidR="006D27B1" w:rsidRPr="006D27B1">
        <w:t xml:space="preserve">&lt; </w:t>
      </w:r>
      <w:hyperlink r:id="rId5" w:anchor="Page_1" w:history="1">
        <w:r w:rsidR="006D27B1" w:rsidRPr="009F19AB">
          <w:rPr>
            <w:rStyle w:val="Hyperlink"/>
          </w:rPr>
          <w:t>https://www.gutenberg.org/files/23772/23772-h/23772-h.htm#Page_1</w:t>
        </w:r>
      </w:hyperlink>
      <w:r w:rsidR="006D27B1">
        <w:t xml:space="preserve"> &gt;,</w:t>
      </w:r>
      <w:r w:rsidR="002475AF">
        <w:t xml:space="preserve"> [Accessed 16 May 2021],</w:t>
      </w:r>
      <w:r>
        <w:t xml:space="preserve"> p</w:t>
      </w:r>
      <w:r w:rsidR="005355DC">
        <w:t>p</w:t>
      </w:r>
      <w:r>
        <w:t>. 107-108.</w:t>
      </w:r>
    </w:p>
  </w:footnote>
  <w:footnote w:id="7">
    <w:p w14:paraId="2E790436" w14:textId="757A336B" w:rsidR="00DD02BA" w:rsidRDefault="00DD02BA">
      <w:pPr>
        <w:pStyle w:val="FootnoteText"/>
      </w:pPr>
      <w:r>
        <w:rPr>
          <w:rStyle w:val="FootnoteReference"/>
        </w:rPr>
        <w:footnoteRef/>
      </w:r>
      <w:r>
        <w:t xml:space="preserve"> John Donne</w:t>
      </w:r>
      <w:r w:rsidR="006D27B1">
        <w:t xml:space="preserve">, </w:t>
      </w:r>
      <w:r w:rsidR="006D27B1">
        <w:rPr>
          <w:i/>
          <w:iCs/>
        </w:rPr>
        <w:t>‘Meditation XVII’</w:t>
      </w:r>
      <w:r w:rsidR="006D27B1">
        <w:t xml:space="preserve"> in</w:t>
      </w:r>
      <w:r>
        <w:t xml:space="preserve"> </w:t>
      </w:r>
      <w:r w:rsidR="006D27B1" w:rsidRPr="00803791">
        <w:rPr>
          <w:i/>
          <w:iCs/>
        </w:rPr>
        <w:t>‘</w:t>
      </w:r>
      <w:r w:rsidRPr="00803791">
        <w:rPr>
          <w:i/>
          <w:iCs/>
        </w:rPr>
        <w:t>Devotions</w:t>
      </w:r>
      <w:r w:rsidR="006D27B1" w:rsidRPr="00803791">
        <w:rPr>
          <w:i/>
          <w:iCs/>
        </w:rPr>
        <w:t xml:space="preserve"> Upon Emergent Occasions Together </w:t>
      </w:r>
      <w:proofErr w:type="gramStart"/>
      <w:r w:rsidR="006D27B1" w:rsidRPr="00803791">
        <w:rPr>
          <w:i/>
          <w:iCs/>
        </w:rPr>
        <w:t>With</w:t>
      </w:r>
      <w:proofErr w:type="gramEnd"/>
      <w:r w:rsidR="006D27B1" w:rsidRPr="00803791">
        <w:rPr>
          <w:i/>
          <w:iCs/>
        </w:rPr>
        <w:t xml:space="preserve"> Death’s Duel’</w:t>
      </w:r>
      <w:r w:rsidR="006D27B1">
        <w:t>, Project Gutenberg, (2007)</w:t>
      </w:r>
      <w:r w:rsidR="00AD50EF">
        <w:t>.</w:t>
      </w:r>
      <w:r w:rsidR="00907E9C">
        <w:t xml:space="preserve"> Available at:</w:t>
      </w:r>
      <w:r w:rsidR="006D27B1">
        <w:t xml:space="preserve"> </w:t>
      </w:r>
      <w:r w:rsidR="006D27B1" w:rsidRPr="006D27B1">
        <w:t xml:space="preserve">&lt; </w:t>
      </w:r>
      <w:hyperlink r:id="rId6" w:anchor="Page_1" w:history="1">
        <w:r w:rsidR="006D27B1" w:rsidRPr="009F19AB">
          <w:rPr>
            <w:rStyle w:val="Hyperlink"/>
          </w:rPr>
          <w:t>https://www.gutenberg.org/files/23772/23772-h/23772-h.htm#Page_1</w:t>
        </w:r>
      </w:hyperlink>
      <w:r w:rsidR="006D27B1">
        <w:t xml:space="preserve"> &gt;,</w:t>
      </w:r>
      <w:r w:rsidR="002475AF">
        <w:t xml:space="preserve"> [Accessed 16 </w:t>
      </w:r>
      <w:proofErr w:type="gramStart"/>
      <w:r w:rsidR="002475AF">
        <w:t>may</w:t>
      </w:r>
      <w:proofErr w:type="gramEnd"/>
      <w:r w:rsidR="002475AF">
        <w:t xml:space="preserve"> 2021],</w:t>
      </w:r>
      <w:r>
        <w:t xml:space="preserve"> p. 108</w:t>
      </w:r>
      <w:r w:rsidR="00384015">
        <w:t>.</w:t>
      </w:r>
    </w:p>
  </w:footnote>
  <w:footnote w:id="8">
    <w:p w14:paraId="38981626" w14:textId="6D64E948" w:rsidR="00734511" w:rsidRDefault="00734511">
      <w:pPr>
        <w:pStyle w:val="FootnoteText"/>
      </w:pPr>
      <w:r>
        <w:rPr>
          <w:rStyle w:val="FootnoteReference"/>
        </w:rPr>
        <w:footnoteRef/>
      </w:r>
      <w:r>
        <w:t xml:space="preserve"> John Donne</w:t>
      </w:r>
      <w:r w:rsidR="00803791">
        <w:t xml:space="preserve">, </w:t>
      </w:r>
      <w:r w:rsidR="00803791">
        <w:rPr>
          <w:i/>
          <w:iCs/>
        </w:rPr>
        <w:t>‘Meditation XVI’</w:t>
      </w:r>
      <w:r w:rsidR="00803791">
        <w:t xml:space="preserve"> in</w:t>
      </w:r>
      <w:r>
        <w:t xml:space="preserve"> </w:t>
      </w:r>
      <w:r w:rsidR="00803791" w:rsidRPr="001D5818">
        <w:rPr>
          <w:i/>
          <w:iCs/>
        </w:rPr>
        <w:t>‘</w:t>
      </w:r>
      <w:r w:rsidRPr="001D5818">
        <w:rPr>
          <w:i/>
          <w:iCs/>
        </w:rPr>
        <w:t>Devotions</w:t>
      </w:r>
      <w:r w:rsidR="00803791" w:rsidRPr="001D5818">
        <w:rPr>
          <w:i/>
          <w:iCs/>
        </w:rPr>
        <w:t xml:space="preserve"> Upon Emergent Occasions Together </w:t>
      </w:r>
      <w:proofErr w:type="gramStart"/>
      <w:r w:rsidR="00803791" w:rsidRPr="001D5818">
        <w:rPr>
          <w:i/>
          <w:iCs/>
        </w:rPr>
        <w:t>With</w:t>
      </w:r>
      <w:proofErr w:type="gramEnd"/>
      <w:r w:rsidR="00803791" w:rsidRPr="001D5818">
        <w:rPr>
          <w:i/>
          <w:iCs/>
        </w:rPr>
        <w:t xml:space="preserve"> Death’s Duel’</w:t>
      </w:r>
      <w:r w:rsidR="00803791">
        <w:t>, Project Gutenberg, (2007)</w:t>
      </w:r>
      <w:r w:rsidR="00AD50EF">
        <w:t>.</w:t>
      </w:r>
      <w:r w:rsidR="00907E9C">
        <w:t xml:space="preserve"> Available at:</w:t>
      </w:r>
      <w:r w:rsidR="00803791">
        <w:t xml:space="preserve"> </w:t>
      </w:r>
      <w:r w:rsidR="00803791" w:rsidRPr="00803791">
        <w:t xml:space="preserve">&lt; </w:t>
      </w:r>
      <w:hyperlink r:id="rId7" w:anchor="Page_1" w:history="1">
        <w:r w:rsidR="00803791" w:rsidRPr="009F19AB">
          <w:rPr>
            <w:rStyle w:val="Hyperlink"/>
          </w:rPr>
          <w:t>https://www.gutenberg.org/files/23772/23772-h/23772-h.htm#Page_1</w:t>
        </w:r>
      </w:hyperlink>
      <w:r w:rsidR="00803791">
        <w:t xml:space="preserve"> &gt;,</w:t>
      </w:r>
      <w:r w:rsidR="002475AF">
        <w:t xml:space="preserve"> [Accessed 17 May 2021]</w:t>
      </w:r>
      <w:r>
        <w:t xml:space="preserve"> p</w:t>
      </w:r>
      <w:r w:rsidR="005355DC">
        <w:t>p</w:t>
      </w:r>
      <w:r>
        <w:t xml:space="preserve">. 102-103. </w:t>
      </w:r>
    </w:p>
  </w:footnote>
  <w:footnote w:id="9">
    <w:p w14:paraId="2C4948B5" w14:textId="6675F41E" w:rsidR="0034773C" w:rsidRDefault="0034773C">
      <w:pPr>
        <w:pStyle w:val="FootnoteText"/>
      </w:pPr>
      <w:r>
        <w:rPr>
          <w:rStyle w:val="FootnoteReference"/>
        </w:rPr>
        <w:footnoteRef/>
      </w:r>
      <w:r>
        <w:t xml:space="preserve"> </w:t>
      </w:r>
      <w:r w:rsidR="00544FD7">
        <w:t xml:space="preserve">John Donne, </w:t>
      </w:r>
      <w:r w:rsidR="00544FD7">
        <w:rPr>
          <w:i/>
          <w:iCs/>
        </w:rPr>
        <w:t>‘Meditation XVII’</w:t>
      </w:r>
      <w:r w:rsidR="00544FD7">
        <w:t xml:space="preserve"> in </w:t>
      </w:r>
      <w:r w:rsidR="00544FD7" w:rsidRPr="001D5818">
        <w:rPr>
          <w:i/>
          <w:iCs/>
        </w:rPr>
        <w:t>‘</w:t>
      </w:r>
      <w:r w:rsidRPr="001D5818">
        <w:rPr>
          <w:i/>
          <w:iCs/>
        </w:rPr>
        <w:t>Devotions</w:t>
      </w:r>
      <w:r w:rsidR="00544FD7" w:rsidRPr="001D5818">
        <w:rPr>
          <w:i/>
          <w:iCs/>
        </w:rPr>
        <w:t xml:space="preserve"> Upon Emergent Occasions Together </w:t>
      </w:r>
      <w:proofErr w:type="gramStart"/>
      <w:r w:rsidR="00544FD7" w:rsidRPr="001D5818">
        <w:rPr>
          <w:i/>
          <w:iCs/>
        </w:rPr>
        <w:t>With</w:t>
      </w:r>
      <w:proofErr w:type="gramEnd"/>
      <w:r w:rsidR="00544FD7" w:rsidRPr="001D5818">
        <w:rPr>
          <w:i/>
          <w:iCs/>
        </w:rPr>
        <w:t xml:space="preserve"> Death’s Duel’</w:t>
      </w:r>
      <w:r w:rsidR="00544FD7">
        <w:t>, Project Gutenberg, (2007)</w:t>
      </w:r>
      <w:r w:rsidR="00AD50EF">
        <w:t>.</w:t>
      </w:r>
      <w:r w:rsidR="00907E9C">
        <w:t xml:space="preserve"> Available at:</w:t>
      </w:r>
      <w:r w:rsidR="00544FD7">
        <w:t xml:space="preserve"> </w:t>
      </w:r>
      <w:r w:rsidR="00544FD7" w:rsidRPr="00544FD7">
        <w:t xml:space="preserve">&lt; </w:t>
      </w:r>
      <w:hyperlink r:id="rId8" w:anchor="Page_1" w:history="1">
        <w:r w:rsidR="00544FD7" w:rsidRPr="009F19AB">
          <w:rPr>
            <w:rStyle w:val="Hyperlink"/>
          </w:rPr>
          <w:t>https://www.gutenberg.org/files/23772/23772-h/23772-h.htm#Page_1</w:t>
        </w:r>
      </w:hyperlink>
      <w:r w:rsidR="00544FD7">
        <w:t xml:space="preserve"> &gt;,</w:t>
      </w:r>
      <w:r w:rsidR="007D5564">
        <w:t xml:space="preserve"> [Accessed 16 May 2021],</w:t>
      </w:r>
      <w:r>
        <w:t xml:space="preserve"> p. 109. </w:t>
      </w:r>
    </w:p>
  </w:footnote>
  <w:footnote w:id="10">
    <w:p w14:paraId="568FCC07" w14:textId="549056B4" w:rsidR="00505FF4" w:rsidRDefault="00505FF4">
      <w:pPr>
        <w:pStyle w:val="FootnoteText"/>
      </w:pPr>
      <w:r>
        <w:rPr>
          <w:rStyle w:val="FootnoteReference"/>
        </w:rPr>
        <w:footnoteRef/>
      </w:r>
      <w:r>
        <w:t xml:space="preserve"> </w:t>
      </w:r>
      <w:r w:rsidR="004101D4">
        <w:t xml:space="preserve">John Donne, </w:t>
      </w:r>
      <w:r w:rsidR="004101D4">
        <w:rPr>
          <w:i/>
          <w:iCs/>
        </w:rPr>
        <w:t>‘Meditation XVII’</w:t>
      </w:r>
      <w:r w:rsidR="004101D4">
        <w:t xml:space="preserve"> in</w:t>
      </w:r>
      <w:r>
        <w:t xml:space="preserve"> </w:t>
      </w:r>
      <w:r w:rsidR="004101D4" w:rsidRPr="001D5818">
        <w:rPr>
          <w:i/>
          <w:iCs/>
        </w:rPr>
        <w:t>‘</w:t>
      </w:r>
      <w:r w:rsidRPr="001D5818">
        <w:rPr>
          <w:i/>
          <w:iCs/>
        </w:rPr>
        <w:t>Devotions</w:t>
      </w:r>
      <w:r w:rsidR="004101D4" w:rsidRPr="001D5818">
        <w:rPr>
          <w:i/>
          <w:iCs/>
        </w:rPr>
        <w:t xml:space="preserve"> Upon Emergent Occasions Together </w:t>
      </w:r>
      <w:proofErr w:type="gramStart"/>
      <w:r w:rsidR="004101D4" w:rsidRPr="001D5818">
        <w:rPr>
          <w:i/>
          <w:iCs/>
        </w:rPr>
        <w:t>With</w:t>
      </w:r>
      <w:proofErr w:type="gramEnd"/>
      <w:r w:rsidR="004101D4" w:rsidRPr="001D5818">
        <w:rPr>
          <w:i/>
          <w:iCs/>
        </w:rPr>
        <w:t xml:space="preserve"> Death’s Duel’</w:t>
      </w:r>
      <w:r w:rsidR="004101D4">
        <w:t>, Project Gutenberg, (2007)</w:t>
      </w:r>
      <w:r w:rsidR="00AD50EF">
        <w:t>.</w:t>
      </w:r>
      <w:r w:rsidR="00907E9C">
        <w:t xml:space="preserve"> Available at:</w:t>
      </w:r>
      <w:r w:rsidR="004101D4">
        <w:t xml:space="preserve"> </w:t>
      </w:r>
      <w:bookmarkStart w:id="4" w:name="_Hlk72228000"/>
      <w:r w:rsidR="004101D4" w:rsidRPr="004101D4">
        <w:t xml:space="preserve">&lt; </w:t>
      </w:r>
      <w:hyperlink r:id="rId9" w:anchor="Page_1" w:history="1">
        <w:r w:rsidR="004101D4" w:rsidRPr="009F19AB">
          <w:rPr>
            <w:rStyle w:val="Hyperlink"/>
          </w:rPr>
          <w:t>https://www.gutenberg.org/files/23772/23772-h/23772-h.htm#Page_1</w:t>
        </w:r>
      </w:hyperlink>
      <w:bookmarkEnd w:id="4"/>
      <w:r w:rsidR="004101D4">
        <w:t xml:space="preserve"> &gt;,</w:t>
      </w:r>
      <w:r w:rsidR="007D5564">
        <w:t xml:space="preserve"> [Accessed 16 May 2021],</w:t>
      </w:r>
      <w:r>
        <w:t xml:space="preserve"> p. 109.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7926"/>
    <w:rsid w:val="00011A43"/>
    <w:rsid w:val="000143C9"/>
    <w:rsid w:val="000200BB"/>
    <w:rsid w:val="00020EA6"/>
    <w:rsid w:val="000276B7"/>
    <w:rsid w:val="000300F4"/>
    <w:rsid w:val="00035B74"/>
    <w:rsid w:val="000432B6"/>
    <w:rsid w:val="00053659"/>
    <w:rsid w:val="00055B94"/>
    <w:rsid w:val="00070930"/>
    <w:rsid w:val="00085BDB"/>
    <w:rsid w:val="00093279"/>
    <w:rsid w:val="000972BB"/>
    <w:rsid w:val="000B3F11"/>
    <w:rsid w:val="000F19FA"/>
    <w:rsid w:val="001050DB"/>
    <w:rsid w:val="00135AA4"/>
    <w:rsid w:val="00140345"/>
    <w:rsid w:val="00144A90"/>
    <w:rsid w:val="00157BBB"/>
    <w:rsid w:val="0016345E"/>
    <w:rsid w:val="001A5BE5"/>
    <w:rsid w:val="001A686A"/>
    <w:rsid w:val="001A7133"/>
    <w:rsid w:val="001B01FF"/>
    <w:rsid w:val="001B2FE0"/>
    <w:rsid w:val="001C107B"/>
    <w:rsid w:val="001C47CC"/>
    <w:rsid w:val="001D5818"/>
    <w:rsid w:val="00201500"/>
    <w:rsid w:val="00202CF1"/>
    <w:rsid w:val="0023418E"/>
    <w:rsid w:val="00245EC7"/>
    <w:rsid w:val="002475AF"/>
    <w:rsid w:val="0026580B"/>
    <w:rsid w:val="00270CEF"/>
    <w:rsid w:val="00282C5B"/>
    <w:rsid w:val="00290B17"/>
    <w:rsid w:val="002B6D73"/>
    <w:rsid w:val="002C5F0B"/>
    <w:rsid w:val="00306FAF"/>
    <w:rsid w:val="0034773C"/>
    <w:rsid w:val="00352243"/>
    <w:rsid w:val="003636D1"/>
    <w:rsid w:val="0038347F"/>
    <w:rsid w:val="00384015"/>
    <w:rsid w:val="003856BD"/>
    <w:rsid w:val="00386E68"/>
    <w:rsid w:val="00387396"/>
    <w:rsid w:val="003B1C00"/>
    <w:rsid w:val="003C05A1"/>
    <w:rsid w:val="003C3697"/>
    <w:rsid w:val="003C67D1"/>
    <w:rsid w:val="003D7D50"/>
    <w:rsid w:val="003E0EE7"/>
    <w:rsid w:val="00407E15"/>
    <w:rsid w:val="004101D4"/>
    <w:rsid w:val="0041036E"/>
    <w:rsid w:val="004205DF"/>
    <w:rsid w:val="004651FD"/>
    <w:rsid w:val="00474070"/>
    <w:rsid w:val="004761BF"/>
    <w:rsid w:val="00483A79"/>
    <w:rsid w:val="004A533F"/>
    <w:rsid w:val="004F1D5F"/>
    <w:rsid w:val="0050348C"/>
    <w:rsid w:val="00505FF4"/>
    <w:rsid w:val="00507D90"/>
    <w:rsid w:val="00520C8B"/>
    <w:rsid w:val="00524717"/>
    <w:rsid w:val="005355DC"/>
    <w:rsid w:val="00544FD7"/>
    <w:rsid w:val="005A3A25"/>
    <w:rsid w:val="006050A2"/>
    <w:rsid w:val="00617D82"/>
    <w:rsid w:val="00620C0D"/>
    <w:rsid w:val="00624223"/>
    <w:rsid w:val="00642277"/>
    <w:rsid w:val="006460B4"/>
    <w:rsid w:val="00647BB5"/>
    <w:rsid w:val="006617A0"/>
    <w:rsid w:val="00690579"/>
    <w:rsid w:val="0069162B"/>
    <w:rsid w:val="006A7A61"/>
    <w:rsid w:val="006B6179"/>
    <w:rsid w:val="006D27B1"/>
    <w:rsid w:val="00701E21"/>
    <w:rsid w:val="00734511"/>
    <w:rsid w:val="00746D33"/>
    <w:rsid w:val="00752923"/>
    <w:rsid w:val="007855D2"/>
    <w:rsid w:val="007D5564"/>
    <w:rsid w:val="007E13E1"/>
    <w:rsid w:val="007E5BB9"/>
    <w:rsid w:val="007F5B6B"/>
    <w:rsid w:val="00800A13"/>
    <w:rsid w:val="00803791"/>
    <w:rsid w:val="008041FE"/>
    <w:rsid w:val="00864D34"/>
    <w:rsid w:val="008960A9"/>
    <w:rsid w:val="008A2071"/>
    <w:rsid w:val="008A6EFB"/>
    <w:rsid w:val="008B45BB"/>
    <w:rsid w:val="008C49F3"/>
    <w:rsid w:val="008C6C00"/>
    <w:rsid w:val="008D1C34"/>
    <w:rsid w:val="008E1737"/>
    <w:rsid w:val="008F1D3C"/>
    <w:rsid w:val="008F7967"/>
    <w:rsid w:val="00907E9C"/>
    <w:rsid w:val="00910A21"/>
    <w:rsid w:val="00925109"/>
    <w:rsid w:val="00932191"/>
    <w:rsid w:val="00935B0C"/>
    <w:rsid w:val="00937EF0"/>
    <w:rsid w:val="00956610"/>
    <w:rsid w:val="00983A38"/>
    <w:rsid w:val="0099097D"/>
    <w:rsid w:val="009D5F09"/>
    <w:rsid w:val="00A04A7B"/>
    <w:rsid w:val="00A31FBF"/>
    <w:rsid w:val="00A706F3"/>
    <w:rsid w:val="00A7159D"/>
    <w:rsid w:val="00A83E03"/>
    <w:rsid w:val="00A87E31"/>
    <w:rsid w:val="00AA0057"/>
    <w:rsid w:val="00AC785E"/>
    <w:rsid w:val="00AD2E8E"/>
    <w:rsid w:val="00AD50EF"/>
    <w:rsid w:val="00AF1416"/>
    <w:rsid w:val="00B02CEB"/>
    <w:rsid w:val="00B06F1E"/>
    <w:rsid w:val="00B12F57"/>
    <w:rsid w:val="00B3021C"/>
    <w:rsid w:val="00B40678"/>
    <w:rsid w:val="00B41DB4"/>
    <w:rsid w:val="00B96F06"/>
    <w:rsid w:val="00BD49C7"/>
    <w:rsid w:val="00BE4620"/>
    <w:rsid w:val="00BF402E"/>
    <w:rsid w:val="00C002ED"/>
    <w:rsid w:val="00C04C73"/>
    <w:rsid w:val="00C23B14"/>
    <w:rsid w:val="00C44EC6"/>
    <w:rsid w:val="00C651AB"/>
    <w:rsid w:val="00C67839"/>
    <w:rsid w:val="00C73E07"/>
    <w:rsid w:val="00CC039A"/>
    <w:rsid w:val="00CD43C0"/>
    <w:rsid w:val="00CF0B07"/>
    <w:rsid w:val="00CF4975"/>
    <w:rsid w:val="00CF662D"/>
    <w:rsid w:val="00D00535"/>
    <w:rsid w:val="00D06045"/>
    <w:rsid w:val="00D46AD6"/>
    <w:rsid w:val="00D74F52"/>
    <w:rsid w:val="00D80A26"/>
    <w:rsid w:val="00D904E0"/>
    <w:rsid w:val="00D92335"/>
    <w:rsid w:val="00DA1050"/>
    <w:rsid w:val="00DA3DC0"/>
    <w:rsid w:val="00DA5508"/>
    <w:rsid w:val="00DD02BA"/>
    <w:rsid w:val="00E066E2"/>
    <w:rsid w:val="00E44B8F"/>
    <w:rsid w:val="00E5431B"/>
    <w:rsid w:val="00E90454"/>
    <w:rsid w:val="00EE566B"/>
    <w:rsid w:val="00F013EC"/>
    <w:rsid w:val="00F22474"/>
    <w:rsid w:val="00F56D8C"/>
    <w:rsid w:val="00F813F2"/>
    <w:rsid w:val="00FB7926"/>
    <w:rsid w:val="00FB7F43"/>
    <w:rsid w:val="00FE512B"/>
    <w:rsid w:val="00FF718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176C9C3"/>
  <w15:chartTrackingRefBased/>
  <w15:docId w15:val="{E08DB93F-09ED-43C4-BE46-9944D5A68B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855D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855D2"/>
    <w:rPr>
      <w:sz w:val="20"/>
      <w:szCs w:val="20"/>
    </w:rPr>
  </w:style>
  <w:style w:type="character" w:styleId="FootnoteReference">
    <w:name w:val="footnote reference"/>
    <w:basedOn w:val="DefaultParagraphFont"/>
    <w:uiPriority w:val="99"/>
    <w:semiHidden/>
    <w:unhideWhenUsed/>
    <w:rsid w:val="007855D2"/>
    <w:rPr>
      <w:vertAlign w:val="superscript"/>
    </w:rPr>
  </w:style>
  <w:style w:type="character" w:styleId="Hyperlink">
    <w:name w:val="Hyperlink"/>
    <w:basedOn w:val="DefaultParagraphFont"/>
    <w:uiPriority w:val="99"/>
    <w:unhideWhenUsed/>
    <w:rsid w:val="00290B17"/>
    <w:rPr>
      <w:color w:val="0563C1" w:themeColor="hyperlink"/>
      <w:u w:val="single"/>
    </w:rPr>
  </w:style>
  <w:style w:type="character" w:styleId="UnresolvedMention">
    <w:name w:val="Unresolved Mention"/>
    <w:basedOn w:val="DefaultParagraphFont"/>
    <w:uiPriority w:val="99"/>
    <w:semiHidden/>
    <w:unhideWhenUsed/>
    <w:rsid w:val="00290B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biography/John-Donne" TargetMode="External"/><Relationship Id="rId3" Type="http://schemas.openxmlformats.org/officeDocument/2006/relationships/settings" Target="settings.xml"/><Relationship Id="rId7" Type="http://schemas.openxmlformats.org/officeDocument/2006/relationships/hyperlink" Target="https://www.gutenberg.org/files/23772/23772-h/23772-h.ht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s://www.gutenberg.org/files/23772/23772-h/23772-h.htm" TargetMode="External"/><Relationship Id="rId3" Type="http://schemas.openxmlformats.org/officeDocument/2006/relationships/hyperlink" Target="https://www.gutenberg.org/files/23772/23772-h/23772-h.htm" TargetMode="External"/><Relationship Id="rId7" Type="http://schemas.openxmlformats.org/officeDocument/2006/relationships/hyperlink" Target="https://www.gutenberg.org/files/23772/23772-h/23772-h.htm" TargetMode="External"/><Relationship Id="rId2" Type="http://schemas.openxmlformats.org/officeDocument/2006/relationships/hyperlink" Target="https://www.gutenberg.org/files/23772/23772-h/23772-h.htm" TargetMode="External"/><Relationship Id="rId1" Type="http://schemas.openxmlformats.org/officeDocument/2006/relationships/hyperlink" Target="https://www.gutenberg.org/files/23772/23772-h/23772-h.htm" TargetMode="External"/><Relationship Id="rId6" Type="http://schemas.openxmlformats.org/officeDocument/2006/relationships/hyperlink" Target="https://www.gutenberg.org/files/23772/23772-h/23772-h.htm" TargetMode="External"/><Relationship Id="rId5" Type="http://schemas.openxmlformats.org/officeDocument/2006/relationships/hyperlink" Target="https://www.gutenberg.org/files/23772/23772-h/23772-h.htm" TargetMode="External"/><Relationship Id="rId4" Type="http://schemas.openxmlformats.org/officeDocument/2006/relationships/hyperlink" Target="https://www.gutenberg.org/files/23772/23772-h/23772-h.htm" TargetMode="External"/><Relationship Id="rId9" Type="http://schemas.openxmlformats.org/officeDocument/2006/relationships/hyperlink" Target="https://www.gutenberg.org/files/23772/23772-h/23772-h.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6731CC-092C-4645-8957-740874EE67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2370</TotalTime>
  <Pages>7</Pages>
  <Words>2157</Words>
  <Characters>11090</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Sadler</dc:creator>
  <cp:keywords/>
  <dc:description/>
  <cp:lastModifiedBy>Ana Sadler</cp:lastModifiedBy>
  <cp:revision>167</cp:revision>
  <dcterms:created xsi:type="dcterms:W3CDTF">2021-05-09T11:36:00Z</dcterms:created>
  <dcterms:modified xsi:type="dcterms:W3CDTF">2021-05-18T20:28:00Z</dcterms:modified>
</cp:coreProperties>
</file>