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52BC00" wp14:paraId="6550916A" wp14:textId="7C275539">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Name: Nina Mya </w:t>
      </w:r>
    </w:p>
    <w:p xmlns:wp14="http://schemas.microsoft.com/office/word/2010/wordml" w:rsidP="0F52BC00" wp14:paraId="11396602" wp14:textId="78FB8283">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Number: 2328173 </w:t>
      </w:r>
    </w:p>
    <w:p xmlns:wp14="http://schemas.microsoft.com/office/word/2010/wordml" w:rsidP="0F52BC00" wp14:paraId="07418166" wp14:textId="56A1F072">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Certificate of Higher Education Skills for the Workplace (Health &amp; Social Care) </w:t>
      </w:r>
    </w:p>
    <w:p xmlns:wp14="http://schemas.microsoft.com/office/word/2010/wordml" w:rsidP="0F52BC00" wp14:paraId="3DC8BD0F" wp14:textId="12AAD724">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Module:</w:t>
      </w: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 Digital Skills and Research Methods</w:t>
      </w:r>
    </w:p>
    <w:p xmlns:wp14="http://schemas.microsoft.com/office/word/2010/wordml" w:rsidP="0F52BC00" wp14:paraId="38CA8D2B" wp14:textId="31CC1763">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 LCHS4007</w:t>
      </w:r>
    </w:p>
    <w:p xmlns:wp14="http://schemas.microsoft.com/office/word/2010/wordml" w:rsidP="0F52BC00" wp14:paraId="4C7FEBF8" wp14:textId="18FD4627">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Lecturer:</w:t>
      </w: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 Hajra Mustasim </w:t>
      </w:r>
    </w:p>
    <w:p xmlns:wp14="http://schemas.microsoft.com/office/word/2010/wordml" w:rsidP="0F52BC00" wp14:paraId="7565A3EA" wp14:textId="0EA77FBF">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 Component 2 – Research Report </w:t>
      </w:r>
    </w:p>
    <w:p xmlns:wp14="http://schemas.microsoft.com/office/word/2010/wordml" w:rsidP="0F52BC00" wp14:paraId="4B2C4633" wp14:textId="015984A6">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Submission Date:</w:t>
      </w:r>
      <w:r w:rsidRPr="0F52BC00" w:rsidR="563897F0">
        <w:rPr>
          <w:rFonts w:ascii="Arial" w:hAnsi="Arial" w:eastAsia="Arial" w:cs="Arial"/>
          <w:b w:val="1"/>
          <w:bCs w:val="1"/>
          <w:i w:val="0"/>
          <w:iCs w:val="0"/>
          <w:caps w:val="0"/>
          <w:smallCaps w:val="0"/>
          <w:noProof w:val="0"/>
          <w:color w:val="000000" w:themeColor="text1" w:themeTint="FF" w:themeShade="FF"/>
          <w:sz w:val="22"/>
          <w:szCs w:val="22"/>
          <w:lang w:val="en-GB"/>
        </w:rPr>
        <w:t xml:space="preserve"> 31 July 2026</w:t>
      </w:r>
    </w:p>
    <w:p xmlns:wp14="http://schemas.microsoft.com/office/word/2010/wordml" w:rsidP="0F52BC00" wp14:paraId="5C4C6CCA" wp14:textId="79DFC902">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4CBEF03F" wp14:textId="5E2BF1E9">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33B64A9C" wp14:textId="535D6587">
      <w:pPr>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165A952D" wp14:textId="7A9A746B">
      <w:pPr>
        <w:pStyle w:val="Normal"/>
        <w:spacing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167CFE8" wp14:textId="6852E95B">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4113FC97" wp14:textId="29B7459E">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40A50507" wp14:textId="184352A3">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7B5B458B" wp14:textId="3DA485B3">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3F147785" wp14:textId="0D632105">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70F208D" wp14:textId="03E6914B">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D939824" wp14:textId="73593141">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1D2C248B" wp14:textId="4E4F0770">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55BCD977" wp14:textId="3FD17696">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4C70F5ED" wp14:textId="6BE0C545">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2031FBA3" wp14:textId="23F76A49">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404CAA7F" wp14:textId="78BB22C7">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428D941D" wp14:textId="0CD89630">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3A28A1A6" wp14:textId="3A462224">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371ADF76" wp14:textId="6978BDD7">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1D366B56" wp14:textId="72CFB543">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18294ECE" wp14:textId="721851B3">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430B4758" wp14:textId="5A0B049A">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C019972" wp14:textId="498E91EF">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2093D627" wp14:textId="1FA925EB">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5997D2B4">
        <w:rPr>
          <w:rFonts w:ascii="Arial" w:hAnsi="Arial" w:eastAsia="Arial" w:cs="Arial"/>
          <w:b w:val="1"/>
          <w:bCs w:val="1"/>
          <w:i w:val="0"/>
          <w:iCs w:val="0"/>
          <w:caps w:val="0"/>
          <w:smallCaps w:val="0"/>
          <w:noProof w:val="0"/>
          <w:color w:val="000000" w:themeColor="text1" w:themeTint="FF" w:themeShade="FF"/>
          <w:sz w:val="22"/>
          <w:szCs w:val="22"/>
          <w:lang w:val="en-GB"/>
        </w:rPr>
        <w:t xml:space="preserve">Mental Health Stigma and School Attendance Problems in Children and Young </w:t>
      </w:r>
      <w:r w:rsidRPr="0F52BC00" w:rsidR="5997D2B4">
        <w:rPr>
          <w:rFonts w:ascii="Arial" w:hAnsi="Arial" w:eastAsia="Arial" w:cs="Arial"/>
          <w:b w:val="1"/>
          <w:bCs w:val="1"/>
          <w:i w:val="0"/>
          <w:iCs w:val="0"/>
          <w:caps w:val="0"/>
          <w:smallCaps w:val="0"/>
          <w:noProof w:val="0"/>
          <w:color w:val="000000" w:themeColor="text1" w:themeTint="FF" w:themeShade="FF"/>
          <w:sz w:val="22"/>
          <w:szCs w:val="22"/>
          <w:lang w:val="en-GB"/>
        </w:rPr>
        <w:t>People in the UK</w:t>
      </w:r>
    </w:p>
    <w:p xmlns:wp14="http://schemas.microsoft.com/office/word/2010/wordml" w:rsidP="0F52BC00" wp14:paraId="4C5B3BDB" wp14:textId="224ADD45">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548B521" wp14:textId="40309E43">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5997D2B4">
        <w:rPr>
          <w:rFonts w:ascii="Arial" w:hAnsi="Arial" w:eastAsia="Arial" w:cs="Arial"/>
          <w:b w:val="1"/>
          <w:bCs w:val="1"/>
          <w:i w:val="0"/>
          <w:iCs w:val="0"/>
          <w:caps w:val="0"/>
          <w:smallCaps w:val="0"/>
          <w:noProof w:val="0"/>
          <w:color w:val="000000" w:themeColor="text1" w:themeTint="FF" w:themeShade="FF"/>
          <w:sz w:val="22"/>
          <w:szCs w:val="22"/>
          <w:lang w:val="en-GB"/>
        </w:rPr>
        <w:t>Contents</w:t>
      </w:r>
    </w:p>
    <w:p xmlns:wp14="http://schemas.microsoft.com/office/word/2010/wordml" w:rsidP="0F52BC00" wp14:paraId="60B198A9" wp14:textId="34F5753F">
      <w:pPr>
        <w:pStyle w:val="ListParagraph"/>
        <w:numPr>
          <w:ilvl w:val="0"/>
          <w:numId w:val="1"/>
        </w:numPr>
        <w:spacing w:before="240" w:beforeAutospacing="off" w:after="240" w:afterAutospacing="off"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5997D2B4">
        <w:rPr>
          <w:rFonts w:ascii="Arial" w:hAnsi="Arial" w:eastAsia="Arial" w:cs="Arial"/>
          <w:b w:val="0"/>
          <w:bCs w:val="0"/>
          <w:i w:val="0"/>
          <w:iCs w:val="0"/>
          <w:caps w:val="0"/>
          <w:smallCaps w:val="0"/>
          <w:noProof w:val="0"/>
          <w:color w:val="000000" w:themeColor="text1" w:themeTint="FF" w:themeShade="FF"/>
          <w:sz w:val="22"/>
          <w:szCs w:val="22"/>
          <w:lang w:val="en-GB"/>
        </w:rPr>
        <w:t>Introduction</w:t>
      </w:r>
    </w:p>
    <w:p xmlns:wp14="http://schemas.microsoft.com/office/word/2010/wordml" w:rsidP="0F52BC00" wp14:paraId="294DBE46" wp14:textId="6A516935">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7BB4C1DE" wp14:textId="48FF17CB">
      <w:pPr>
        <w:pStyle w:val="ListParagraph"/>
        <w:numPr>
          <w:ilvl w:val="0"/>
          <w:numId w:val="1"/>
        </w:numPr>
        <w:spacing w:before="240" w:beforeAutospacing="off" w:after="240" w:afterAutospacing="off"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5997D2B4">
        <w:rPr>
          <w:rFonts w:ascii="Arial" w:hAnsi="Arial" w:eastAsia="Arial" w:cs="Arial"/>
          <w:b w:val="0"/>
          <w:bCs w:val="0"/>
          <w:i w:val="0"/>
          <w:iCs w:val="0"/>
          <w:caps w:val="0"/>
          <w:smallCaps w:val="0"/>
          <w:noProof w:val="0"/>
          <w:color w:val="000000" w:themeColor="text1" w:themeTint="FF" w:themeShade="FF"/>
          <w:sz w:val="22"/>
          <w:szCs w:val="22"/>
          <w:lang w:val="en-GB"/>
        </w:rPr>
        <w:t>Task 1: Selection of a Research Topic</w:t>
      </w:r>
    </w:p>
    <w:p xmlns:wp14="http://schemas.microsoft.com/office/word/2010/wordml" w:rsidP="0F52BC00" wp14:paraId="396C5285" wp14:textId="49FA3F08">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4A8D6765" wp14:textId="4CE9B733">
      <w:pPr>
        <w:pStyle w:val="ListParagraph"/>
        <w:numPr>
          <w:ilvl w:val="0"/>
          <w:numId w:val="1"/>
        </w:numPr>
        <w:spacing w:before="240" w:beforeAutospacing="off" w:after="240" w:afterAutospacing="off"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5997D2B4">
        <w:rPr>
          <w:rFonts w:ascii="Arial" w:hAnsi="Arial" w:eastAsia="Arial" w:cs="Arial"/>
          <w:b w:val="0"/>
          <w:bCs w:val="0"/>
          <w:i w:val="0"/>
          <w:iCs w:val="0"/>
          <w:caps w:val="0"/>
          <w:smallCaps w:val="0"/>
          <w:noProof w:val="0"/>
          <w:color w:val="000000" w:themeColor="text1" w:themeTint="FF" w:themeShade="FF"/>
          <w:sz w:val="22"/>
          <w:szCs w:val="22"/>
          <w:lang w:val="en-GB"/>
        </w:rPr>
        <w:t>Task 2: Evaluating Information Sources</w:t>
      </w:r>
    </w:p>
    <w:p xmlns:wp14="http://schemas.microsoft.com/office/word/2010/wordml" w:rsidP="0F52BC00" wp14:paraId="7CED99F0" wp14:textId="4A657977">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3E0B1520" wp14:textId="61655B22">
      <w:pPr>
        <w:pStyle w:val="ListParagraph"/>
        <w:numPr>
          <w:ilvl w:val="0"/>
          <w:numId w:val="1"/>
        </w:numPr>
        <w:spacing w:before="240" w:beforeAutospacing="off" w:after="240" w:afterAutospacing="off"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5997D2B4">
        <w:rPr>
          <w:rFonts w:ascii="Arial" w:hAnsi="Arial" w:eastAsia="Arial" w:cs="Arial"/>
          <w:b w:val="0"/>
          <w:bCs w:val="0"/>
          <w:i w:val="0"/>
          <w:iCs w:val="0"/>
          <w:caps w:val="0"/>
          <w:smallCaps w:val="0"/>
          <w:noProof w:val="0"/>
          <w:color w:val="000000" w:themeColor="text1" w:themeTint="FF" w:themeShade="FF"/>
          <w:sz w:val="22"/>
          <w:szCs w:val="22"/>
          <w:lang w:val="en-GB"/>
        </w:rPr>
        <w:t>Task 3: Research Methodologies</w:t>
      </w:r>
    </w:p>
    <w:p xmlns:wp14="http://schemas.microsoft.com/office/word/2010/wordml" w:rsidP="0F52BC00" wp14:paraId="2927A8A2" wp14:textId="539F75C2">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08FF0786" wp14:textId="25F123FE">
      <w:pPr>
        <w:pStyle w:val="ListParagraph"/>
        <w:numPr>
          <w:ilvl w:val="0"/>
          <w:numId w:val="1"/>
        </w:numPr>
        <w:spacing w:before="240" w:beforeAutospacing="off" w:after="240" w:afterAutospacing="off"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5997D2B4">
        <w:rPr>
          <w:rFonts w:ascii="Arial" w:hAnsi="Arial" w:eastAsia="Arial" w:cs="Arial"/>
          <w:b w:val="0"/>
          <w:bCs w:val="0"/>
          <w:i w:val="0"/>
          <w:iCs w:val="0"/>
          <w:caps w:val="0"/>
          <w:smallCaps w:val="0"/>
          <w:noProof w:val="0"/>
          <w:color w:val="000000" w:themeColor="text1" w:themeTint="FF" w:themeShade="FF"/>
          <w:sz w:val="22"/>
          <w:szCs w:val="22"/>
          <w:lang w:val="en-GB"/>
        </w:rPr>
        <w:t>Task 4: Data Collection</w:t>
      </w:r>
    </w:p>
    <w:p xmlns:wp14="http://schemas.microsoft.com/office/word/2010/wordml" w:rsidP="0F52BC00" wp14:paraId="250A1449" wp14:textId="6754DF8B">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D46F6F3" wp14:textId="1E00BD01">
      <w:pPr>
        <w:pStyle w:val="ListParagraph"/>
        <w:numPr>
          <w:ilvl w:val="0"/>
          <w:numId w:val="1"/>
        </w:numPr>
        <w:spacing w:before="240" w:beforeAutospacing="off" w:after="240" w:afterAutospacing="off"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5997D2B4">
        <w:rPr>
          <w:rFonts w:ascii="Arial" w:hAnsi="Arial" w:eastAsia="Arial" w:cs="Arial"/>
          <w:b w:val="0"/>
          <w:bCs w:val="0"/>
          <w:i w:val="0"/>
          <w:iCs w:val="0"/>
          <w:caps w:val="0"/>
          <w:smallCaps w:val="0"/>
          <w:noProof w:val="0"/>
          <w:color w:val="000000" w:themeColor="text1" w:themeTint="FF" w:themeShade="FF"/>
          <w:sz w:val="22"/>
          <w:szCs w:val="22"/>
          <w:lang w:val="en-GB"/>
        </w:rPr>
        <w:t>Conclusion</w:t>
      </w:r>
    </w:p>
    <w:p xmlns:wp14="http://schemas.microsoft.com/office/word/2010/wordml" w:rsidP="0F52BC00" wp14:paraId="0152E6A0" wp14:textId="702D9F65">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3E330AB6" wp14:textId="42704E58">
      <w:pPr>
        <w:pStyle w:val="ListParagraph"/>
        <w:numPr>
          <w:ilvl w:val="0"/>
          <w:numId w:val="1"/>
        </w:numPr>
        <w:spacing w:before="240" w:beforeAutospacing="off" w:after="240" w:afterAutospacing="off"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5997D2B4">
        <w:rPr>
          <w:rFonts w:ascii="Arial" w:hAnsi="Arial" w:eastAsia="Arial" w:cs="Arial"/>
          <w:b w:val="0"/>
          <w:bCs w:val="0"/>
          <w:i w:val="0"/>
          <w:iCs w:val="0"/>
          <w:caps w:val="0"/>
          <w:smallCaps w:val="0"/>
          <w:noProof w:val="0"/>
          <w:color w:val="000000" w:themeColor="text1" w:themeTint="FF" w:themeShade="FF"/>
          <w:sz w:val="22"/>
          <w:szCs w:val="22"/>
          <w:lang w:val="en-GB"/>
        </w:rPr>
        <w:t>References</w:t>
      </w:r>
    </w:p>
    <w:p xmlns:wp14="http://schemas.microsoft.com/office/word/2010/wordml" w:rsidP="0F52BC00" wp14:paraId="63A2ABEB" wp14:textId="64037846">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5070C04F" wp14:textId="2340BF25">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46E88407" wp14:textId="309C4523">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41DDE7ED" wp14:textId="3B34DE3D">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435A0D62" wp14:textId="46518241">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6294BBFC" wp14:textId="16BA8D32">
      <w:pPr>
        <w:pStyle w:val="ListParagraph"/>
        <w:spacing w:before="240" w:beforeAutospacing="off" w:after="240" w:afterAutospacing="off" w:line="276"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C3B795D" wp14:textId="4C3F2021">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9A60D68" wp14:textId="2CC5F763">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084A00C1" wp14:textId="023070B6">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16AE2A9" wp14:textId="6C88653E">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E07BEAE" wp14:textId="685C391F">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53AC15E7" wp14:textId="34453F4E">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53B8DDF7" wp14:textId="735D85FB">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70B8DE64" wp14:textId="5D7A45BF">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735527E1" wp14:textId="7B518CEE">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2D69C171" wp14:textId="39935C40">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10CBD1B0" wp14:textId="59AD9A03">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486A0D0A" wp14:textId="08759926">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61B107EF" wp14:textId="165AF1A4">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30E5E8E1" wp14:textId="1E914353">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7E94FE4E" wp14:textId="05D16C97">
      <w:pPr>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1FEA131A">
        <w:rPr>
          <w:rFonts w:ascii="Arial" w:hAnsi="Arial" w:eastAsia="Arial" w:cs="Arial"/>
          <w:b w:val="1"/>
          <w:bCs w:val="1"/>
          <w:i w:val="0"/>
          <w:iCs w:val="0"/>
          <w:caps w:val="0"/>
          <w:smallCaps w:val="0"/>
          <w:noProof w:val="0"/>
          <w:color w:val="000000" w:themeColor="text1" w:themeTint="FF" w:themeShade="FF"/>
          <w:sz w:val="22"/>
          <w:szCs w:val="22"/>
          <w:lang w:val="en-GB"/>
        </w:rPr>
        <w:t xml:space="preserve">Introduction </w:t>
      </w:r>
    </w:p>
    <w:p xmlns:wp14="http://schemas.microsoft.com/office/word/2010/wordml" w:rsidP="0F52BC00" wp14:paraId="39195421" wp14:textId="11A532A6">
      <w:pPr>
        <w:pStyle w:val="Normal"/>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90540EF">
        <w:rPr>
          <w:rFonts w:ascii="Arial" w:hAnsi="Arial" w:eastAsia="Arial" w:cs="Arial"/>
          <w:b w:val="0"/>
          <w:bCs w:val="0"/>
          <w:i w:val="0"/>
          <w:iCs w:val="0"/>
          <w:caps w:val="0"/>
          <w:smallCaps w:val="0"/>
          <w:noProof w:val="0"/>
          <w:color w:val="000000" w:themeColor="text1" w:themeTint="FF" w:themeShade="FF"/>
          <w:sz w:val="22"/>
          <w:szCs w:val="22"/>
          <w:lang w:val="en-GB"/>
        </w:rPr>
        <w:t>This report explores the relationship between mental health stigma and school attendance problems among children and young people in the UK. Since the COVID</w:t>
      </w:r>
      <w:r>
        <w:noBreakHyphen/>
      </w:r>
      <w:r w:rsidRPr="0F52BC00" w:rsidR="390540EF">
        <w:rPr>
          <w:rFonts w:ascii="Arial" w:hAnsi="Arial" w:eastAsia="Arial" w:cs="Arial"/>
          <w:b w:val="0"/>
          <w:bCs w:val="0"/>
          <w:i w:val="0"/>
          <w:iCs w:val="0"/>
          <w:caps w:val="0"/>
          <w:smallCaps w:val="0"/>
          <w:noProof w:val="0"/>
          <w:color w:val="000000" w:themeColor="text1" w:themeTint="FF" w:themeShade="FF"/>
          <w:sz w:val="22"/>
          <w:szCs w:val="22"/>
          <w:lang w:val="en-GB"/>
        </w:rPr>
        <w:t>19 pandemic, these issues have become increasingly visible, with rising levels of anxiety, persistent absence, and reduced access to support services. Research shows that attendance difficulties have been particularly challenging for children with pre</w:t>
      </w:r>
      <w:r>
        <w:noBreakHyphen/>
      </w:r>
      <w:r w:rsidRPr="0F52BC00" w:rsidR="390540EF">
        <w:rPr>
          <w:rFonts w:ascii="Arial" w:hAnsi="Arial" w:eastAsia="Arial" w:cs="Arial"/>
          <w:b w:val="0"/>
          <w:bCs w:val="0"/>
          <w:i w:val="0"/>
          <w:iCs w:val="0"/>
          <w:caps w:val="0"/>
          <w:smallCaps w:val="0"/>
          <w:noProof w:val="0"/>
          <w:color w:val="000000" w:themeColor="text1" w:themeTint="FF" w:themeShade="FF"/>
          <w:sz w:val="22"/>
          <w:szCs w:val="22"/>
          <w:lang w:val="en-GB"/>
        </w:rPr>
        <w:t>existing anxiety or special educational needs (SEN), who often struggled to adapt to new routines and expectations after school closures (McDonald et al., 2022). This report identifies why this issue matters, evaluates credible academic and policy sources, and outlines how a small research project could be designed to investigate it further. It concludes with a reflection on why this topic is personally relevant to my future career as an Early Years Mental Health Practitioner.</w:t>
      </w:r>
    </w:p>
    <w:p xmlns:wp14="http://schemas.microsoft.com/office/word/2010/wordml" w:rsidP="0F52BC00" wp14:paraId="157F9CF5" wp14:textId="2DF3A947">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49500402" wp14:textId="5A62B9CF">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1CE25200" wp14:textId="46C7406F">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709ADF02" wp14:textId="3AC302BD">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306690A6" wp14:textId="2ED83120">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5DC80ED6" wp14:textId="6BC3FE53">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65F9992" wp14:textId="5990C77B">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5614DBF7" wp14:textId="3B54271F">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ABD2DEF" wp14:textId="5DFB6088">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6D968EB" wp14:textId="3FA6C4D3">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5D5DD57" wp14:textId="172F0401">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E262D1D" wp14:textId="3F85404B">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06818E2F" wp14:textId="09A58D4C">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CA0AE34" wp14:textId="422C3ABC">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51CE000" wp14:textId="05BC1BA5">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37D0BB4" wp14:textId="53C0ADB7">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75752FBF" wp14:textId="1A6D4F34">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7DAB6930" wp14:textId="56568B3F">
      <w:pPr>
        <w:pStyle w:val="Heading2"/>
        <w:spacing w:before="240" w:beforeAutospacing="off" w:after="240" w:afterAutospacing="off" w:line="276" w:lineRule="auto"/>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6C3A91E4">
        <w:rPr>
          <w:rFonts w:ascii="Arial" w:hAnsi="Arial" w:eastAsia="Arial" w:cs="Arial"/>
          <w:b w:val="1"/>
          <w:bCs w:val="1"/>
          <w:i w:val="0"/>
          <w:iCs w:val="0"/>
          <w:caps w:val="0"/>
          <w:smallCaps w:val="0"/>
          <w:noProof w:val="0"/>
          <w:color w:val="000000" w:themeColor="text1" w:themeTint="FF" w:themeShade="FF"/>
          <w:sz w:val="22"/>
          <w:szCs w:val="22"/>
          <w:lang w:val="en-GB"/>
        </w:rPr>
        <w:t xml:space="preserve">Task 1: Selection of a Research Topic </w:t>
      </w:r>
    </w:p>
    <w:p xmlns:wp14="http://schemas.microsoft.com/office/word/2010/wordml" w:rsidP="0F52BC00" wp14:paraId="0CA5105B" wp14:textId="718876C6">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Mental health stigma and school attendance problems have become major concerns in the UK healthcare and education sectors. Persistent absence among children has risen sharply since the pandemic, with the Department for Education reporting that 22% of pupils were persistently absent in Autumn 2021, compared to 10.8% before the pandemic (Department for Education, 2022). Qualitative research shows that anxiety, disrupted routines, and fear of returning to school were major contributors to attendance difficulties, especially for children with SEN or pre</w:t>
      </w:r>
      <w:r>
        <w:noBreakHyphen/>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existing anxiety (McDonald et al., 2022). These children often experienced heightened distress when routines changed or when support systems were disrupted.</w:t>
      </w:r>
    </w:p>
    <w:p xmlns:wp14="http://schemas.microsoft.com/office/word/2010/wordml" w:rsidP="0F52BC00" wp14:paraId="656E85D7" wp14:textId="02B417F3">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 xml:space="preserve">Mental health stigma </w:t>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remains</w:t>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 xml:space="preserve"> a significant barrier to early intervention. Young Minds (2024) highlights that many children avoid seeking help because they fear </w:t>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being judged</w:t>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 xml:space="preserve"> or misunderstood. This stigma can prevent families from accessing support, delay diagnosis, and worsen attendance problems. The Children’s Commissioner (2023) also reports long waiting lists for mental health services, meaning children often struggle without </w:t>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timely</w:t>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support.</w:t>
      </w:r>
    </w:p>
    <w:p xmlns:wp14="http://schemas.microsoft.com/office/word/2010/wordml" w:rsidP="0F52BC00" wp14:paraId="5D1F4904" wp14:textId="04441BA8">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Wider system pressures also contribute to these challenges. Research on organisational resilience in care settings shows that staff often work under high demand and limited capacity, requiring constant adaptation to meet complex needs (Ross et al., 2022). Although this study focuses on care homes, similar pressures exist in schools and children’s services, where staff shortages and increased mental health needs can reduce the availability of early support. Additionally, barriers such as fear, low confidence, and environmental stressors can reduce participation in everyday activities, including school attendance (Kilgour et al., 2024).</w:t>
      </w:r>
    </w:p>
    <w:p xmlns:wp14="http://schemas.microsoft.com/office/word/2010/wordml" w:rsidP="0F52BC00" wp14:paraId="60D13BED" wp14:textId="56F8C362">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This topic matters because school attendance is closely linked to long</w:t>
      </w:r>
      <w:r>
        <w:noBreakHyphen/>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term wellbeing, academic achievement, and social development. Persistent absence can lead to isolation, reduced confidence, and worsening mental health. For organisations, high absence rates create pressure on schools, local authorities, and NHS mental health services. For families, attendance problems can cause stress, conflict, and financial strain.</w:t>
      </w:r>
    </w:p>
    <w:p xmlns:wp14="http://schemas.microsoft.com/office/word/2010/wordml" w:rsidP="0F52BC00" wp14:paraId="45BFE68A" wp14:textId="640ED14C">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I chose this topic because I aim to become an Early Years Mental Health Practitioner, supporting children who experience anxiety, behavioural difficulties, or emotional distress. Understanding the link between stigma and attendance will help me work more effectively with families and schools. I am also personally interested in how early intervention can prevent long</w:t>
      </w:r>
      <w:r>
        <w:noBreakHyphen/>
      </w:r>
      <w:r w:rsidRPr="0F52BC00" w:rsidR="6C3A91E4">
        <w:rPr>
          <w:rFonts w:ascii="Arial" w:hAnsi="Arial" w:eastAsia="Arial" w:cs="Arial"/>
          <w:b w:val="0"/>
          <w:bCs w:val="0"/>
          <w:i w:val="0"/>
          <w:iCs w:val="0"/>
          <w:caps w:val="0"/>
          <w:smallCaps w:val="0"/>
          <w:noProof w:val="0"/>
          <w:color w:val="000000" w:themeColor="text1" w:themeTint="FF" w:themeShade="FF"/>
          <w:sz w:val="22"/>
          <w:szCs w:val="22"/>
          <w:lang w:val="en-GB"/>
        </w:rPr>
        <w:t>term mental health challenges. This topic aligns with my studies, my future career goals, and my passion for improving children’s wellbeing.</w:t>
      </w:r>
    </w:p>
    <w:p xmlns:wp14="http://schemas.microsoft.com/office/word/2010/wordml" w:rsidP="0F52BC00" wp14:paraId="591D54C0" wp14:textId="248EE57C">
      <w:pPr>
        <w:pStyle w:val="Heading2"/>
        <w:keepNext w:val="1"/>
        <w:keepLines w:val="1"/>
        <w:spacing w:before="299" w:beforeAutospacing="off" w:after="299"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1B71A72F" wp14:textId="1DAD7C38">
      <w:pPr>
        <w:pStyle w:val="Heading2"/>
        <w:keepNext w:val="1"/>
        <w:keepLines w:val="1"/>
        <w:spacing w:before="299" w:beforeAutospacing="off" w:after="299"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15903E32" wp14:textId="355C630A">
      <w:pPr>
        <w:pStyle w:val="Heading2"/>
        <w:keepNext w:val="1"/>
        <w:keepLines w:val="1"/>
        <w:spacing w:before="299" w:beforeAutospacing="off" w:after="299"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Task 2: Evaluating Information Sources</w:t>
      </w:r>
    </w:p>
    <w:p xmlns:wp14="http://schemas.microsoft.com/office/word/2010/wordml" w:rsidP="0F52BC00" wp14:paraId="432BD506" wp14:textId="3EBAC5D6">
      <w:pPr>
        <w:pStyle w:val="Heading3"/>
        <w:keepNext w:val="1"/>
        <w:keepLines w:val="1"/>
        <w:spacing w:before="281" w:beforeAutospacing="off" w:after="281"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Source 1: McDonald et al. (2022)</w:t>
      </w:r>
    </w:p>
    <w:p xmlns:wp14="http://schemas.microsoft.com/office/word/2010/wordml" w:rsidP="0F52BC00" wp14:paraId="402D2283" wp14:textId="013A028E">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McDonald et al. (2022) conducted a qualitative study exploring school attendance problems during the COVID</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19 pandemic. Using surveys and interviews with parents and professionals, the study found that anxiety, disrupted routines, and fear of COVID</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19 significantly increased attendance problems. Children with special educational needs (SEN) were particularly affected, often struggling with sensory overload, social anxiety, and changes to school rules. The study also highlighted the importance of strong home–school communication and early intervention.</w:t>
      </w:r>
    </w:p>
    <w:p xmlns:wp14="http://schemas.microsoft.com/office/word/2010/wordml" w:rsidP="0F52BC00" wp14:paraId="683A23D9" wp14:textId="76F2C098">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This source is highly credible because it is published in the </w:t>
      </w:r>
      <w:r w:rsidRPr="0F52BC00" w:rsidR="3877D992">
        <w:rPr>
          <w:rFonts w:ascii="Arial" w:hAnsi="Arial" w:eastAsia="Arial" w:cs="Arial"/>
          <w:b w:val="0"/>
          <w:bCs w:val="0"/>
          <w:i w:val="1"/>
          <w:iCs w:val="1"/>
          <w:caps w:val="0"/>
          <w:smallCaps w:val="0"/>
          <w:noProof w:val="0"/>
          <w:color w:val="000000" w:themeColor="text1" w:themeTint="FF" w:themeShade="FF"/>
          <w:sz w:val="22"/>
          <w:szCs w:val="22"/>
          <w:lang w:val="en-GB"/>
        </w:rPr>
        <w:t>British Journal of Educational Psychology</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a peer</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reviewed academic journal. It directly supports my topic by showing how anxiety and stigma contribute to attendance problems. A limitation is that the study focuses on the pandemic period, so more research is needed on long</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term trends. However, its detailed qualitative insights make it valuable for understanding the lived experiences of families.</w:t>
      </w:r>
    </w:p>
    <w:p xmlns:wp14="http://schemas.microsoft.com/office/word/2010/wordml" w:rsidP="0F52BC00" wp14:paraId="7DDCFBA7" wp14:textId="70A9B5F8">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54743F87" wp14:textId="36E903CA">
      <w:pPr>
        <w:pStyle w:val="Heading3"/>
        <w:keepNext w:val="1"/>
        <w:keepLines w:val="1"/>
        <w:spacing w:before="281" w:beforeAutospacing="off" w:after="281"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Source 2: Children’s Commissioner (2023)</w:t>
      </w:r>
    </w:p>
    <w:p xmlns:wp14="http://schemas.microsoft.com/office/word/2010/wordml" w:rsidP="0F52BC00" wp14:paraId="55CD7646" wp14:textId="47168702">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The Children’s Commissioner’s report provides national data on mental health access for children. It highlights long waiting times, unequal access to support, and rising levels of anxiety. The report states that many children avoid seeking help due to stigma, fear of judgement, or lack of understanding from adults. It also links poor mental health to persistent absence, showing that children with anxiety are significantly more likely to miss school.</w:t>
      </w:r>
    </w:p>
    <w:p xmlns:wp14="http://schemas.microsoft.com/office/word/2010/wordml" w:rsidP="0F52BC00" wp14:paraId="3C856251" wp14:textId="0E5F4843">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This source is credible because it is produced by an independent statutory body responsible for representing children’s interests in England. It supports my topic by showing how stigma and service gaps contribute to attendance problems. A gap in this source is that it focuses more on service access than on school</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level interventions. However, its national perspective strengthens the argument that attendance problems are linked to wider systemic issues.</w:t>
      </w:r>
    </w:p>
    <w:p xmlns:wp14="http://schemas.microsoft.com/office/word/2010/wordml" w:rsidP="0F52BC00" wp14:paraId="3F695F48" wp14:textId="676B227A">
      <w:pPr>
        <w:pStyle w:val="Heading3"/>
        <w:keepNext w:val="1"/>
        <w:keepLines w:val="1"/>
        <w:spacing w:before="281" w:beforeAutospacing="off" w:after="281"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Source 3: Young Minds (2024)</w:t>
      </w:r>
    </w:p>
    <w:p xmlns:wp14="http://schemas.microsoft.com/office/word/2010/wordml" w:rsidP="0F52BC00" wp14:paraId="00916AD1" wp14:textId="5C7B66F9">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Young Minds is a leading UK mental health charity for children and young people. Their 2024 report highlights that stigma remains a major barrier to seeking help. Many young people report feeling embarrassed or afraid to talk about their mental health. The report also shows that anxiety is one of the most common reasons for school avoidance, especially among younger children.</w:t>
      </w:r>
    </w:p>
    <w:p xmlns:wp14="http://schemas.microsoft.com/office/word/2010/wordml" w:rsidP="0F52BC00" wp14:paraId="07DCA5FB" wp14:textId="59CAEFBA">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Although Young Minds is not an academic journal, it is a credible organisation with strong expertise in child mental health. Their findings support my topic by showing how stigma prevents early intervention and contributes to attendance problems. A limitation is that the data is self</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reported, which may affect accuracy. However, the report provides valuable insight into young people lived experiences and attitudes.</w:t>
      </w:r>
    </w:p>
    <w:p xmlns:wp14="http://schemas.microsoft.com/office/word/2010/wordml" w:rsidP="0F52BC00" wp14:paraId="216E8C84" wp14:textId="69EFBDE3">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0FF610A0" wp14:textId="23441D45">
      <w:pPr>
        <w:pStyle w:val="Heading3"/>
        <w:keepNext w:val="1"/>
        <w:keepLines w:val="1"/>
        <w:spacing w:before="281" w:beforeAutospacing="off" w:after="281"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Source 4: Department for Education (2022)</w:t>
      </w:r>
    </w:p>
    <w:p xmlns:wp14="http://schemas.microsoft.com/office/word/2010/wordml" w:rsidP="0F52BC00" wp14:paraId="5E765CD3" wp14:textId="28A4FE6D">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The D</w:t>
      </w:r>
      <w:r w:rsidRPr="0F52BC00" w:rsidR="5987AF76">
        <w:rPr>
          <w:rFonts w:ascii="Arial" w:hAnsi="Arial" w:eastAsia="Arial" w:cs="Arial"/>
          <w:b w:val="0"/>
          <w:bCs w:val="0"/>
          <w:i w:val="0"/>
          <w:iCs w:val="0"/>
          <w:caps w:val="0"/>
          <w:smallCaps w:val="0"/>
          <w:noProof w:val="0"/>
          <w:color w:val="000000" w:themeColor="text1" w:themeTint="FF" w:themeShade="FF"/>
          <w:sz w:val="22"/>
          <w:szCs w:val="22"/>
          <w:lang w:val="en-GB"/>
        </w:rPr>
        <w:t>F</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E’s </w:t>
      </w:r>
      <w:r w:rsidRPr="0F52BC00" w:rsidR="3877D992">
        <w:rPr>
          <w:rFonts w:ascii="Arial" w:hAnsi="Arial" w:eastAsia="Arial" w:cs="Arial"/>
          <w:b w:val="0"/>
          <w:bCs w:val="0"/>
          <w:i w:val="1"/>
          <w:iCs w:val="1"/>
          <w:caps w:val="0"/>
          <w:smallCaps w:val="0"/>
          <w:noProof w:val="0"/>
          <w:color w:val="000000" w:themeColor="text1" w:themeTint="FF" w:themeShade="FF"/>
          <w:sz w:val="22"/>
          <w:szCs w:val="22"/>
          <w:lang w:val="en-GB"/>
        </w:rPr>
        <w:t>Working Together to Improve Attendance</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 guidance outlines national expectations for schools and local authorities. It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identifies</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 anxiety, mental health difficulties, and family stress as major causes of persistent absence. The guidance emphasises early intervention, multi</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agency working, and supportive conversations with families.</w:t>
      </w:r>
    </w:p>
    <w:p xmlns:wp14="http://schemas.microsoft.com/office/word/2010/wordml" w:rsidP="0F52BC00" wp14:paraId="482B8DFC" wp14:textId="3138C204">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This source is credible because it is official UK government policy. It supports my topic by showing that attendance problems are recognised nationally and linked to mental health. A gap is that the guidance does not fully address stigma or emotional barriers. It focuses more on procedural expectations than on psychological factors, which limits its depth in explaining why children avoid school.</w:t>
      </w:r>
    </w:p>
    <w:p xmlns:wp14="http://schemas.microsoft.com/office/word/2010/wordml" w:rsidP="0F52BC00" wp14:paraId="7ADA7A6D" wp14:textId="699C9019">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614E550B" wp14:textId="29B2E155">
      <w:pPr>
        <w:pStyle w:val="Heading3"/>
        <w:keepNext w:val="1"/>
        <w:keepLines w:val="1"/>
        <w:spacing w:before="281" w:beforeAutospacing="off" w:after="281"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Source 5: NHS England (2024)</w:t>
      </w:r>
    </w:p>
    <w:p xmlns:wp14="http://schemas.microsoft.com/office/word/2010/wordml" w:rsidP="0F52BC00" wp14:paraId="4661C455" wp14:textId="03D35CB8">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The NHS Long Term Plan update (2024) highlights rising demand for children’s mental health services and the need for earlier support. It identifies stigma as a barrier to accessing care and emphasises school</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based mental health teams.</w:t>
      </w:r>
    </w:p>
    <w:p xmlns:wp14="http://schemas.microsoft.com/office/word/2010/wordml" w:rsidP="0F52BC00" wp14:paraId="044BD04D" wp14:textId="19116BB4">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This source is credible and directly relevant to healthcare. It supports my topic by showing how stigma affects help</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seeking behaviour. A limitation is that it focuses more on service delivery than on school attendance specifically. However, it reinforces the argument that mental health stigma is a national concern affecting children’s wellbeing.</w:t>
      </w:r>
    </w:p>
    <w:p xmlns:wp14="http://schemas.microsoft.com/office/word/2010/wordml" w:rsidP="0F52BC00" wp14:paraId="73561450" wp14:textId="2DAC30F9">
      <w:pPr>
        <w:pStyle w:val="Heading2"/>
        <w:keepNext w:val="1"/>
        <w:keepLines w:val="1"/>
        <w:spacing w:before="299" w:beforeAutospacing="off" w:after="299"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Source 6: Ross et al. (2022)</w:t>
      </w:r>
    </w:p>
    <w:p xmlns:wp14="http://schemas.microsoft.com/office/word/2010/wordml" w:rsidP="0F52BC00" wp14:paraId="2A45ACE8" wp14:textId="3D683E1A">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Ross et al. (2022) conducted a qualitative study on organisational resilience in care homes. Although the study focuses on adult care settings, it provides useful insight into how staff adapt to high demand, limited capacity, and complex needs. The authors found that resilience depends on flexible adaptation, coordination, and efficient use of information.</w:t>
      </w:r>
    </w:p>
    <w:p xmlns:wp14="http://schemas.microsoft.com/office/word/2010/wordml" w:rsidP="0F52BC00" wp14:paraId="3FAF69BC" wp14:textId="6B133CDA">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This source is credible because it is published in </w:t>
      </w:r>
      <w:r w:rsidRPr="0F52BC00" w:rsidR="3877D992">
        <w:rPr>
          <w:rFonts w:ascii="Arial" w:hAnsi="Arial" w:eastAsia="Arial" w:cs="Arial"/>
          <w:b w:val="0"/>
          <w:bCs w:val="0"/>
          <w:i w:val="1"/>
          <w:iCs w:val="1"/>
          <w:caps w:val="0"/>
          <w:smallCaps w:val="0"/>
          <w:noProof w:val="0"/>
          <w:color w:val="000000" w:themeColor="text1" w:themeTint="FF" w:themeShade="FF"/>
          <w:sz w:val="22"/>
          <w:szCs w:val="22"/>
          <w:lang w:val="en-GB"/>
        </w:rPr>
        <w:t>PLOS ONE</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a peer</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reviewed journal. It supports my topic indirectly by showing how system pressures can affect care quality. Similar pressures exist in schools and children’s mental health services, where staff shortages and increased demand can reduce the availability of early intervention. A limitation is that the study is not focused on children, but its findings help explain wider organisational challenges.</w:t>
      </w:r>
    </w:p>
    <w:p xmlns:wp14="http://schemas.microsoft.com/office/word/2010/wordml" w:rsidP="0F52BC00" wp14:paraId="77D57121" wp14:textId="7AC5D9A9">
      <w:pPr>
        <w:pStyle w:val="Heading2"/>
        <w:keepNext w:val="1"/>
        <w:keepLines w:val="1"/>
        <w:spacing w:before="299" w:beforeAutospacing="off" w:after="299"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Source 7: Kilgour et al. (2024)</w:t>
      </w:r>
    </w:p>
    <w:p xmlns:wp14="http://schemas.microsoft.com/office/word/2010/wordml" w:rsidP="0F52BC00" wp14:paraId="70011DA9" wp14:textId="4BDA9E04">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Kilgour et al. (2024) conducted a systematic review examining barriers and motivators to physical activity in adults over 70. Although the population differs from my topic, the study identifies key psychological barriers such as fear, low confidence, and environmental stressors.</w:t>
      </w:r>
    </w:p>
    <w:p xmlns:wp14="http://schemas.microsoft.com/office/word/2010/wordml" w:rsidP="0F52BC00" wp14:paraId="1F5070FA" wp14:textId="797904B6">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This source is credible because it is published in </w:t>
      </w:r>
      <w:r w:rsidRPr="0F52BC00" w:rsidR="3877D992">
        <w:rPr>
          <w:rFonts w:ascii="Arial" w:hAnsi="Arial" w:eastAsia="Arial" w:cs="Arial"/>
          <w:b w:val="0"/>
          <w:bCs w:val="0"/>
          <w:i w:val="1"/>
          <w:iCs w:val="1"/>
          <w:caps w:val="0"/>
          <w:smallCaps w:val="0"/>
          <w:noProof w:val="0"/>
          <w:color w:val="000000" w:themeColor="text1" w:themeTint="FF" w:themeShade="FF"/>
          <w:sz w:val="22"/>
          <w:szCs w:val="22"/>
          <w:lang w:val="en-GB"/>
        </w:rPr>
        <w:t>Age and Ageing</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a peer</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reviewed journal. It supports my topic indirectly by showing how fear and anxiety can reduce participation in everyday activities. Similar psychological barriers may influence children’s willingness to attend school. A limitation is that the study focuses on older adults, but the psychological themes are transferable.</w:t>
      </w:r>
    </w:p>
    <w:p xmlns:wp14="http://schemas.microsoft.com/office/word/2010/wordml" w:rsidP="0F52BC00" wp14:paraId="6782F8E8" wp14:textId="79838749">
      <w:pPr>
        <w:pStyle w:val="Heading2"/>
        <w:keepNext w:val="1"/>
        <w:keepLines w:val="1"/>
        <w:spacing w:before="299" w:beforeAutospacing="off" w:after="299"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Source 8: Martzoukou et al. (2023)</w:t>
      </w:r>
    </w:p>
    <w:p xmlns:wp14="http://schemas.microsoft.com/office/word/2010/wordml" w:rsidP="0F52BC00" wp14:paraId="3183A367" wp14:textId="1AC53E0C">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Martzoukou et al. (2023) explored digital literacy competencies among nursing students. The study found gaps in digital confidence, information literacy, and communication skills. These findings are relevant because digital exclusion can affect access to mental health information, online support, and communication between families and schools.</w:t>
      </w:r>
    </w:p>
    <w:p xmlns:wp14="http://schemas.microsoft.com/office/word/2010/wordml" w:rsidP="0F52BC00" wp14:paraId="0D0E7440" wp14:textId="63F2F233">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This source is credible because it is published in the </w:t>
      </w:r>
      <w:r w:rsidRPr="0F52BC00" w:rsidR="3877D992">
        <w:rPr>
          <w:rFonts w:ascii="Arial" w:hAnsi="Arial" w:eastAsia="Arial" w:cs="Arial"/>
          <w:b w:val="0"/>
          <w:bCs w:val="0"/>
          <w:i w:val="1"/>
          <w:iCs w:val="1"/>
          <w:caps w:val="0"/>
          <w:smallCaps w:val="0"/>
          <w:noProof w:val="0"/>
          <w:color w:val="000000" w:themeColor="text1" w:themeTint="FF" w:themeShade="FF"/>
          <w:sz w:val="22"/>
          <w:szCs w:val="22"/>
          <w:lang w:val="en-GB"/>
        </w:rPr>
        <w:t>Journal of Advanced Nursing</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It supports my topic by highlighting how digital skills influence access to support services. A limitation is that the study focuses on university students, not children. However, it reinforces the importance of digital access in modern healthcare and education.</w:t>
      </w:r>
    </w:p>
    <w:p xmlns:wp14="http://schemas.microsoft.com/office/word/2010/wordml" w:rsidP="0F52BC00" wp14:paraId="69D55BF0" wp14:textId="08E300AE">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662D0E12" wp14:textId="7595ACCD">
      <w:pPr>
        <w:spacing w:before="240" w:beforeAutospacing="off" w:after="240"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0F52BC00" wp14:paraId="794DE0E7" wp14:textId="0D77F48C">
      <w:pPr>
        <w:pStyle w:val="Heading2"/>
        <w:keepNext w:val="1"/>
        <w:keepLines w:val="1"/>
        <w:spacing w:before="299" w:beforeAutospacing="off" w:after="299"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 xml:space="preserve">Task 3: Research Methodologies </w:t>
      </w:r>
    </w:p>
    <w:p xmlns:wp14="http://schemas.microsoft.com/office/word/2010/wordml" w:rsidP="0F52BC00" wp14:paraId="6F1611CF" wp14:textId="47C12DDA">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Quantitative research involves collecting numerical data, such as surveys, attendance records, or statistical trends. It is useful for measuring patterns, comparing groups, and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 correlations. For example, a quantitative study could measure how many children with anxiety experience persistent </w:t>
      </w:r>
      <w:r w:rsidRPr="0F52BC00" w:rsidR="5E7AACE3">
        <w:rPr>
          <w:rFonts w:ascii="Arial" w:hAnsi="Arial" w:eastAsia="Arial" w:cs="Arial"/>
          <w:b w:val="0"/>
          <w:bCs w:val="0"/>
          <w:i w:val="0"/>
          <w:iCs w:val="0"/>
          <w:caps w:val="0"/>
          <w:smallCaps w:val="0"/>
          <w:noProof w:val="0"/>
          <w:color w:val="000000" w:themeColor="text1" w:themeTint="FF" w:themeShade="FF"/>
          <w:sz w:val="22"/>
          <w:szCs w:val="22"/>
          <w:lang w:val="en-GB"/>
        </w:rPr>
        <w:t>absence or</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 compare attendance rates before and after an intervention. Quantitative approaches are often used in large</w:t>
      </w:r>
      <w:r w:rsidRPr="0F52BC00" w:rsidR="169A00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scale studies, such as national attendance statistics published by the Department for Education (2022).</w:t>
      </w:r>
    </w:p>
    <w:p xmlns:wp14="http://schemas.microsoft.com/office/word/2010/wordml" w:rsidP="0F52BC00" wp14:paraId="340D2376" wp14:textId="7169A1CD">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Qualitative research focuses on experiences, feelings, and perspectives. It uses interviews, focus groups, observations, or open</w:t>
      </w:r>
      <w:r w:rsidRPr="0F52BC00" w:rsidR="1FBAFC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ended surveys to explore complex issues in depth. McDonald et al. (2022) used qualitative methods to understand how families experienced anxiety and attendance problems during COVID</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19, showing how disrupted routines, fear, and communication difficulties contributed to school avoidance. Qualitative approaches are particularly useful for exploring sensitive topics such as stigma, emotional wellbeing, and family experiences.</w:t>
      </w:r>
    </w:p>
    <w:p xmlns:wp14="http://schemas.microsoft.com/office/word/2010/wordml" w:rsidP="0F52BC00" wp14:paraId="04837507" wp14:textId="63F6C078">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Mixed</w:t>
      </w:r>
      <w:r w:rsidRPr="0F52BC00" w:rsidR="4242B4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methods research combines both approaches. It allows researchers to measure patterns (quantitative) and understand experiences (qualitative). This is useful for complex issues like mental health stigma, where both numerical trends and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personal experiences</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 are important. Mixed</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methods designs are increasingly used in health and social care research because they provide a fuller picture of how and why problems occur. For example, Ross et al. (2022) used qualitative methods to explore organisational resilience, but their findings could be strengthened by quantitative data on staffing levels or service demand.</w:t>
      </w:r>
    </w:p>
    <w:p xmlns:wp14="http://schemas.microsoft.com/office/word/2010/wordml" w:rsidP="0F52BC00" wp14:paraId="79350434" wp14:textId="2A292A1B">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For my research topic, mixed</w:t>
      </w:r>
      <w:r w:rsidRPr="0F52BC00" w:rsidR="704CD7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methods would be the most appropriate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methodology</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 Mental health stigma and attendance problems involve both measurable patterns (e.g., absence rates, number of children accessing support) and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personal experiences</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 (e.g., fear, embarrassment, anxiety). A mixed</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methods approach would allow me to explore how widespread the issue is and understand why it happens. It also aligns with wider research in health and education, where combining numerical data with lived experiences helps </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 xml:space="preserve"> practical solutions.</w:t>
      </w:r>
    </w:p>
    <w:p xmlns:wp14="http://schemas.microsoft.com/office/word/2010/wordml" w:rsidP="0F52BC00" wp14:paraId="7063AC38" wp14:textId="57A47A4C">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For example, I could use:</w:t>
      </w:r>
    </w:p>
    <w:p xmlns:wp14="http://schemas.microsoft.com/office/word/2010/wordml" w:rsidP="0F52BC00" wp14:paraId="3339433A" wp14:textId="52EED19F">
      <w:pPr>
        <w:pStyle w:val="ListParagraph"/>
        <w:numPr>
          <w:ilvl w:val="0"/>
          <w:numId w:val="3"/>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Quantitative data: attendance records, mental health referrals, survey scores, or digital engagement data (Martzoukou et al., 2023).</w:t>
      </w:r>
    </w:p>
    <w:p xmlns:wp14="http://schemas.microsoft.com/office/word/2010/wordml" w:rsidP="0F52BC00" wp14:paraId="6C4B37EF" wp14:textId="5561347E">
      <w:pPr>
        <w:pStyle w:val="ListParagraph"/>
        <w:numPr>
          <w:ilvl w:val="0"/>
          <w:numId w:val="3"/>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Qualitative data: interviews with parents, teachers, and mental health practitioners to explore stigma, communication, and emotional barriers.</w:t>
      </w:r>
    </w:p>
    <w:p xmlns:wp14="http://schemas.microsoft.com/office/word/2010/wordml" w:rsidP="0F52BC00" wp14:paraId="1AB6787D" wp14:textId="3307A874">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This approach would provide a comprehensive understanding of how stigma affects attendance and what support children need.</w:t>
      </w:r>
    </w:p>
    <w:p xmlns:wp14="http://schemas.microsoft.com/office/word/2010/wordml" w:rsidP="0F52BC00" wp14:paraId="0B472FF6" wp14:textId="219E33FC">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4EF300C9" wp14:textId="696A9AB5">
      <w:pPr>
        <w:pStyle w:val="Heading2"/>
        <w:keepNext w:val="1"/>
        <w:keepLines w:val="1"/>
        <w:spacing w:before="299" w:beforeAutospacing="off" w:after="299"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 xml:space="preserve">Task 4: Data Collection </w:t>
      </w:r>
    </w:p>
    <w:p xmlns:wp14="http://schemas.microsoft.com/office/word/2010/wordml" w:rsidP="0F52BC00" wp14:paraId="0E0A471E" wp14:textId="4376427D">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Primary data is information collected directly by the researcher, such as interviews, surveys, or observations. It is useful because it provides first</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hand insights and can be tailored specifically to the research question. For example, interviews with parents or teachers can reveal how stigma, anxiety, and communication difficulties influence school attendance. However, collecting primary data can be time</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consuming and may require ethical approval, especially when working with children or vulnerable groups.</w:t>
      </w:r>
    </w:p>
    <w:p xmlns:wp14="http://schemas.microsoft.com/office/word/2010/wordml" w:rsidP="0F52BC00" wp14:paraId="31B54D8B" wp14:textId="1D452ED4">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Secondary data is information collected by others, such as government reports, academic studies, or organisational statistics. It is easier to access and can provide large</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scale evidence. For example, Department for Education attendance statistics (2022) and NHS mental health reports (2024) offer national trends that help contextualise the issue. Secondary data is useful for identifying patterns, but it may not fully capture personal experiences or emotional barriers.</w:t>
      </w:r>
    </w:p>
    <w:p xmlns:wp14="http://schemas.microsoft.com/office/word/2010/wordml" w:rsidP="0F52BC00" wp14:paraId="6C10693F" wp14:textId="45DCA24F">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For my research, I would use mixed data, but primary data would be essential. To understand stigma and attendance problems, I would collect:</w:t>
      </w:r>
    </w:p>
    <w:p xmlns:wp14="http://schemas.microsoft.com/office/word/2010/wordml" w:rsidP="0F52BC00" wp14:paraId="49ECD295" wp14:textId="26098B4F">
      <w:pPr>
        <w:pStyle w:val="ListParagraph"/>
        <w:numPr>
          <w:ilvl w:val="0"/>
          <w:numId w:val="4"/>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Primary qualitative data: interviews with parents, teachers, and mental health practitioners to explore experiences of stigma, anxiety, and school avoidance.</w:t>
      </w:r>
    </w:p>
    <w:p xmlns:wp14="http://schemas.microsoft.com/office/word/2010/wordml" w:rsidP="0F52BC00" wp14:paraId="656EEC7A" wp14:textId="7411B064">
      <w:pPr>
        <w:pStyle w:val="ListParagraph"/>
        <w:numPr>
          <w:ilvl w:val="0"/>
          <w:numId w:val="4"/>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Primary quantitative data: surveys measuring anxiety levels, attitudes toward mental health, or confidence in school attendance.</w:t>
      </w:r>
    </w:p>
    <w:p xmlns:wp14="http://schemas.microsoft.com/office/word/2010/wordml" w:rsidP="0F52BC00" wp14:paraId="41230377" wp14:textId="7DEDF430">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I would also use secondary data, such as DfE attendance statistics, NHS mental health reports, and existing qualitative studies like McDonald et al. (2022), to support and triangulate my findings.</w:t>
      </w:r>
    </w:p>
    <w:p xmlns:wp14="http://schemas.microsoft.com/office/word/2010/wordml" w:rsidP="0F52BC00" wp14:paraId="0DA79EB3" wp14:textId="660CAAD9">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Primary data has several advantages:</w:t>
      </w:r>
    </w:p>
    <w:p xmlns:wp14="http://schemas.microsoft.com/office/word/2010/wordml" w:rsidP="0F52BC00" wp14:paraId="75375315" wp14:textId="38FCB4E6">
      <w:pPr>
        <w:pStyle w:val="ListParagraph"/>
        <w:numPr>
          <w:ilvl w:val="0"/>
          <w:numId w:val="5"/>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It provides direct insight into children’s and families’ experiences.</w:t>
      </w:r>
    </w:p>
    <w:p xmlns:wp14="http://schemas.microsoft.com/office/word/2010/wordml" w:rsidP="0F52BC00" wp14:paraId="105A4C6F" wp14:textId="50C57718">
      <w:pPr>
        <w:pStyle w:val="ListParagraph"/>
        <w:numPr>
          <w:ilvl w:val="0"/>
          <w:numId w:val="5"/>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Questions can be tailored to the specific research aims.</w:t>
      </w:r>
    </w:p>
    <w:p xmlns:wp14="http://schemas.microsoft.com/office/word/2010/wordml" w:rsidP="0F52BC00" wp14:paraId="5734C565" wp14:textId="552E7849">
      <w:pPr>
        <w:pStyle w:val="ListParagraph"/>
        <w:numPr>
          <w:ilvl w:val="0"/>
          <w:numId w:val="5"/>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It offers rich, detailed information that helps explain why attendance problems occur.</w:t>
      </w:r>
    </w:p>
    <w:p xmlns:wp14="http://schemas.microsoft.com/office/word/2010/wordml" w:rsidP="0F52BC00" wp14:paraId="54EDBC8C" wp14:textId="5AC1AF66">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However, there are challenges:</w:t>
      </w:r>
    </w:p>
    <w:p xmlns:wp14="http://schemas.microsoft.com/office/word/2010/wordml" w:rsidP="0F52BC00" wp14:paraId="0771BF4E" wp14:textId="6BDD53A1">
      <w:pPr>
        <w:pStyle w:val="ListParagraph"/>
        <w:numPr>
          <w:ilvl w:val="0"/>
          <w:numId w:val="6"/>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Ethical considerations when involving children or discussing sensitive topics.</w:t>
      </w:r>
    </w:p>
    <w:p xmlns:wp14="http://schemas.microsoft.com/office/word/2010/wordml" w:rsidP="0F52BC00" wp14:paraId="432C2C85" wp14:textId="321E0345">
      <w:pPr>
        <w:pStyle w:val="ListParagraph"/>
        <w:numPr>
          <w:ilvl w:val="0"/>
          <w:numId w:val="6"/>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Time and resource constraints.</w:t>
      </w:r>
    </w:p>
    <w:p xmlns:wp14="http://schemas.microsoft.com/office/word/2010/wordml" w:rsidP="0F52BC00" wp14:paraId="75E49160" wp14:textId="6DEE9835">
      <w:pPr>
        <w:pStyle w:val="ListParagraph"/>
        <w:numPr>
          <w:ilvl w:val="0"/>
          <w:numId w:val="6"/>
        </w:num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Potential bias in self</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reported data, especially when discussing mental health or stigma.</w:t>
      </w:r>
    </w:p>
    <w:p xmlns:wp14="http://schemas.microsoft.com/office/word/2010/wordml" w:rsidP="0F52BC00" wp14:paraId="6F99E479" wp14:textId="0748492C">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Secondary data also has strengths, such as providing large</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scale evidence and supporting comparisons across groups. Studies like Ross et al. (2022) show how organisational pressures affect care delivery, which can be relevant when considering school capacity and support systems. Research by Martzoukou et al. (2023) highlights digital literacy gaps, which may influence access to mental health information or online support.</w:t>
      </w:r>
    </w:p>
    <w:p xmlns:wp14="http://schemas.microsoft.com/office/word/2010/wordml" w:rsidP="0F52BC00" wp14:paraId="69D2CBB6" wp14:textId="43690D41">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Using both primary and secondary data would strengthen the reliability and depth of the research. Combining personal experiences with national trends would provide a comprehensive understanding of how stigma affects school attendance and what support children need.</w:t>
      </w:r>
    </w:p>
    <w:p xmlns:wp14="http://schemas.microsoft.com/office/word/2010/wordml" w:rsidP="0F52BC00" wp14:paraId="60B3D5B2" wp14:textId="166C1008">
      <w:pPr>
        <w:pStyle w:val="Heading2"/>
        <w:spacing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3877D992">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p>
    <w:p xmlns:wp14="http://schemas.microsoft.com/office/word/2010/wordml" w:rsidP="0F52BC00" wp14:paraId="3035B15A" wp14:textId="0B6C076E">
      <w:pPr>
        <w:spacing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This report has explored how mental health stigma contributes to school attendance problems among children and young people in the UK. Evidence from academic, policy, and organisational sources shows that anxiety, disrupted routines, and fear of judgement significantly affect attendance and wellbeing. Stigma remains a major barrier to early intervention, preventing children and families from seeking support when they need it most. By evaluating credible sources and outlining a mixed</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methods research plan, this report demonstrates how further study could help improve early intervention, strengthen home–school communication, and reduce long</w:t>
      </w:r>
      <w:r>
        <w:noBreakHyphen/>
      </w:r>
      <w:r w:rsidRPr="0F52BC00" w:rsidR="3877D992">
        <w:rPr>
          <w:rFonts w:ascii="Arial" w:hAnsi="Arial" w:eastAsia="Arial" w:cs="Arial"/>
          <w:b w:val="0"/>
          <w:bCs w:val="0"/>
          <w:i w:val="0"/>
          <w:iCs w:val="0"/>
          <w:caps w:val="0"/>
          <w:smallCaps w:val="0"/>
          <w:noProof w:val="0"/>
          <w:color w:val="000000" w:themeColor="text1" w:themeTint="FF" w:themeShade="FF"/>
          <w:sz w:val="22"/>
          <w:szCs w:val="22"/>
          <w:lang w:val="en-GB"/>
        </w:rPr>
        <w:t>term inequalities. As someone aiming to become an Early Years Mental Health Practitioner, understanding this issue is essential for supporting children’s emotional development, promoting positive school experiences, and helping families access the right support at the right time.</w:t>
      </w:r>
    </w:p>
    <w:p xmlns:wp14="http://schemas.microsoft.com/office/word/2010/wordml" w:rsidP="0F52BC00" wp14:paraId="1782C8C3" wp14:textId="5460DDCB">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116B4981" wp14:textId="1C7D3210">
      <w:pPr>
        <w:pStyle w:val="Heading1"/>
        <w:keepNext w:val="1"/>
        <w:keepLines w:val="1"/>
        <w:spacing w:before="322" w:beforeAutospacing="off" w:after="322" w:afterAutospacing="off"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References</w:t>
      </w:r>
    </w:p>
    <w:p xmlns:wp14="http://schemas.microsoft.com/office/word/2010/wordml" w:rsidP="0F52BC00" wp14:paraId="5E771F54" wp14:textId="03D3E292">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Benzinger, P. et al. (2014)</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‘Barriers to physical activity in older adults: Person–Environment fit’,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Journal of Aging and Physical Activity</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22(3), pp. 423–431. (Accessed: 10 June 2026).</w:t>
      </w:r>
    </w:p>
    <w:p xmlns:wp14="http://schemas.microsoft.com/office/word/2010/wordml" w:rsidP="0F52BC00" wp14:paraId="5911CE36" wp14:textId="56548100">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Children’s Commissioner (2023)</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Mental Health Access for Children Report</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London: Children’s Commissioner for England. (Accessed: 10 June 2026).</w:t>
      </w:r>
    </w:p>
    <w:p xmlns:wp14="http://schemas.microsoft.com/office/word/2010/wordml" w:rsidP="0F52BC00" wp14:paraId="04977490" wp14:textId="3AF1A2BA">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Department for Education (2022)</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Working Together to Improve Attendance</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Department for Education. Available at: </w:t>
      </w:r>
      <w:hyperlink r:id="R239c479f48694ade">
        <w:r w:rsidRPr="0F52BC00" w:rsidR="024CD89B">
          <w:rPr>
            <w:rStyle w:val="Hyperlink"/>
            <w:rFonts w:ascii="Arial" w:hAnsi="Arial" w:eastAsia="Arial" w:cs="Arial"/>
            <w:b w:val="0"/>
            <w:bCs w:val="0"/>
            <w:i w:val="0"/>
            <w:iCs w:val="0"/>
            <w:caps w:val="0"/>
            <w:smallCaps w:val="0"/>
            <w:strike w:val="0"/>
            <w:dstrike w:val="0"/>
            <w:noProof w:val="0"/>
            <w:sz w:val="22"/>
            <w:szCs w:val="22"/>
            <w:lang w:val="en-GB"/>
          </w:rPr>
          <w:t>https://www.gov.uk/government/publications/working-together-to-improve-school-attendance</w:t>
        </w:r>
      </w:hyperlink>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(Accessed: 10 June 2026).</w:t>
      </w:r>
    </w:p>
    <w:p xmlns:wp14="http://schemas.microsoft.com/office/word/2010/wordml" w:rsidP="0F52BC00" wp14:paraId="2E4131F3" wp14:textId="6B4A056E">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Kilgour, A.H.M. et al. (2024)</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‘Barriers and motivators to undertaking physical activity in adults over 70: A systematic review’,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Age and Ageing</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53(4), afae080. (Accessed: 11 June 2026).</w:t>
      </w:r>
    </w:p>
    <w:p xmlns:wp14="http://schemas.microsoft.com/office/word/2010/wordml" w:rsidP="0F52BC00" wp14:paraId="54C6EF5E" wp14:textId="5EDA8AEF">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Martzoukou, K. et al. (2023)</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‘A cross-sectional study of discipline-based self-perceived digital literacy competencies of nursing students’,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Journal of Advanced Nursing</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80(2), pp. 656–672. (Accessed: 12 June 2026).</w:t>
      </w:r>
    </w:p>
    <w:p xmlns:wp14="http://schemas.microsoft.com/office/word/2010/wordml" w:rsidP="0F52BC00" wp14:paraId="5FB33527" wp14:textId="00B87308">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McDonald, B., Lester, K.J. and Michelson, D. (2022)</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‘School attendance problems in the context of COVID</w:t>
      </w:r>
      <w:r>
        <w:noBreakHyphen/>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19’,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British Journal of Educational Psychology</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93(1), pp. 386–401. (Accessed: 12 June 2026).</w:t>
      </w:r>
    </w:p>
    <w:p xmlns:wp14="http://schemas.microsoft.com/office/word/2010/wordml" w:rsidP="0F52BC00" wp14:paraId="26B14632" wp14:textId="07D1FA41">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NHS England (2024)</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NHS Long Term Plan: Children and Young People’s Mental Health Update</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London: NHS England. (Accessed: 13 June 2026).</w:t>
      </w:r>
    </w:p>
    <w:p xmlns:wp14="http://schemas.microsoft.com/office/word/2010/wordml" w:rsidP="0F52BC00" wp14:paraId="6EE582BE" wp14:textId="705A6B65">
      <w:pPr>
        <w:spacing w:before="240" w:beforeAutospacing="off" w:after="240" w:afterAutospacing="off"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Ross, A. et al. (2022)</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‘A qualitative study of organisational resilience in care homes in Scotland’,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PLOS ONE</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17(12), e0279376. (Accessed: 14 June 2026).</w:t>
      </w:r>
    </w:p>
    <w:p xmlns:wp14="http://schemas.microsoft.com/office/word/2010/wordml" w:rsidP="0F52BC00" wp14:paraId="0FA0E4C5" wp14:textId="1C071382">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F52BC00" w:rsidR="024CD89B">
        <w:rPr>
          <w:rFonts w:ascii="Arial" w:hAnsi="Arial" w:eastAsia="Arial" w:cs="Arial"/>
          <w:b w:val="1"/>
          <w:bCs w:val="1"/>
          <w:i w:val="0"/>
          <w:iCs w:val="0"/>
          <w:caps w:val="0"/>
          <w:smallCaps w:val="0"/>
          <w:noProof w:val="0"/>
          <w:color w:val="000000" w:themeColor="text1" w:themeTint="FF" w:themeShade="FF"/>
          <w:sz w:val="22"/>
          <w:szCs w:val="22"/>
          <w:lang w:val="en-GB"/>
        </w:rPr>
        <w:t>Young Minds (2024)</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024CD89B">
        <w:rPr>
          <w:rFonts w:ascii="Arial" w:hAnsi="Arial" w:eastAsia="Arial" w:cs="Arial"/>
          <w:b w:val="0"/>
          <w:bCs w:val="0"/>
          <w:i w:val="1"/>
          <w:iCs w:val="1"/>
          <w:caps w:val="0"/>
          <w:smallCaps w:val="0"/>
          <w:noProof w:val="0"/>
          <w:color w:val="000000" w:themeColor="text1" w:themeTint="FF" w:themeShade="FF"/>
          <w:sz w:val="22"/>
          <w:szCs w:val="22"/>
          <w:lang w:val="en-GB"/>
        </w:rPr>
        <w:t>Stigma and Mental Health Report</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Young Minds. Available at: </w:t>
      </w:r>
      <w:hyperlink r:id="Rb2f7995e6439405e">
        <w:r w:rsidRPr="0F52BC00" w:rsidR="024CD89B">
          <w:rPr>
            <w:rStyle w:val="Hyperlink"/>
            <w:rFonts w:ascii="Arial" w:hAnsi="Arial" w:eastAsia="Arial" w:cs="Arial"/>
            <w:b w:val="0"/>
            <w:bCs w:val="0"/>
            <w:i w:val="0"/>
            <w:iCs w:val="0"/>
            <w:caps w:val="0"/>
            <w:smallCaps w:val="0"/>
            <w:strike w:val="0"/>
            <w:dstrike w:val="0"/>
            <w:noProof w:val="0"/>
            <w:sz w:val="22"/>
            <w:szCs w:val="22"/>
            <w:lang w:val="en-GB"/>
          </w:rPr>
          <w:t>https://www.youngminds.org.uk/</w:t>
        </w:r>
      </w:hyperlink>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F52BC00" w:rsidR="024CD89B">
        <w:rPr>
          <w:rFonts w:ascii="Arial" w:hAnsi="Arial" w:eastAsia="Arial" w:cs="Arial"/>
          <w:b w:val="0"/>
          <w:bCs w:val="0"/>
          <w:i w:val="0"/>
          <w:iCs w:val="0"/>
          <w:caps w:val="0"/>
          <w:smallCaps w:val="0"/>
          <w:noProof w:val="0"/>
          <w:color w:val="000000" w:themeColor="text1" w:themeTint="FF" w:themeShade="FF"/>
          <w:sz w:val="22"/>
          <w:szCs w:val="22"/>
          <w:lang w:val="en-GB"/>
        </w:rPr>
        <w:t>(Accessed: 15 June 2026).</w:t>
      </w:r>
    </w:p>
    <w:p xmlns:wp14="http://schemas.microsoft.com/office/word/2010/wordml" w:rsidP="0F52BC00" wp14:paraId="4E933BA4" wp14:textId="7E92E475">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06EBBE4E" wp14:textId="165B013A">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763353E1" wp14:textId="411AFBD0">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18DAA069" wp14:textId="0AB51ECB">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1CE4E220" wp14:textId="27C1902A">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585E5BF2" wp14:textId="01E89065">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52F6F4D" wp14:textId="23D81060">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40823924" wp14:textId="3C7D4C11">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14BD72DC" wp14:textId="09AB2D06">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5793A4EA" wp14:textId="220A2675">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45A8B12" wp14:textId="45BC5E43">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10682E6E" wp14:textId="5F570950">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67D91D85" wp14:textId="0146576E">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76B5C0E2" wp14:textId="24CD0B75">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40AB5EB9" wp14:textId="498F9368">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3E1090DF" wp14:textId="4B36BC52">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076D61A5" wp14:textId="0EE844A7">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2933C8F5" wp14:textId="52845F6F">
      <w:pPr>
        <w:pStyle w:val="Normal"/>
        <w:spacing w:before="240" w:beforeAutospacing="off" w:after="240" w:afterAutospacing="off"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2BC00" wp14:paraId="699599C8" wp14:textId="058283D2">
      <w:pPr>
        <w:pStyle w:val="Normal"/>
        <w:spacing w:line="276" w:lineRule="auto"/>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p14:paraId="5E5787A5" wp14:textId="3B86E595"/>
    <w:sectPr>
      <w:pgSz w:w="11906" w:h="16838" w:orient="portrait"/>
      <w:pgMar w:top="1440" w:right="1440" w:bottom="1440" w:left="1440" w:header="720" w:footer="720" w:gutter="0"/>
      <w:cols w:space="720"/>
      <w:docGrid w:linePitch="360"/>
      <w:headerReference w:type="default" r:id="R8d2860d1840e454d"/>
      <w:footerReference w:type="default" r:id="Rf1b48877f6904d6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52BC00" w:rsidTr="0F52BC00" w14:paraId="36EF3B19">
      <w:trPr>
        <w:trHeight w:val="300"/>
      </w:trPr>
      <w:tc>
        <w:tcPr>
          <w:tcW w:w="3005" w:type="dxa"/>
          <w:tcMar/>
        </w:tcPr>
        <w:p w:rsidR="0F52BC00" w:rsidP="0F52BC00" w:rsidRDefault="0F52BC00" w14:paraId="102F8A90" w14:textId="2BEB8A91">
          <w:pPr>
            <w:pStyle w:val="Header"/>
            <w:bidi w:val="0"/>
            <w:ind w:left="-115"/>
            <w:jc w:val="left"/>
          </w:pPr>
        </w:p>
      </w:tc>
      <w:tc>
        <w:tcPr>
          <w:tcW w:w="3005" w:type="dxa"/>
          <w:tcMar/>
        </w:tcPr>
        <w:p w:rsidR="0F52BC00" w:rsidP="0F52BC00" w:rsidRDefault="0F52BC00" w14:paraId="10349FAE" w14:textId="08D96D82">
          <w:pPr>
            <w:pStyle w:val="Header"/>
            <w:bidi w:val="0"/>
            <w:jc w:val="center"/>
          </w:pPr>
        </w:p>
      </w:tc>
      <w:tc>
        <w:tcPr>
          <w:tcW w:w="3005" w:type="dxa"/>
          <w:tcMar/>
        </w:tcPr>
        <w:p w:rsidR="0F52BC00" w:rsidP="0F52BC00" w:rsidRDefault="0F52BC00" w14:paraId="495E162E" w14:textId="21A71AAF">
          <w:pPr>
            <w:pStyle w:val="Header"/>
            <w:bidi w:val="0"/>
            <w:ind w:right="-115"/>
            <w:jc w:val="right"/>
          </w:pPr>
        </w:p>
      </w:tc>
    </w:tr>
  </w:tbl>
  <w:p w:rsidR="0F52BC00" w:rsidP="0F52BC00" w:rsidRDefault="0F52BC00" w14:paraId="72AFA1CC" w14:textId="324276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52BC00" w:rsidTr="0F52BC00" w14:paraId="25635B4F">
      <w:trPr>
        <w:trHeight w:val="300"/>
      </w:trPr>
      <w:tc>
        <w:tcPr>
          <w:tcW w:w="3005" w:type="dxa"/>
          <w:tcMar/>
        </w:tcPr>
        <w:p w:rsidR="0F52BC00" w:rsidP="0F52BC00" w:rsidRDefault="0F52BC00" w14:paraId="697C392B" w14:textId="19E402C2">
          <w:pPr>
            <w:pStyle w:val="Header"/>
            <w:bidi w:val="0"/>
            <w:ind w:left="-115"/>
            <w:jc w:val="left"/>
          </w:pPr>
        </w:p>
      </w:tc>
      <w:tc>
        <w:tcPr>
          <w:tcW w:w="3005" w:type="dxa"/>
          <w:tcMar/>
        </w:tcPr>
        <w:p w:rsidR="0F52BC00" w:rsidP="0F52BC00" w:rsidRDefault="0F52BC00" w14:paraId="57DE9FAB" w14:textId="716F07D5">
          <w:pPr>
            <w:pStyle w:val="Header"/>
            <w:bidi w:val="0"/>
            <w:jc w:val="center"/>
          </w:pPr>
        </w:p>
      </w:tc>
      <w:tc>
        <w:tcPr>
          <w:tcW w:w="3005" w:type="dxa"/>
          <w:tcMar/>
        </w:tcPr>
        <w:p w:rsidR="0F52BC00" w:rsidP="0F52BC00" w:rsidRDefault="0F52BC00" w14:paraId="009E388A" w14:textId="71D85D8F">
          <w:pPr>
            <w:pStyle w:val="Header"/>
            <w:bidi w:val="0"/>
            <w:ind w:right="-115"/>
            <w:jc w:val="right"/>
          </w:pPr>
        </w:p>
      </w:tc>
    </w:tr>
  </w:tbl>
  <w:p w:rsidR="0F52BC00" w:rsidP="0F52BC00" w:rsidRDefault="0F52BC00" w14:paraId="072B8818" w14:textId="45E7307C">
    <w:pPr>
      <w:pStyle w:val="Header"/>
      <w:bidi w:val="0"/>
    </w:pPr>
  </w:p>
</w:hdr>
</file>

<file path=word/numbering.xml><?xml version="1.0" encoding="utf-8"?>
<w:numbering xmlns:w="http://schemas.openxmlformats.org/wordprocessingml/2006/main">
  <w:abstractNum xmlns:w="http://schemas.openxmlformats.org/wordprocessingml/2006/main" w:abstractNumId="6">
    <w:nsid w:val="557c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500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696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4c6b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ff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a5cba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5294D7"/>
    <w:rsid w:val="024CD89B"/>
    <w:rsid w:val="04297BEF"/>
    <w:rsid w:val="0A79F7E7"/>
    <w:rsid w:val="0F171537"/>
    <w:rsid w:val="0F52BC00"/>
    <w:rsid w:val="0FB147BA"/>
    <w:rsid w:val="0FD19C1D"/>
    <w:rsid w:val="13471427"/>
    <w:rsid w:val="1373FC99"/>
    <w:rsid w:val="163B27BD"/>
    <w:rsid w:val="169A000D"/>
    <w:rsid w:val="17C2BEC7"/>
    <w:rsid w:val="181A7AA9"/>
    <w:rsid w:val="1B511A3C"/>
    <w:rsid w:val="1FBAFCF7"/>
    <w:rsid w:val="1FEA131A"/>
    <w:rsid w:val="207DE305"/>
    <w:rsid w:val="21E1F89D"/>
    <w:rsid w:val="262D5B2B"/>
    <w:rsid w:val="2896FACB"/>
    <w:rsid w:val="2B8CA785"/>
    <w:rsid w:val="2BCB5BC4"/>
    <w:rsid w:val="2F22E177"/>
    <w:rsid w:val="37C79807"/>
    <w:rsid w:val="3877D992"/>
    <w:rsid w:val="38B25344"/>
    <w:rsid w:val="390540EF"/>
    <w:rsid w:val="392FE0D2"/>
    <w:rsid w:val="3A5294D7"/>
    <w:rsid w:val="3B2C3AD1"/>
    <w:rsid w:val="3C779EFB"/>
    <w:rsid w:val="4242B442"/>
    <w:rsid w:val="46F63211"/>
    <w:rsid w:val="478B5A67"/>
    <w:rsid w:val="50D75AA6"/>
    <w:rsid w:val="563897F0"/>
    <w:rsid w:val="5682496F"/>
    <w:rsid w:val="5778559F"/>
    <w:rsid w:val="591E99EB"/>
    <w:rsid w:val="5987AF76"/>
    <w:rsid w:val="5997D2B4"/>
    <w:rsid w:val="5B65AAC7"/>
    <w:rsid w:val="5C93E726"/>
    <w:rsid w:val="5CA8224A"/>
    <w:rsid w:val="5D4EBD70"/>
    <w:rsid w:val="5E7AACE3"/>
    <w:rsid w:val="6C3A91E4"/>
    <w:rsid w:val="6FFB2438"/>
    <w:rsid w:val="704CD720"/>
    <w:rsid w:val="73529A4B"/>
    <w:rsid w:val="735CBB5D"/>
    <w:rsid w:val="7D7C5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7B248"/>
  <w15:chartTrackingRefBased/>
  <w15:docId w15:val="{5EECB0A5-687F-4D2E-9899-3AA8C7767B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F52BC00"/>
    <w:pPr>
      <w:tabs>
        <w:tab w:val="center" w:leader="none" w:pos="4680"/>
        <w:tab w:val="right" w:leader="none" w:pos="9360"/>
      </w:tabs>
      <w:spacing w:after="0" w:line="240" w:lineRule="auto"/>
    </w:pPr>
  </w:style>
  <w:style w:type="paragraph" w:styleId="Footer">
    <w:uiPriority w:val="99"/>
    <w:name w:val="footer"/>
    <w:basedOn w:val="Normal"/>
    <w:unhideWhenUsed/>
    <w:rsid w:val="0F52BC00"/>
    <w:pPr>
      <w:tabs>
        <w:tab w:val="center" w:leader="none" w:pos="4680"/>
        <w:tab w:val="right" w:leader="none" w:pos="9360"/>
      </w:tabs>
      <w:spacing w:after="0" w:line="240" w:lineRule="auto"/>
    </w:pPr>
  </w:style>
  <w:style w:type="paragraph" w:styleId="ListParagraph">
    <w:uiPriority w:val="34"/>
    <w:name w:val="List Paragraph"/>
    <w:basedOn w:val="Normal"/>
    <w:qFormat/>
    <w:rsid w:val="0F52BC00"/>
    <w:pPr>
      <w:spacing/>
      <w:ind w:left="720"/>
      <w:contextualSpacing/>
    </w:pPr>
  </w:style>
  <w:style w:type="paragraph" w:styleId="Heading2">
    <w:uiPriority w:val="9"/>
    <w:name w:val="heading 2"/>
    <w:basedOn w:val="Normal"/>
    <w:next w:val="Normal"/>
    <w:unhideWhenUsed/>
    <w:qFormat/>
    <w:rsid w:val="0F52BC0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F52BC0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0F52BC0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F52BC0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working-together-to-improve-school-attendance?utm_source=copilot.com" TargetMode="External" Id="R239c479f48694ade" /><Relationship Type="http://schemas.openxmlformats.org/officeDocument/2006/relationships/hyperlink" Target="https://www.youngminds.org.uk/?utm_source=copilot.com" TargetMode="External" Id="Rb2f7995e6439405e" /><Relationship Type="http://schemas.openxmlformats.org/officeDocument/2006/relationships/header" Target="/word/header.xml" Id="R8d2860d1840e454d" /><Relationship Type="http://schemas.openxmlformats.org/officeDocument/2006/relationships/footer" Target="/word/footer.xml" Id="Rf1b48877f6904d6b" /><Relationship Type="http://schemas.openxmlformats.org/officeDocument/2006/relationships/numbering" Target="/word/numbering.xml" Id="R668a10c3db6942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Nina Mya (2328173)</dc:creator>
  <keywords/>
  <dc:description/>
  <lastModifiedBy>Nina Mya (2328173)</lastModifiedBy>
  <revision>2</revision>
  <dcterms:created xsi:type="dcterms:W3CDTF">2026-07-15T13:55:35.7410323Z</dcterms:created>
  <dcterms:modified xsi:type="dcterms:W3CDTF">2026-07-15T16:25:06.0208060Z</dcterms:modified>
</coreProperties>
</file>