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7F7F7F" w:themeColor="text1" w:themeTint="80"/>
          <w:sz w:val="32"/>
          <w:szCs w:val="32"/>
        </w:rPr>
        <w:id w:val="-205388792"/>
        <w:docPartObj>
          <w:docPartGallery w:val="Cover Pages"/>
          <w:docPartUnique/>
        </w:docPartObj>
      </w:sdtPr>
      <w:sdtEndPr>
        <w:rPr>
          <w:color w:val="auto"/>
          <w:sz w:val="22"/>
          <w:szCs w:val="22"/>
        </w:rPr>
      </w:sdtEndPr>
      <w:sdtContent>
        <w:p w14:paraId="4F148AD5" w14:textId="77777777" w:rsidR="00190DEB" w:rsidRDefault="00000000">
          <w:pPr>
            <w:jc w:val="right"/>
            <w:rPr>
              <w:color w:val="7F7F7F" w:themeColor="text1" w:themeTint="80"/>
              <w:sz w:val="32"/>
              <w:szCs w:val="32"/>
            </w:rPr>
          </w:pPr>
          <w:r>
            <w:rPr>
              <w:noProof/>
              <w:color w:val="C4BC96" w:themeColor="background2" w:themeShade="BF"/>
              <w:sz w:val="32"/>
              <w:szCs w:val="32"/>
              <w:lang w:eastAsia="zh-TW"/>
            </w:rPr>
            <w:pict w14:anchorId="19093B78">
              <v:group id="_x0000_s1026" style="position:absolute;left:0;text-align:left;margin-left:0;margin-top:0;width:612pt;height:11in;z-index:-251656192;mso-width-percent:1000;mso-height-percent:1000;mso-position-horizontal:center;mso-position-horizontal-relative:page;mso-position-vertical:center;mso-position-vertical-relative:page;mso-width-percent:1000;mso-height-percent:1000" coordsize="12240,15840" o:allowincell="f">
                <v:rect id="_x0000_s1027" style="position:absolute;width:12240;height:15840;mso-width-percent:1000;mso-height-percent:1000;mso-position-horizontal:center;mso-position-horizontal-relative:page;mso-position-vertical:top;mso-position-vertical-relative:page;mso-width-percent:1000;mso-height-percent:1000" fillcolor="#17365d [2415]" stroked="f"/>
                <v:rect id="_x0000_s1028" style="position:absolute;left:612;top:638;width:11016;height:14564;mso-width-percent:900;mso-height-percent:920;mso-position-horizontal:center;mso-position-horizontal-relative:page;mso-position-vertical:center;mso-position-vertical-relative:page;mso-width-percent:900;mso-height-percent:920" fillcolor="white [3212]" stroked="f"/>
                <w10:wrap anchorx="page" anchory="page"/>
              </v:group>
            </w:pict>
          </w:r>
        </w:p>
        <w:p w14:paraId="621EF201" w14:textId="77777777" w:rsidR="00190DEB" w:rsidRPr="0032683C" w:rsidRDefault="00190DEB">
          <w:pPr>
            <w:jc w:val="right"/>
            <w:rPr>
              <w:color w:val="000000" w:themeColor="text1"/>
              <w:sz w:val="28"/>
              <w:szCs w:val="28"/>
            </w:rPr>
          </w:pPr>
        </w:p>
        <w:tbl>
          <w:tblPr>
            <w:tblpPr w:leftFromText="187" w:rightFromText="187" w:vertAnchor="page" w:horzAnchor="margin" w:tblpY="8416"/>
            <w:tblOverlap w:val="never"/>
            <w:tblW w:w="0" w:type="auto"/>
            <w:tblLook w:val="04A0" w:firstRow="1" w:lastRow="0" w:firstColumn="1" w:lastColumn="0" w:noHBand="0" w:noVBand="1"/>
          </w:tblPr>
          <w:tblGrid>
            <w:gridCol w:w="9576"/>
          </w:tblGrid>
          <w:tr w:rsidR="0032683C" w:rsidRPr="0032683C" w14:paraId="53300019" w14:textId="77777777" w:rsidTr="007F3F71">
            <w:tc>
              <w:tcPr>
                <w:tcW w:w="9576" w:type="dxa"/>
              </w:tcPr>
              <w:p w14:paraId="58370E64" w14:textId="77777777" w:rsidR="0032683C" w:rsidRPr="0032683C" w:rsidRDefault="00000000" w:rsidP="007F3F71">
                <w:pPr>
                  <w:pStyle w:val="NoSpacing"/>
                  <w:jc w:val="center"/>
                  <w:rPr>
                    <w:color w:val="000000" w:themeColor="text1"/>
                    <w:sz w:val="28"/>
                    <w:szCs w:val="28"/>
                  </w:rPr>
                </w:pPr>
                <w:sdt>
                  <w:sdtPr>
                    <w:rPr>
                      <w:rFonts w:ascii="Arial" w:eastAsia="+mn-ea" w:hAnsi="Arial" w:cs="Arial"/>
                      <w:color w:val="000000" w:themeColor="text1"/>
                      <w:spacing w:val="20"/>
                      <w:kern w:val="24"/>
                      <w:sz w:val="24"/>
                      <w:szCs w:val="24"/>
                      <w:lang w:val="en-GB"/>
                    </w:rPr>
                    <w:alias w:val="Subtitle"/>
                    <w:id w:val="19000717"/>
                    <w:dataBinding w:prefixMappings="xmlns:ns0='http://schemas.openxmlformats.org/package/2006/metadata/core-properties' xmlns:ns1='http://purl.org/dc/elements/1.1/'" w:xpath="/ns0:coreProperties[1]/ns1:subject[1]" w:storeItemID="{6C3C8BC8-F283-45AE-878A-BAB7291924A1}"/>
                    <w:text/>
                  </w:sdtPr>
                  <w:sdtContent>
                    <w:r w:rsidR="0032683C" w:rsidRPr="0032683C">
                      <w:rPr>
                        <w:rFonts w:ascii="Arial" w:eastAsia="+mn-ea" w:hAnsi="Arial" w:cs="Arial"/>
                        <w:color w:val="000000" w:themeColor="text1"/>
                        <w:spacing w:val="20"/>
                        <w:kern w:val="24"/>
                        <w:sz w:val="24"/>
                        <w:szCs w:val="24"/>
                        <w:lang w:val="en-GB"/>
                      </w:rPr>
                      <w:t xml:space="preserve">BMIH6007: International Meetings Management for the Hotel Industry Lecturer: Natalie Brailsford   </w:t>
                    </w:r>
                    <w:r w:rsidR="0032683C">
                      <w:rPr>
                        <w:rFonts w:ascii="Arial" w:eastAsia="+mn-ea" w:hAnsi="Arial" w:cs="Arial"/>
                        <w:color w:val="000000" w:themeColor="text1"/>
                        <w:spacing w:val="20"/>
                        <w:kern w:val="24"/>
                        <w:sz w:val="24"/>
                        <w:szCs w:val="24"/>
                        <w:lang w:val="en-GB"/>
                      </w:rPr>
                      <w:t xml:space="preserve">                                                            </w:t>
                    </w:r>
                    <w:r w:rsidR="0032683C" w:rsidRPr="0032683C">
                      <w:rPr>
                        <w:rFonts w:ascii="Arial" w:eastAsia="+mn-ea" w:hAnsi="Arial" w:cs="Arial"/>
                        <w:color w:val="000000" w:themeColor="text1"/>
                        <w:spacing w:val="20"/>
                        <w:kern w:val="24"/>
                        <w:sz w:val="24"/>
                        <w:szCs w:val="24"/>
                        <w:lang w:val="en-GB"/>
                      </w:rPr>
                      <w:t xml:space="preserve"> Student name: Florica Anamaria Ciuta</w:t>
                    </w:r>
                    <w:r w:rsidR="0032683C">
                      <w:rPr>
                        <w:rFonts w:ascii="Arial" w:eastAsia="+mn-ea" w:hAnsi="Arial" w:cs="Arial"/>
                        <w:color w:val="000000" w:themeColor="text1"/>
                        <w:spacing w:val="20"/>
                        <w:kern w:val="24"/>
                        <w:sz w:val="24"/>
                        <w:szCs w:val="24"/>
                        <w:lang w:val="en-GB"/>
                      </w:rPr>
                      <w:t xml:space="preserve">                                            </w:t>
                    </w:r>
                    <w:r w:rsidR="0032683C" w:rsidRPr="0032683C">
                      <w:rPr>
                        <w:rFonts w:ascii="Arial" w:eastAsia="+mn-ea" w:hAnsi="Arial" w:cs="Arial"/>
                        <w:color w:val="000000" w:themeColor="text1"/>
                        <w:spacing w:val="20"/>
                        <w:kern w:val="24"/>
                        <w:sz w:val="24"/>
                        <w:szCs w:val="24"/>
                        <w:lang w:val="en-GB"/>
                      </w:rPr>
                      <w:t>Student ID: 2243597</w:t>
                    </w:r>
                  </w:sdtContent>
                </w:sdt>
              </w:p>
            </w:tc>
          </w:tr>
        </w:tbl>
        <w:p w14:paraId="73809CE4" w14:textId="77777777" w:rsidR="00C6602A" w:rsidRDefault="00C6602A" w:rsidP="00C6602A"/>
        <w:p w14:paraId="280FC08E" w14:textId="77777777" w:rsidR="00C6602A" w:rsidRDefault="00C6602A" w:rsidP="00C6602A"/>
        <w:p w14:paraId="7F5AC672" w14:textId="77777777" w:rsidR="00C6602A" w:rsidRDefault="00C6602A" w:rsidP="00C6602A"/>
        <w:p w14:paraId="587C12D3" w14:textId="77777777" w:rsidR="00C6602A" w:rsidRDefault="00000000" w:rsidP="00C6602A">
          <w:r>
            <w:rPr>
              <w:noProof/>
              <w:color w:val="C4BC96" w:themeColor="background2" w:themeShade="BF"/>
              <w:sz w:val="32"/>
              <w:szCs w:val="32"/>
              <w:lang w:eastAsia="zh-TW"/>
            </w:rPr>
            <w:pict w14:anchorId="123B1FF2">
              <v:rect id="_x0000_s1029" style="position:absolute;margin-left:30.6pt;margin-top:234.2pt;width:550.8pt;height:145.4pt;z-index:251661312;mso-position-horizontal-relative:page;mso-position-vertical-relative:page" o:allowincell="f" fillcolor="#8db3e2 [1311]" stroked="f">
                <v:textbox style="mso-next-textbox:#_x0000_s1029" inset="18pt,0,18pt,0">
                  <w:txbxContent>
                    <w:tbl>
                      <w:tblPr>
                        <w:tblW w:w="5000" w:type="pct"/>
                        <w:tblCellMar>
                          <w:left w:w="360" w:type="dxa"/>
                          <w:right w:w="360" w:type="dxa"/>
                        </w:tblCellMar>
                        <w:tblLook w:val="04A0" w:firstRow="1" w:lastRow="0" w:firstColumn="1" w:lastColumn="0" w:noHBand="0" w:noVBand="1"/>
                      </w:tblPr>
                      <w:tblGrid>
                        <w:gridCol w:w="2206"/>
                        <w:gridCol w:w="8825"/>
                      </w:tblGrid>
                      <w:tr w:rsidR="00190DEB" w14:paraId="4EB1A809" w14:textId="77777777" w:rsidTr="00E9698C">
                        <w:trPr>
                          <w:trHeight w:val="2552"/>
                        </w:trPr>
                        <w:tc>
                          <w:tcPr>
                            <w:tcW w:w="1000" w:type="pct"/>
                            <w:tcBorders>
                              <w:left w:val="single" w:sz="4" w:space="0" w:color="auto"/>
                            </w:tcBorders>
                            <w:shd w:val="clear" w:color="auto" w:fill="000000" w:themeFill="text1"/>
                            <w:vAlign w:val="center"/>
                          </w:tcPr>
                          <w:p w14:paraId="541CB705" w14:textId="77777777" w:rsidR="00190DEB" w:rsidRDefault="00190DEB" w:rsidP="00EC62A9">
                            <w:pPr>
                              <w:rPr>
                                <w:smallCaps/>
                                <w:sz w:val="40"/>
                                <w:szCs w:val="40"/>
                              </w:rPr>
                            </w:pPr>
                          </w:p>
                        </w:tc>
                        <w:tc>
                          <w:tcPr>
                            <w:tcW w:w="4000" w:type="pct"/>
                            <w:vAlign w:val="center"/>
                          </w:tcPr>
                          <w:p w14:paraId="6CA62D14" w14:textId="77777777" w:rsidR="00190DEB" w:rsidRDefault="00190DEB" w:rsidP="00190DEB">
                            <w:pPr>
                              <w:pStyle w:val="NoSpacing"/>
                              <w:rPr>
                                <w:rFonts w:ascii="Arial" w:eastAsia="Calibri" w:hAnsi="Calibri" w:cs="Calibri"/>
                                <w:b/>
                                <w:sz w:val="44"/>
                                <w:szCs w:val="44"/>
                                <w:lang w:val="en-GB"/>
                              </w:rPr>
                            </w:pPr>
                          </w:p>
                          <w:p w14:paraId="3E1C588B" w14:textId="77777777" w:rsidR="00190DEB" w:rsidRDefault="00190DEB" w:rsidP="00190DEB">
                            <w:pPr>
                              <w:pStyle w:val="NoSpacing"/>
                              <w:rPr>
                                <w:rFonts w:ascii="Arial" w:eastAsia="Calibri" w:hAnsi="Calibri" w:cs="Calibri"/>
                                <w:b/>
                                <w:sz w:val="44"/>
                                <w:szCs w:val="44"/>
                                <w:lang w:val="en-GB"/>
                              </w:rPr>
                            </w:pPr>
                            <w:r w:rsidRPr="00190DEB">
                              <w:rPr>
                                <w:rFonts w:ascii="Arial" w:eastAsia="Calibri" w:hAnsi="Calibri" w:cs="Calibri"/>
                                <w:b/>
                                <w:sz w:val="44"/>
                                <w:szCs w:val="44"/>
                                <w:lang w:val="en-GB"/>
                              </w:rPr>
                              <w:t>Assignment</w:t>
                            </w:r>
                            <w:r w:rsidR="00EC0520">
                              <w:rPr>
                                <w:rFonts w:ascii="Arial" w:eastAsia="Calibri" w:hAnsi="Calibri" w:cs="Calibri"/>
                                <w:b/>
                                <w:sz w:val="44"/>
                                <w:szCs w:val="44"/>
                                <w:lang w:val="en-GB"/>
                              </w:rPr>
                              <w:t xml:space="preserve"> </w:t>
                            </w:r>
                            <w:r w:rsidRPr="00190DEB">
                              <w:rPr>
                                <w:rFonts w:ascii="Arial" w:eastAsia="Calibri" w:hAnsi="Calibri" w:cs="Calibri"/>
                                <w:b/>
                                <w:sz w:val="44"/>
                                <w:szCs w:val="44"/>
                                <w:lang w:val="en-GB"/>
                              </w:rPr>
                              <w:t>2:</w:t>
                            </w:r>
                            <w:r w:rsidR="00072209">
                              <w:rPr>
                                <w:rFonts w:ascii="Arial" w:eastAsia="Calibri" w:hAnsi="Calibri" w:cs="Calibri"/>
                                <w:b/>
                                <w:sz w:val="44"/>
                                <w:szCs w:val="44"/>
                                <w:lang w:val="en-GB"/>
                              </w:rPr>
                              <w:t xml:space="preserve"> </w:t>
                            </w:r>
                            <w:r w:rsidRPr="00190DEB">
                              <w:rPr>
                                <w:rFonts w:ascii="Arial" w:eastAsia="Calibri" w:hAnsi="Calibri" w:cs="Calibri"/>
                                <w:b/>
                                <w:sz w:val="44"/>
                                <w:szCs w:val="44"/>
                                <w:lang w:val="en-GB"/>
                              </w:rPr>
                              <w:t>Event Strategic Planning</w:t>
                            </w:r>
                            <w:r>
                              <w:rPr>
                                <w:rFonts w:ascii="Arial" w:eastAsia="Calibri" w:hAnsi="Calibri" w:cs="Calibri"/>
                                <w:b/>
                                <w:sz w:val="44"/>
                                <w:szCs w:val="44"/>
                                <w:lang w:val="en-GB"/>
                              </w:rPr>
                              <w:t xml:space="preserve"> </w:t>
                            </w:r>
                            <w:r w:rsidRPr="00190DEB">
                              <w:rPr>
                                <w:rFonts w:ascii="Arial" w:eastAsia="Calibri" w:hAnsi="Calibri" w:cs="Calibri"/>
                                <w:b/>
                                <w:sz w:val="44"/>
                                <w:szCs w:val="44"/>
                                <w:lang w:val="en-GB"/>
                              </w:rPr>
                              <w:t>and Delivery Considerations for an International Meeting / Event. Report Format (50%)</w:t>
                            </w:r>
                          </w:p>
                          <w:p w14:paraId="607DA522" w14:textId="77777777" w:rsidR="00E9698C" w:rsidRDefault="00E9698C" w:rsidP="00190DEB">
                            <w:pPr>
                              <w:pStyle w:val="NoSpacing"/>
                              <w:rPr>
                                <w:rFonts w:ascii="Arial" w:eastAsia="Calibri" w:hAnsi="Calibri" w:cs="Calibri"/>
                                <w:b/>
                                <w:sz w:val="44"/>
                                <w:szCs w:val="44"/>
                                <w:lang w:val="en-GB"/>
                              </w:rPr>
                            </w:pPr>
                          </w:p>
                          <w:p w14:paraId="4F3504FC" w14:textId="77777777" w:rsidR="00E9698C" w:rsidRDefault="00E9698C" w:rsidP="00190DEB">
                            <w:pPr>
                              <w:pStyle w:val="NoSpacing"/>
                              <w:rPr>
                                <w:rFonts w:ascii="Arial" w:eastAsia="Calibri" w:hAnsi="Calibri" w:cs="Calibri"/>
                                <w:b/>
                                <w:sz w:val="44"/>
                                <w:szCs w:val="44"/>
                                <w:lang w:val="en-GB"/>
                              </w:rPr>
                            </w:pPr>
                          </w:p>
                          <w:p w14:paraId="400D0626" w14:textId="77777777" w:rsidR="00E9698C" w:rsidRPr="00190DEB" w:rsidRDefault="00E9698C" w:rsidP="00190DEB">
                            <w:pPr>
                              <w:pStyle w:val="NoSpacing"/>
                              <w:rPr>
                                <w:smallCaps/>
                                <w:color w:val="FFFFFF" w:themeColor="background1"/>
                                <w:sz w:val="44"/>
                                <w:szCs w:val="44"/>
                              </w:rPr>
                            </w:pPr>
                          </w:p>
                        </w:tc>
                      </w:tr>
                    </w:tbl>
                    <w:p w14:paraId="10883F02" w14:textId="77777777" w:rsidR="00190DEB" w:rsidRDefault="00190DEB">
                      <w:pPr>
                        <w:pStyle w:val="NoSpacing"/>
                        <w:spacing w:line="14" w:lineRule="exact"/>
                      </w:pPr>
                    </w:p>
                  </w:txbxContent>
                </v:textbox>
                <w10:wrap anchorx="page" anchory="page"/>
              </v:rect>
            </w:pict>
          </w:r>
        </w:p>
        <w:p w14:paraId="2AEB1BF8" w14:textId="77777777" w:rsidR="00C6602A" w:rsidRDefault="00C6602A" w:rsidP="00C6602A"/>
        <w:p w14:paraId="189CC17A" w14:textId="77777777" w:rsidR="00C6602A" w:rsidRDefault="00C6602A" w:rsidP="00C6602A"/>
        <w:p w14:paraId="50B72AA1" w14:textId="77777777" w:rsidR="00C6602A" w:rsidRDefault="00C6602A" w:rsidP="00C6602A"/>
        <w:p w14:paraId="1DEB3D01" w14:textId="77777777" w:rsidR="00C6602A" w:rsidRDefault="00C6602A" w:rsidP="00C6602A"/>
        <w:p w14:paraId="64901306" w14:textId="77777777" w:rsidR="00C6602A" w:rsidRDefault="00C6602A" w:rsidP="00C6602A"/>
        <w:p w14:paraId="0636A7D9" w14:textId="77777777" w:rsidR="00C6602A" w:rsidRDefault="00C6602A" w:rsidP="00C6602A"/>
        <w:p w14:paraId="79D1DB10" w14:textId="77777777" w:rsidR="00C6602A" w:rsidRDefault="00C6602A" w:rsidP="00C6602A"/>
        <w:p w14:paraId="02CDED9A" w14:textId="77777777" w:rsidR="00C6602A" w:rsidRDefault="00C6602A" w:rsidP="00C6602A"/>
        <w:p w14:paraId="3120D8EE" w14:textId="77777777" w:rsidR="00C6602A" w:rsidRDefault="00C6602A" w:rsidP="00C6602A"/>
        <w:p w14:paraId="542EEDD7" w14:textId="77777777" w:rsidR="00C6602A" w:rsidRDefault="00C6602A" w:rsidP="00C6602A"/>
        <w:p w14:paraId="2767379C" w14:textId="77777777" w:rsidR="00C6602A" w:rsidRDefault="00C6602A" w:rsidP="00C6602A"/>
        <w:p w14:paraId="3DCD21BB" w14:textId="77777777" w:rsidR="00C6602A" w:rsidRDefault="00C6602A" w:rsidP="00C6602A"/>
        <w:p w14:paraId="0193D668" w14:textId="77777777" w:rsidR="00C6602A" w:rsidRDefault="00000000" w:rsidP="00C6602A"/>
      </w:sdtContent>
    </w:sdt>
    <w:p w14:paraId="1F951499" w14:textId="34BEBD15" w:rsidR="00C6602A" w:rsidRPr="00C6602A" w:rsidRDefault="00C6602A" w:rsidP="007F3F71">
      <w:pPr>
        <w:jc w:val="both"/>
      </w:pPr>
      <w:r w:rsidRPr="00C6602A">
        <w:t xml:space="preserve">AI </w:t>
      </w:r>
      <w:r w:rsidR="00BA1A86" w:rsidRPr="00C6602A">
        <w:t>Acknowledgement</w:t>
      </w:r>
      <w:r w:rsidRPr="00C6602A">
        <w:t xml:space="preserve"> </w:t>
      </w:r>
    </w:p>
    <w:p w14:paraId="3543E9A1" w14:textId="77777777" w:rsidR="00C6602A" w:rsidRPr="00C6602A" w:rsidRDefault="00C6602A" w:rsidP="007F3F71">
      <w:pPr>
        <w:jc w:val="both"/>
      </w:pPr>
      <w:r w:rsidRPr="00C6602A">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66A5BD" w14:textId="77777777" w:rsidR="0042485A" w:rsidRPr="002C1DE6" w:rsidRDefault="00F71A8C" w:rsidP="002C1DE6">
      <w:pPr>
        <w:spacing w:line="360" w:lineRule="auto"/>
        <w:jc w:val="both"/>
        <w:rPr>
          <w:rFonts w:ascii="Arial" w:hAnsi="Arial" w:cs="Arial"/>
          <w:b/>
          <w:bCs/>
          <w:sz w:val="24"/>
          <w:szCs w:val="24"/>
        </w:rPr>
      </w:pPr>
      <w:r>
        <w:rPr>
          <w:rFonts w:ascii="Arial" w:hAnsi="Arial" w:cs="Arial"/>
          <w:b/>
          <w:bCs/>
          <w:sz w:val="24"/>
          <w:szCs w:val="24"/>
        </w:rPr>
        <w:lastRenderedPageBreak/>
        <w:t>Word count (2730</w:t>
      </w:r>
      <w:r w:rsidR="0042485A" w:rsidRPr="002C1DE6">
        <w:rPr>
          <w:rFonts w:ascii="Arial" w:hAnsi="Arial" w:cs="Arial"/>
          <w:b/>
          <w:bCs/>
          <w:sz w:val="24"/>
          <w:szCs w:val="24"/>
        </w:rPr>
        <w:t>)</w:t>
      </w:r>
    </w:p>
    <w:p w14:paraId="41F0F021"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Introduction</w:t>
      </w:r>
    </w:p>
    <w:p w14:paraId="5339077A"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The landscape of major events has evolved far beyond temporary celebration; it is now a critical instrument of economic policy, destination marketing, and national branding (Getz and Page, 2019). The Welsh Government (2022) has explicitly adopted this view in its National Events Strategy, focusing on attracting events that deliver a significant and lasting economic return. This report presents the strategic plan for such an event: The '</w:t>
      </w:r>
      <w:proofErr w:type="spellStart"/>
      <w:r w:rsidRPr="002C1DE6">
        <w:rPr>
          <w:rFonts w:ascii="Arial" w:hAnsi="Arial" w:cs="Arial"/>
          <w:sz w:val="24"/>
          <w:szCs w:val="24"/>
        </w:rPr>
        <w:t>Croeso</w:t>
      </w:r>
      <w:proofErr w:type="spellEnd"/>
      <w:r w:rsidRPr="002C1DE6">
        <w:rPr>
          <w:rFonts w:ascii="Arial" w:hAnsi="Arial" w:cs="Arial"/>
          <w:sz w:val="24"/>
          <w:szCs w:val="24"/>
        </w:rPr>
        <w:t>' International Hospitality Investment Summit 2025.</w:t>
      </w:r>
    </w:p>
    <w:p w14:paraId="4DE0C19D"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This summit is not a proposal initiated in a vacuum. It is the next logical, strategic step in a multi-decade journey for Wales. The 2010 Ryder Cup was a watershed moment, proving Wales's capability to host a global spectacle and generating a tangible £82.4 million economic impact (European Tour, 2011; IFM, 2011). This established a clear precedent for </w:t>
      </w:r>
      <w:r w:rsidRPr="002C1DE6">
        <w:rPr>
          <w:rFonts w:ascii="Arial" w:hAnsi="Arial" w:cs="Arial"/>
          <w:bCs/>
          <w:sz w:val="24"/>
          <w:szCs w:val="24"/>
        </w:rPr>
        <w:t>strategic sports event management</w:t>
      </w:r>
      <w:r w:rsidRPr="002C1DE6">
        <w:rPr>
          <w:rFonts w:ascii="Arial" w:hAnsi="Arial" w:cs="Arial"/>
          <w:sz w:val="24"/>
          <w:szCs w:val="24"/>
        </w:rPr>
        <w:t xml:space="preserve"> (Masterman, 2014), which was followed by the 2014 NATO Summit, further cementing Wales's reputation for operational excellence and high-security logistics management (Welsh Government, 2014). A proven legacy of capability now exists.</w:t>
      </w:r>
    </w:p>
    <w:p w14:paraId="42708C43"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However, a strategic gap remains. Whilst the UK hotel investment market is booming, with transaction volumes at a seven-year high (Knight Frank, 2025), this capital is disproportionately flowing into London and the North West of England (PwC, 2024). Wales, despite its proven track record, is being overlooked.</w:t>
      </w:r>
    </w:p>
    <w:p w14:paraId="72C1B337" w14:textId="0D7A2BFF" w:rsidR="0042485A" w:rsidRDefault="0042485A" w:rsidP="002C1DE6">
      <w:pPr>
        <w:spacing w:line="360" w:lineRule="auto"/>
        <w:jc w:val="both"/>
        <w:rPr>
          <w:rFonts w:ascii="Arial" w:hAnsi="Arial" w:cs="Arial"/>
          <w:sz w:val="24"/>
          <w:szCs w:val="24"/>
        </w:rPr>
      </w:pPr>
      <w:r w:rsidRPr="002C1DE6">
        <w:rPr>
          <w:rFonts w:ascii="Arial" w:hAnsi="Arial" w:cs="Arial"/>
          <w:sz w:val="24"/>
          <w:szCs w:val="24"/>
        </w:rPr>
        <w:t>The '</w:t>
      </w:r>
      <w:proofErr w:type="spellStart"/>
      <w:r w:rsidRPr="002C1DE6">
        <w:rPr>
          <w:rFonts w:ascii="Arial" w:hAnsi="Arial" w:cs="Arial"/>
          <w:sz w:val="24"/>
          <w:szCs w:val="24"/>
        </w:rPr>
        <w:t>Croeso</w:t>
      </w:r>
      <w:proofErr w:type="spellEnd"/>
      <w:r w:rsidRPr="002C1DE6">
        <w:rPr>
          <w:rFonts w:ascii="Arial" w:hAnsi="Arial" w:cs="Arial"/>
          <w:sz w:val="24"/>
          <w:szCs w:val="24"/>
        </w:rPr>
        <w:t xml:space="preserve">' Summit is the strategic intervention designed to correct this. As established in the feasibility study (Assignment 1), the event is feasible. This report provides the "how". It is the strategic blueprint for moving beyond feasibility to execution. This report, therefore, serves as the critical bridge between a validated concept and a deliverable, high-stakes project. It will deconstruct the strategic components required, from stakeholder management to the nuanced marketing of 'place' as a tangible asset, all designed to leverage our proven legacy, directly engage high-value international investors, and convert Wales's global reputation into tangible, long-term hospitality investment. </w:t>
      </w:r>
    </w:p>
    <w:p w14:paraId="0C052CC2" w14:textId="77777777" w:rsidR="00716AFD" w:rsidRPr="002C1DE6" w:rsidRDefault="00716AFD" w:rsidP="002C1DE6">
      <w:pPr>
        <w:spacing w:line="360" w:lineRule="auto"/>
        <w:jc w:val="both"/>
        <w:rPr>
          <w:rFonts w:ascii="Arial" w:hAnsi="Arial" w:cs="Arial"/>
          <w:sz w:val="24"/>
          <w:szCs w:val="24"/>
        </w:rPr>
      </w:pPr>
    </w:p>
    <w:p w14:paraId="3D92D7FB"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The Event Cycle</w:t>
      </w:r>
    </w:p>
    <w:p w14:paraId="4574994A"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To effectively manage an event of this financial and strategic complexity, a formal project management structure is essential (Meredith et al., 2022). The event cycle provides the theoretical framework for this structure. Whilst several models exist (Bowdin et al., 2012), the model adapted from Shone and Parry (2019) offers a clear four-stage process: Initiation, Planning, Implementation, and Evaluation.</w:t>
      </w:r>
    </w:p>
    <w:p w14:paraId="2529954F" w14:textId="77777777" w:rsidR="0042485A" w:rsidRPr="008D7338" w:rsidRDefault="008D7338" w:rsidP="008D7338">
      <w:pPr>
        <w:spacing w:after="160" w:line="360" w:lineRule="auto"/>
        <w:jc w:val="both"/>
        <w:rPr>
          <w:rFonts w:ascii="Arial" w:hAnsi="Arial" w:cs="Arial"/>
          <w:sz w:val="24"/>
          <w:szCs w:val="24"/>
        </w:rPr>
      </w:pPr>
      <w:r>
        <w:rPr>
          <w:rFonts w:ascii="Arial" w:hAnsi="Arial" w:cs="Arial"/>
          <w:b/>
          <w:bCs/>
          <w:sz w:val="24"/>
          <w:szCs w:val="24"/>
        </w:rPr>
        <w:t xml:space="preserve">1 </w:t>
      </w:r>
      <w:r w:rsidR="0042485A" w:rsidRPr="008D7338">
        <w:rPr>
          <w:rFonts w:ascii="Arial" w:hAnsi="Arial" w:cs="Arial"/>
          <w:b/>
          <w:bCs/>
          <w:sz w:val="24"/>
          <w:szCs w:val="24"/>
        </w:rPr>
        <w:t>Initiation:</w:t>
      </w:r>
      <w:r w:rsidR="0042485A" w:rsidRPr="008D7338">
        <w:rPr>
          <w:rFonts w:ascii="Arial" w:hAnsi="Arial" w:cs="Arial"/>
          <w:sz w:val="24"/>
          <w:szCs w:val="24"/>
        </w:rPr>
        <w:t xml:space="preserve"> This phase has been completed and was the subject of the Assignment 1 feasibility study. This initial step aligns with established frameworks for event feasibility and development, moving from strategy to operations (O'Toole, 2011). It confirmed the viability of the summit based on strong market demand (Knight Frank, 2025), a clear strategic gap (PwC, 2024), and a robust operational precedent (Welsh Government, 2014). The "go" decision was justified by a high-potential ROI that dwarfed the initial financial risk.</w:t>
      </w:r>
    </w:p>
    <w:p w14:paraId="4751C0FB" w14:textId="77777777" w:rsidR="0042485A" w:rsidRPr="008D7338" w:rsidRDefault="008D7338" w:rsidP="008D7338">
      <w:pPr>
        <w:spacing w:after="160" w:line="360" w:lineRule="auto"/>
        <w:jc w:val="both"/>
        <w:rPr>
          <w:rFonts w:ascii="Arial" w:hAnsi="Arial" w:cs="Arial"/>
          <w:sz w:val="24"/>
          <w:szCs w:val="24"/>
        </w:rPr>
      </w:pPr>
      <w:r>
        <w:rPr>
          <w:rFonts w:ascii="Arial" w:hAnsi="Arial" w:cs="Arial"/>
          <w:b/>
          <w:bCs/>
          <w:sz w:val="24"/>
          <w:szCs w:val="24"/>
        </w:rPr>
        <w:t xml:space="preserve">2 </w:t>
      </w:r>
      <w:r w:rsidR="0042485A" w:rsidRPr="008D7338">
        <w:rPr>
          <w:rFonts w:ascii="Arial" w:hAnsi="Arial" w:cs="Arial"/>
          <w:b/>
          <w:bCs/>
          <w:sz w:val="24"/>
          <w:szCs w:val="24"/>
        </w:rPr>
        <w:t>Planning (The Current Phase):</w:t>
      </w:r>
      <w:r w:rsidR="0042485A" w:rsidRPr="008D7338">
        <w:rPr>
          <w:rFonts w:ascii="Arial" w:hAnsi="Arial" w:cs="Arial"/>
          <w:sz w:val="24"/>
          <w:szCs w:val="24"/>
        </w:rPr>
        <w:t xml:space="preserve"> This report forms the core of the planning phase. The strategic focus here is on the integration of complex workstreams. Unlike a public festival, this event's planning is dominated by high-level stakeholder management. This involves a dedicated project team coordinating three key groups:</w:t>
      </w:r>
    </w:p>
    <w:p w14:paraId="26652963" w14:textId="77777777" w:rsidR="0042485A" w:rsidRPr="008D7338" w:rsidRDefault="0042485A" w:rsidP="008D7338">
      <w:pPr>
        <w:pStyle w:val="ListParagraph"/>
        <w:numPr>
          <w:ilvl w:val="0"/>
          <w:numId w:val="20"/>
        </w:numPr>
        <w:spacing w:after="160" w:line="360" w:lineRule="auto"/>
        <w:jc w:val="both"/>
        <w:rPr>
          <w:rFonts w:ascii="Arial" w:hAnsi="Arial" w:cs="Arial"/>
          <w:sz w:val="24"/>
          <w:szCs w:val="24"/>
        </w:rPr>
      </w:pPr>
      <w:r w:rsidRPr="008D7338">
        <w:rPr>
          <w:rFonts w:ascii="Arial" w:hAnsi="Arial" w:cs="Arial"/>
          <w:sz w:val="24"/>
          <w:szCs w:val="24"/>
        </w:rPr>
        <w:t>The 'Investors': The target delegates (US private equity, EU developers) (Christie &amp; Co, 2025).</w:t>
      </w:r>
    </w:p>
    <w:p w14:paraId="11F18A64" w14:textId="77777777" w:rsidR="0042485A" w:rsidRPr="008D7338" w:rsidRDefault="0042485A" w:rsidP="008D7338">
      <w:pPr>
        <w:pStyle w:val="ListParagraph"/>
        <w:numPr>
          <w:ilvl w:val="0"/>
          <w:numId w:val="20"/>
        </w:numPr>
        <w:spacing w:after="160" w:line="360" w:lineRule="auto"/>
        <w:jc w:val="both"/>
        <w:rPr>
          <w:rFonts w:ascii="Arial" w:hAnsi="Arial" w:cs="Arial"/>
          <w:sz w:val="24"/>
          <w:szCs w:val="24"/>
        </w:rPr>
      </w:pPr>
      <w:r w:rsidRPr="008D7338">
        <w:rPr>
          <w:rFonts w:ascii="Arial" w:hAnsi="Arial" w:cs="Arial"/>
          <w:sz w:val="24"/>
          <w:szCs w:val="24"/>
        </w:rPr>
        <w:t>The 'Partners': The Welsh Government (policy) and ICC Wales (venue).</w:t>
      </w:r>
    </w:p>
    <w:p w14:paraId="7A56E67B" w14:textId="77777777" w:rsidR="0042485A" w:rsidRPr="008D7338" w:rsidRDefault="0042485A" w:rsidP="008D7338">
      <w:pPr>
        <w:pStyle w:val="ListParagraph"/>
        <w:numPr>
          <w:ilvl w:val="0"/>
          <w:numId w:val="20"/>
        </w:numPr>
        <w:spacing w:after="160" w:line="360" w:lineRule="auto"/>
        <w:jc w:val="both"/>
        <w:rPr>
          <w:rFonts w:ascii="Arial" w:hAnsi="Arial" w:cs="Arial"/>
          <w:sz w:val="24"/>
          <w:szCs w:val="24"/>
        </w:rPr>
      </w:pPr>
      <w:r w:rsidRPr="008D7338">
        <w:rPr>
          <w:rFonts w:ascii="Arial" w:hAnsi="Arial" w:cs="Arial"/>
          <w:sz w:val="24"/>
          <w:szCs w:val="24"/>
        </w:rPr>
        <w:t>The 'Sponsors': Corporate finance, legal, and construction firms who will fund the event (Matthews, 2023). This integration is notoriously complex. A failure in one stream (e.g., sponsorship) has a cascading effect on another (e.g., marketing budget), making a unified Project Management Office (PMO) structure, as advocated by Meredith et al. (2022), non-negotiable.</w:t>
      </w:r>
    </w:p>
    <w:p w14:paraId="72D4F9D0" w14:textId="77777777" w:rsidR="0042485A" w:rsidRPr="002C1DE6" w:rsidRDefault="008D7338" w:rsidP="008D7338">
      <w:pPr>
        <w:spacing w:after="160" w:line="360" w:lineRule="auto"/>
        <w:jc w:val="both"/>
        <w:rPr>
          <w:rFonts w:ascii="Arial" w:hAnsi="Arial" w:cs="Arial"/>
          <w:sz w:val="24"/>
          <w:szCs w:val="24"/>
        </w:rPr>
      </w:pPr>
      <w:r>
        <w:rPr>
          <w:rFonts w:ascii="Arial" w:hAnsi="Arial" w:cs="Arial"/>
          <w:b/>
          <w:bCs/>
          <w:sz w:val="24"/>
          <w:szCs w:val="24"/>
        </w:rPr>
        <w:t xml:space="preserve">3 </w:t>
      </w:r>
      <w:r w:rsidR="0042485A" w:rsidRPr="002C1DE6">
        <w:rPr>
          <w:rFonts w:ascii="Arial" w:hAnsi="Arial" w:cs="Arial"/>
          <w:b/>
          <w:bCs/>
          <w:sz w:val="24"/>
          <w:szCs w:val="24"/>
        </w:rPr>
        <w:t>Implementation:</w:t>
      </w:r>
      <w:r w:rsidR="0042485A" w:rsidRPr="002C1DE6">
        <w:rPr>
          <w:rFonts w:ascii="Arial" w:hAnsi="Arial" w:cs="Arial"/>
          <w:sz w:val="24"/>
          <w:szCs w:val="24"/>
        </w:rPr>
        <w:t xml:space="preserve"> This is the execution of the 3-day summit. The strategic focus is on flawless delivery. For this specific audience, "good enough" is a failure. The delegate </w:t>
      </w:r>
      <w:r w:rsidR="0042485A" w:rsidRPr="002C1DE6">
        <w:rPr>
          <w:rFonts w:ascii="Arial" w:hAnsi="Arial" w:cs="Arial"/>
          <w:sz w:val="24"/>
          <w:szCs w:val="24"/>
        </w:rPr>
        <w:lastRenderedPageBreak/>
        <w:t>experience must be seamless, from VIP transport logistics (drawing on the NATO precedent) to the AV quality of financial presentations and the premium, authentic representation of '</w:t>
      </w:r>
      <w:proofErr w:type="spellStart"/>
      <w:r w:rsidR="0042485A" w:rsidRPr="002C1DE6">
        <w:rPr>
          <w:rFonts w:ascii="Arial" w:hAnsi="Arial" w:cs="Arial"/>
          <w:sz w:val="24"/>
          <w:szCs w:val="24"/>
        </w:rPr>
        <w:t>Croeso</w:t>
      </w:r>
      <w:proofErr w:type="spellEnd"/>
      <w:r w:rsidR="0042485A" w:rsidRPr="002C1DE6">
        <w:rPr>
          <w:rFonts w:ascii="Arial" w:hAnsi="Arial" w:cs="Arial"/>
          <w:sz w:val="24"/>
          <w:szCs w:val="24"/>
        </w:rPr>
        <w:t>' (Visit Wales, 2024).</w:t>
      </w:r>
    </w:p>
    <w:p w14:paraId="6F808796" w14:textId="77777777" w:rsidR="0042485A" w:rsidRDefault="008D7338" w:rsidP="008D7338">
      <w:pPr>
        <w:spacing w:after="160" w:line="360" w:lineRule="auto"/>
        <w:jc w:val="both"/>
        <w:rPr>
          <w:rFonts w:ascii="Arial" w:hAnsi="Arial" w:cs="Arial"/>
          <w:sz w:val="24"/>
          <w:szCs w:val="24"/>
        </w:rPr>
      </w:pPr>
      <w:r>
        <w:rPr>
          <w:rFonts w:ascii="Arial" w:hAnsi="Arial" w:cs="Arial"/>
          <w:b/>
          <w:bCs/>
          <w:sz w:val="24"/>
          <w:szCs w:val="24"/>
        </w:rPr>
        <w:t xml:space="preserve">4 </w:t>
      </w:r>
      <w:r w:rsidR="0042485A" w:rsidRPr="008D7338">
        <w:rPr>
          <w:rFonts w:ascii="Arial" w:hAnsi="Arial" w:cs="Arial"/>
          <w:b/>
          <w:bCs/>
          <w:sz w:val="24"/>
          <w:szCs w:val="24"/>
        </w:rPr>
        <w:t>Evaluation:</w:t>
      </w:r>
      <w:r w:rsidR="0042485A" w:rsidRPr="008D7338">
        <w:rPr>
          <w:rFonts w:ascii="Arial" w:hAnsi="Arial" w:cs="Arial"/>
          <w:sz w:val="24"/>
          <w:szCs w:val="24"/>
        </w:rPr>
        <w:t xml:space="preserve"> This is the most critical strategic phase. For this event, evaluation is not a simple post-event "happy sheet". Success is not measured by attendee satisfaction or profit on the day. Success is measured entirely by the achievement of the strategic objectives. The critical task for the event team will be to track qualified investment leads generated by the summit over the subsequent 12-24 months. This defines the event's true legacy (Preuss, 2007) and provides the ROI justification for future government support. This long-term tracking moves the event from a simple 'meeting' to an 'economic intervention' (</w:t>
      </w:r>
      <w:proofErr w:type="spellStart"/>
      <w:r w:rsidR="0042485A" w:rsidRPr="008D7338">
        <w:rPr>
          <w:rFonts w:ascii="Arial" w:hAnsi="Arial" w:cs="Arial"/>
          <w:sz w:val="24"/>
          <w:szCs w:val="24"/>
        </w:rPr>
        <w:t>Chalip</w:t>
      </w:r>
      <w:proofErr w:type="spellEnd"/>
      <w:r w:rsidR="0042485A" w:rsidRPr="008D7338">
        <w:rPr>
          <w:rFonts w:ascii="Arial" w:hAnsi="Arial" w:cs="Arial"/>
          <w:sz w:val="24"/>
          <w:szCs w:val="24"/>
        </w:rPr>
        <w:t>, 2014), providing the quantifiable data necessary to justify a repeat of the event and the continuation of the government's strategic investment (Getz and Page, 2019).</w:t>
      </w:r>
    </w:p>
    <w:p w14:paraId="30DE7C68" w14:textId="77777777" w:rsidR="00716AFD" w:rsidRPr="008D7338" w:rsidRDefault="00716AFD" w:rsidP="008D7338">
      <w:pPr>
        <w:spacing w:after="160" w:line="360" w:lineRule="auto"/>
        <w:jc w:val="both"/>
        <w:rPr>
          <w:rFonts w:ascii="Arial" w:hAnsi="Arial" w:cs="Arial"/>
          <w:sz w:val="24"/>
          <w:szCs w:val="24"/>
        </w:rPr>
      </w:pPr>
    </w:p>
    <w:p w14:paraId="62575F72"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 xml:space="preserve"> Event Concept (The Delegate Experience)</w:t>
      </w:r>
    </w:p>
    <w:p w14:paraId="4CF5850F" w14:textId="77777777" w:rsidR="0042485A"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To justify the high delegate fees and attract high-net-worth investors, the event concept cannot be a standard conference. It must be a curated, premium experience that positions the summit at the apex of the </w:t>
      </w:r>
      <w:r w:rsidRPr="00CA7AFE">
        <w:rPr>
          <w:rFonts w:ascii="Arial" w:hAnsi="Arial" w:cs="Arial"/>
          <w:bCs/>
          <w:sz w:val="24"/>
          <w:szCs w:val="24"/>
        </w:rPr>
        <w:t>global conferences and conventions industry</w:t>
      </w:r>
      <w:r w:rsidRPr="002C1DE6">
        <w:rPr>
          <w:rFonts w:ascii="Arial" w:hAnsi="Arial" w:cs="Arial"/>
          <w:sz w:val="24"/>
          <w:szCs w:val="24"/>
        </w:rPr>
        <w:t xml:space="preserve"> (Rogers and Wynn-Moylan, 2022), combining exclusive access with tangible opportunity (Berridge, 2012). The 3-day itinerary is designed to build a narrative.</w:t>
      </w:r>
    </w:p>
    <w:p w14:paraId="01FE78D4" w14:textId="77777777" w:rsidR="00E00D00" w:rsidRPr="002C1DE6" w:rsidRDefault="00E00D00" w:rsidP="002C1DE6">
      <w:pPr>
        <w:spacing w:line="360" w:lineRule="auto"/>
        <w:jc w:val="both"/>
        <w:rPr>
          <w:rFonts w:ascii="Arial" w:hAnsi="Arial" w:cs="Arial"/>
          <w:sz w:val="24"/>
          <w:szCs w:val="24"/>
        </w:rPr>
      </w:pPr>
    </w:p>
    <w:p w14:paraId="1A6E1178"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Day 1: The '</w:t>
      </w:r>
      <w:proofErr w:type="spellStart"/>
      <w:r w:rsidRPr="002C1DE6">
        <w:rPr>
          <w:rFonts w:ascii="Arial" w:hAnsi="Arial" w:cs="Arial"/>
          <w:b/>
          <w:bCs/>
          <w:sz w:val="24"/>
          <w:szCs w:val="24"/>
        </w:rPr>
        <w:t>Croeso</w:t>
      </w:r>
      <w:proofErr w:type="spellEnd"/>
      <w:r w:rsidRPr="002C1DE6">
        <w:rPr>
          <w:rFonts w:ascii="Arial" w:hAnsi="Arial" w:cs="Arial"/>
          <w:b/>
          <w:bCs/>
          <w:sz w:val="24"/>
          <w:szCs w:val="24"/>
        </w:rPr>
        <w:t>' Welcome &amp; Immersion</w:t>
      </w:r>
    </w:p>
    <w:p w14:paraId="0BA0E1C5" w14:textId="77777777" w:rsidR="0042485A" w:rsidRPr="002C1DE6" w:rsidRDefault="0042485A" w:rsidP="002C1DE6">
      <w:pPr>
        <w:numPr>
          <w:ilvl w:val="0"/>
          <w:numId w:val="2"/>
        </w:numPr>
        <w:spacing w:after="160" w:line="360" w:lineRule="auto"/>
        <w:jc w:val="both"/>
        <w:rPr>
          <w:rFonts w:ascii="Arial" w:hAnsi="Arial" w:cs="Arial"/>
          <w:sz w:val="24"/>
          <w:szCs w:val="24"/>
        </w:rPr>
      </w:pPr>
      <w:r w:rsidRPr="00CA7AFE">
        <w:rPr>
          <w:rFonts w:ascii="Arial" w:hAnsi="Arial" w:cs="Arial"/>
          <w:bCs/>
          <w:sz w:val="24"/>
          <w:szCs w:val="24"/>
        </w:rPr>
        <w:t>Afternoon:</w:t>
      </w:r>
      <w:r w:rsidRPr="002C1DE6">
        <w:rPr>
          <w:rFonts w:ascii="Arial" w:hAnsi="Arial" w:cs="Arial"/>
          <w:sz w:val="24"/>
          <w:szCs w:val="24"/>
        </w:rPr>
        <w:t xml:space="preserve"> VIP arrivals (Cardiff Airport) with dedicated, secure transport to Newport.</w:t>
      </w:r>
    </w:p>
    <w:p w14:paraId="3601FD63" w14:textId="77777777" w:rsidR="0042485A" w:rsidRPr="002C1DE6" w:rsidRDefault="0042485A" w:rsidP="002C1DE6">
      <w:pPr>
        <w:numPr>
          <w:ilvl w:val="0"/>
          <w:numId w:val="2"/>
        </w:numPr>
        <w:spacing w:after="160" w:line="360" w:lineRule="auto"/>
        <w:jc w:val="both"/>
        <w:rPr>
          <w:rFonts w:ascii="Arial" w:hAnsi="Arial" w:cs="Arial"/>
          <w:sz w:val="24"/>
          <w:szCs w:val="24"/>
        </w:rPr>
      </w:pPr>
      <w:r w:rsidRPr="00CA7AFE">
        <w:rPr>
          <w:rFonts w:ascii="Arial" w:hAnsi="Arial" w:cs="Arial"/>
          <w:bCs/>
          <w:sz w:val="24"/>
          <w:szCs w:val="24"/>
        </w:rPr>
        <w:t>Evening</w:t>
      </w:r>
      <w:r w:rsidRPr="002C1DE6">
        <w:rPr>
          <w:rFonts w:ascii="Arial" w:hAnsi="Arial" w:cs="Arial"/>
          <w:b/>
          <w:bCs/>
          <w:sz w:val="24"/>
          <w:szCs w:val="24"/>
        </w:rPr>
        <w:t>:</w:t>
      </w:r>
      <w:r w:rsidRPr="002C1DE6">
        <w:rPr>
          <w:rFonts w:ascii="Arial" w:hAnsi="Arial" w:cs="Arial"/>
          <w:sz w:val="24"/>
          <w:szCs w:val="24"/>
        </w:rPr>
        <w:t xml:space="preserve"> The '</w:t>
      </w:r>
      <w:proofErr w:type="spellStart"/>
      <w:r w:rsidRPr="002C1DE6">
        <w:rPr>
          <w:rFonts w:ascii="Arial" w:hAnsi="Arial" w:cs="Arial"/>
          <w:sz w:val="24"/>
          <w:szCs w:val="24"/>
        </w:rPr>
        <w:t>Croeso</w:t>
      </w:r>
      <w:proofErr w:type="spellEnd"/>
      <w:r w:rsidRPr="002C1DE6">
        <w:rPr>
          <w:rFonts w:ascii="Arial" w:hAnsi="Arial" w:cs="Arial"/>
          <w:sz w:val="24"/>
          <w:szCs w:val="24"/>
        </w:rPr>
        <w:t>' Welcome Reception at ICC Wales.</w:t>
      </w:r>
    </w:p>
    <w:p w14:paraId="056288FF" w14:textId="77777777" w:rsidR="0042485A" w:rsidRDefault="0042485A" w:rsidP="00846DC4">
      <w:pPr>
        <w:spacing w:after="160" w:line="360" w:lineRule="auto"/>
        <w:jc w:val="both"/>
        <w:rPr>
          <w:rFonts w:ascii="Arial" w:hAnsi="Arial" w:cs="Arial"/>
          <w:sz w:val="24"/>
          <w:szCs w:val="24"/>
        </w:rPr>
      </w:pPr>
      <w:r w:rsidRPr="002C1DE6">
        <w:rPr>
          <w:rFonts w:ascii="Arial" w:hAnsi="Arial" w:cs="Arial"/>
          <w:sz w:val="24"/>
          <w:szCs w:val="24"/>
        </w:rPr>
        <w:t>This is a high-impact networking event hosted in partnership with the Welsh Government.</w:t>
      </w:r>
    </w:p>
    <w:p w14:paraId="699790F1" w14:textId="77777777" w:rsidR="00BA1A86" w:rsidRPr="002C1DE6" w:rsidRDefault="00BA1A86" w:rsidP="00846DC4">
      <w:pPr>
        <w:spacing w:after="160" w:line="360" w:lineRule="auto"/>
        <w:jc w:val="both"/>
        <w:rPr>
          <w:rFonts w:ascii="Arial" w:hAnsi="Arial" w:cs="Arial"/>
          <w:sz w:val="24"/>
          <w:szCs w:val="24"/>
        </w:rPr>
      </w:pPr>
    </w:p>
    <w:p w14:paraId="302E63CC" w14:textId="77777777" w:rsidR="0042485A" w:rsidRPr="002C1DE6" w:rsidRDefault="0042485A" w:rsidP="00846DC4">
      <w:pPr>
        <w:spacing w:after="160" w:line="360" w:lineRule="auto"/>
        <w:jc w:val="both"/>
        <w:rPr>
          <w:rFonts w:ascii="Arial" w:hAnsi="Arial" w:cs="Arial"/>
          <w:sz w:val="24"/>
          <w:szCs w:val="24"/>
        </w:rPr>
      </w:pPr>
      <w:r w:rsidRPr="002C1DE6">
        <w:rPr>
          <w:rFonts w:ascii="Arial" w:hAnsi="Arial" w:cs="Arial"/>
          <w:sz w:val="24"/>
          <w:szCs w:val="24"/>
        </w:rPr>
        <w:t>It showcases premium Welsh 'Sense of Place': curated Welsh food and drink (e.g., Penderyn whisky tasting, Welsh Lamb canapés) and high-end cultural performances (e.g., a quartet from the Welsh National Opera).</w:t>
      </w:r>
    </w:p>
    <w:p w14:paraId="7EB755AF" w14:textId="77777777" w:rsidR="0042485A" w:rsidRDefault="0042485A" w:rsidP="00846DC4">
      <w:pPr>
        <w:spacing w:after="160" w:line="360" w:lineRule="auto"/>
        <w:jc w:val="both"/>
        <w:rPr>
          <w:rFonts w:ascii="Arial" w:hAnsi="Arial" w:cs="Arial"/>
          <w:sz w:val="24"/>
          <w:szCs w:val="24"/>
        </w:rPr>
      </w:pPr>
      <w:r w:rsidRPr="002C1DE6">
        <w:rPr>
          <w:rFonts w:ascii="Arial" w:hAnsi="Arial" w:cs="Arial"/>
          <w:sz w:val="24"/>
          <w:szCs w:val="24"/>
        </w:rPr>
        <w:t>The objective is to establish relationships and frame '</w:t>
      </w:r>
      <w:proofErr w:type="spellStart"/>
      <w:r w:rsidRPr="002C1DE6">
        <w:rPr>
          <w:rFonts w:ascii="Arial" w:hAnsi="Arial" w:cs="Arial"/>
          <w:sz w:val="24"/>
          <w:szCs w:val="24"/>
        </w:rPr>
        <w:t>Croeso</w:t>
      </w:r>
      <w:proofErr w:type="spellEnd"/>
      <w:r w:rsidRPr="002C1DE6">
        <w:rPr>
          <w:rFonts w:ascii="Arial" w:hAnsi="Arial" w:cs="Arial"/>
          <w:sz w:val="24"/>
          <w:szCs w:val="24"/>
        </w:rPr>
        <w:t>' as a premium, professional, and authentic concept (Jones, 2023). This is a critical first impression, designed to replace any outdated perceptions of Wales with an immediate experience of modern, premium, and professional hospitality.</w:t>
      </w:r>
    </w:p>
    <w:p w14:paraId="5A5F0CD7" w14:textId="77777777" w:rsidR="00E00D00" w:rsidRPr="002C1DE6" w:rsidRDefault="00E00D00" w:rsidP="00846DC4">
      <w:pPr>
        <w:spacing w:after="160" w:line="360" w:lineRule="auto"/>
        <w:jc w:val="both"/>
        <w:rPr>
          <w:rFonts w:ascii="Arial" w:hAnsi="Arial" w:cs="Arial"/>
          <w:sz w:val="24"/>
          <w:szCs w:val="24"/>
        </w:rPr>
      </w:pPr>
    </w:p>
    <w:p w14:paraId="0B7C6E19"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Day 2: The Business &amp; Opportunity</w:t>
      </w:r>
    </w:p>
    <w:p w14:paraId="3F986E54" w14:textId="77777777" w:rsidR="0042485A" w:rsidRPr="00CA7AFE" w:rsidRDefault="0042485A" w:rsidP="002C1DE6">
      <w:pPr>
        <w:numPr>
          <w:ilvl w:val="0"/>
          <w:numId w:val="3"/>
        </w:numPr>
        <w:spacing w:after="160" w:line="360" w:lineRule="auto"/>
        <w:jc w:val="both"/>
        <w:rPr>
          <w:rFonts w:ascii="Arial" w:hAnsi="Arial" w:cs="Arial"/>
          <w:sz w:val="24"/>
          <w:szCs w:val="24"/>
        </w:rPr>
      </w:pPr>
      <w:r w:rsidRPr="00CA7AFE">
        <w:rPr>
          <w:rFonts w:ascii="Arial" w:hAnsi="Arial" w:cs="Arial"/>
          <w:bCs/>
          <w:sz w:val="24"/>
          <w:szCs w:val="24"/>
        </w:rPr>
        <w:t>Morning:</w:t>
      </w:r>
      <w:r w:rsidRPr="00CA7AFE">
        <w:rPr>
          <w:rFonts w:ascii="Arial" w:hAnsi="Arial" w:cs="Arial"/>
          <w:sz w:val="24"/>
          <w:szCs w:val="24"/>
        </w:rPr>
        <w:t xml:space="preserve"> Keynote Sessions on the UK market.</w:t>
      </w:r>
    </w:p>
    <w:p w14:paraId="55CD5DA9" w14:textId="77777777" w:rsidR="0042485A" w:rsidRPr="00CA7AFE" w:rsidRDefault="0042485A" w:rsidP="002C1DE6">
      <w:pPr>
        <w:numPr>
          <w:ilvl w:val="1"/>
          <w:numId w:val="3"/>
        </w:numPr>
        <w:spacing w:after="160" w:line="360" w:lineRule="auto"/>
        <w:jc w:val="both"/>
        <w:rPr>
          <w:rFonts w:ascii="Arial" w:hAnsi="Arial" w:cs="Arial"/>
          <w:sz w:val="24"/>
          <w:szCs w:val="24"/>
        </w:rPr>
      </w:pPr>
      <w:r w:rsidRPr="00CA7AFE">
        <w:rPr>
          <w:rFonts w:ascii="Arial" w:hAnsi="Arial" w:cs="Arial"/>
          <w:sz w:val="24"/>
          <w:szCs w:val="24"/>
        </w:rPr>
        <w:t>Session 1: "UK Hotel Market Analysis: Trends &amp; Data" (e.g., presented by a partner from Knight Frank or PwC).</w:t>
      </w:r>
    </w:p>
    <w:p w14:paraId="428F11BB" w14:textId="77777777" w:rsidR="0042485A" w:rsidRPr="00CA7AFE" w:rsidRDefault="0042485A" w:rsidP="002C1DE6">
      <w:pPr>
        <w:numPr>
          <w:ilvl w:val="1"/>
          <w:numId w:val="3"/>
        </w:numPr>
        <w:spacing w:after="160" w:line="360" w:lineRule="auto"/>
        <w:jc w:val="both"/>
        <w:rPr>
          <w:rFonts w:ascii="Arial" w:hAnsi="Arial" w:cs="Arial"/>
          <w:sz w:val="24"/>
          <w:szCs w:val="24"/>
        </w:rPr>
      </w:pPr>
      <w:r w:rsidRPr="00CA7AFE">
        <w:rPr>
          <w:rFonts w:ascii="Arial" w:hAnsi="Arial" w:cs="Arial"/>
          <w:sz w:val="24"/>
          <w:szCs w:val="24"/>
        </w:rPr>
        <w:t>Session 2: "Why Wales? The Policy &amp; Potential" (e.g., presented by the First Minister of Wales).</w:t>
      </w:r>
    </w:p>
    <w:p w14:paraId="05A81E03" w14:textId="77777777" w:rsidR="0042485A" w:rsidRPr="00CA7AFE" w:rsidRDefault="0042485A" w:rsidP="002C1DE6">
      <w:pPr>
        <w:numPr>
          <w:ilvl w:val="0"/>
          <w:numId w:val="3"/>
        </w:numPr>
        <w:spacing w:after="160" w:line="360" w:lineRule="auto"/>
        <w:jc w:val="both"/>
        <w:rPr>
          <w:rFonts w:ascii="Arial" w:hAnsi="Arial" w:cs="Arial"/>
          <w:sz w:val="24"/>
          <w:szCs w:val="24"/>
        </w:rPr>
      </w:pPr>
      <w:r w:rsidRPr="00CA7AFE">
        <w:rPr>
          <w:rFonts w:ascii="Arial" w:hAnsi="Arial" w:cs="Arial"/>
          <w:bCs/>
          <w:sz w:val="24"/>
          <w:szCs w:val="24"/>
        </w:rPr>
        <w:t>Afternoon:</w:t>
      </w:r>
      <w:r w:rsidRPr="00CA7AFE">
        <w:rPr>
          <w:rFonts w:ascii="Arial" w:hAnsi="Arial" w:cs="Arial"/>
          <w:sz w:val="24"/>
          <w:szCs w:val="24"/>
        </w:rPr>
        <w:t xml:space="preserve"> The Investment Exhibition.</w:t>
      </w:r>
    </w:p>
    <w:p w14:paraId="1D93FBDC" w14:textId="77777777" w:rsidR="0042485A" w:rsidRPr="00CA7AFE" w:rsidRDefault="0042485A" w:rsidP="002C1DE6">
      <w:pPr>
        <w:numPr>
          <w:ilvl w:val="1"/>
          <w:numId w:val="3"/>
        </w:numPr>
        <w:spacing w:after="160" w:line="360" w:lineRule="auto"/>
        <w:jc w:val="both"/>
        <w:rPr>
          <w:rFonts w:ascii="Arial" w:hAnsi="Arial" w:cs="Arial"/>
          <w:sz w:val="24"/>
          <w:szCs w:val="24"/>
        </w:rPr>
      </w:pPr>
      <w:r w:rsidRPr="00CA7AFE">
        <w:rPr>
          <w:rFonts w:ascii="Arial" w:hAnsi="Arial" w:cs="Arial"/>
          <w:sz w:val="24"/>
          <w:szCs w:val="24"/>
        </w:rPr>
        <w:t>An exhibition floor where Welsh regions and developers showcase "shovel-ready" investment sites and opportunities.</w:t>
      </w:r>
    </w:p>
    <w:p w14:paraId="5131E530" w14:textId="77777777" w:rsidR="0042485A" w:rsidRPr="00CA7AFE" w:rsidRDefault="0042485A" w:rsidP="002C1DE6">
      <w:pPr>
        <w:numPr>
          <w:ilvl w:val="1"/>
          <w:numId w:val="3"/>
        </w:numPr>
        <w:spacing w:after="160" w:line="360" w:lineRule="auto"/>
        <w:jc w:val="both"/>
        <w:rPr>
          <w:rFonts w:ascii="Arial" w:hAnsi="Arial" w:cs="Arial"/>
          <w:sz w:val="24"/>
          <w:szCs w:val="24"/>
        </w:rPr>
      </w:pPr>
      <w:r w:rsidRPr="00CA7AFE">
        <w:rPr>
          <w:rFonts w:ascii="Arial" w:hAnsi="Arial" w:cs="Arial"/>
          <w:sz w:val="24"/>
          <w:szCs w:val="24"/>
        </w:rPr>
        <w:t>Breakout Panels: "The Legal &amp; Financial Framework for Investing in Wales."</w:t>
      </w:r>
    </w:p>
    <w:p w14:paraId="02323A1C" w14:textId="77777777" w:rsidR="0042485A" w:rsidRPr="002C1DE6" w:rsidRDefault="0042485A" w:rsidP="002C1DE6">
      <w:pPr>
        <w:numPr>
          <w:ilvl w:val="0"/>
          <w:numId w:val="3"/>
        </w:numPr>
        <w:spacing w:after="160" w:line="360" w:lineRule="auto"/>
        <w:jc w:val="both"/>
        <w:rPr>
          <w:rFonts w:ascii="Arial" w:hAnsi="Arial" w:cs="Arial"/>
          <w:sz w:val="24"/>
          <w:szCs w:val="24"/>
        </w:rPr>
      </w:pPr>
      <w:r w:rsidRPr="00CA7AFE">
        <w:rPr>
          <w:rFonts w:ascii="Arial" w:hAnsi="Arial" w:cs="Arial"/>
          <w:bCs/>
          <w:sz w:val="24"/>
          <w:szCs w:val="24"/>
        </w:rPr>
        <w:t>Evening:</w:t>
      </w:r>
      <w:r w:rsidRPr="00CA7AFE">
        <w:rPr>
          <w:rFonts w:ascii="Arial" w:hAnsi="Arial" w:cs="Arial"/>
          <w:sz w:val="24"/>
          <w:szCs w:val="24"/>
        </w:rPr>
        <w:t xml:space="preserve"> The</w:t>
      </w:r>
      <w:r w:rsidRPr="002C1DE6">
        <w:rPr>
          <w:rFonts w:ascii="Arial" w:hAnsi="Arial" w:cs="Arial"/>
          <w:sz w:val="24"/>
          <w:szCs w:val="24"/>
        </w:rPr>
        <w:t xml:space="preserve"> Legacy Gala Dinner.</w:t>
      </w:r>
    </w:p>
    <w:p w14:paraId="5BEBE537" w14:textId="77777777" w:rsidR="0042485A" w:rsidRPr="002C1DE6" w:rsidRDefault="0042485A" w:rsidP="002C1DE6">
      <w:pPr>
        <w:numPr>
          <w:ilvl w:val="1"/>
          <w:numId w:val="3"/>
        </w:numPr>
        <w:spacing w:after="160" w:line="360" w:lineRule="auto"/>
        <w:jc w:val="both"/>
        <w:rPr>
          <w:rFonts w:ascii="Arial" w:hAnsi="Arial" w:cs="Arial"/>
          <w:sz w:val="24"/>
          <w:szCs w:val="24"/>
        </w:rPr>
      </w:pPr>
      <w:r w:rsidRPr="002C1DE6">
        <w:rPr>
          <w:rFonts w:ascii="Arial" w:hAnsi="Arial" w:cs="Arial"/>
          <w:sz w:val="24"/>
          <w:szCs w:val="24"/>
        </w:rPr>
        <w:t>A black-tie event celebrating the legacy of the Ryder Cup and NATO Summit, with keynote speakers who were involved in their delivery. This reinforces the "proven track record" theme.</w:t>
      </w:r>
    </w:p>
    <w:p w14:paraId="03C54CCC" w14:textId="77777777" w:rsidR="00B82C8B" w:rsidRDefault="00B82C8B" w:rsidP="002C1DE6">
      <w:pPr>
        <w:spacing w:line="360" w:lineRule="auto"/>
        <w:jc w:val="both"/>
        <w:rPr>
          <w:rFonts w:ascii="Arial" w:hAnsi="Arial" w:cs="Arial"/>
          <w:b/>
          <w:bCs/>
          <w:sz w:val="24"/>
          <w:szCs w:val="24"/>
        </w:rPr>
      </w:pPr>
    </w:p>
    <w:p w14:paraId="431FE21C"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Day 3: The Connection &amp; Commitment</w:t>
      </w:r>
    </w:p>
    <w:p w14:paraId="39322842" w14:textId="77777777" w:rsidR="0042485A" w:rsidRPr="00CA7AFE" w:rsidRDefault="0042485A" w:rsidP="002C1DE6">
      <w:pPr>
        <w:numPr>
          <w:ilvl w:val="0"/>
          <w:numId w:val="4"/>
        </w:numPr>
        <w:spacing w:after="160" w:line="360" w:lineRule="auto"/>
        <w:jc w:val="both"/>
        <w:rPr>
          <w:rFonts w:ascii="Arial" w:hAnsi="Arial" w:cs="Arial"/>
          <w:sz w:val="24"/>
          <w:szCs w:val="24"/>
        </w:rPr>
      </w:pPr>
      <w:r w:rsidRPr="00CA7AFE">
        <w:rPr>
          <w:rFonts w:ascii="Arial" w:hAnsi="Arial" w:cs="Arial"/>
          <w:bCs/>
          <w:sz w:val="24"/>
          <w:szCs w:val="24"/>
        </w:rPr>
        <w:lastRenderedPageBreak/>
        <w:t>Morning:</w:t>
      </w:r>
      <w:r w:rsidRPr="00CA7AFE">
        <w:rPr>
          <w:rFonts w:ascii="Arial" w:hAnsi="Arial" w:cs="Arial"/>
          <w:sz w:val="24"/>
          <w:szCs w:val="24"/>
        </w:rPr>
        <w:t xml:space="preserve"> Curated Site Visits.</w:t>
      </w:r>
    </w:p>
    <w:p w14:paraId="543F4EE2" w14:textId="77777777" w:rsidR="0042485A" w:rsidRPr="00CA7AFE" w:rsidRDefault="0042485A" w:rsidP="002C1DE6">
      <w:pPr>
        <w:numPr>
          <w:ilvl w:val="1"/>
          <w:numId w:val="4"/>
        </w:numPr>
        <w:spacing w:after="160" w:line="360" w:lineRule="auto"/>
        <w:jc w:val="both"/>
        <w:rPr>
          <w:rFonts w:ascii="Arial" w:hAnsi="Arial" w:cs="Arial"/>
          <w:sz w:val="24"/>
          <w:szCs w:val="24"/>
        </w:rPr>
      </w:pPr>
      <w:r w:rsidRPr="00CA7AFE">
        <w:rPr>
          <w:rFonts w:ascii="Arial" w:hAnsi="Arial" w:cs="Arial"/>
          <w:sz w:val="24"/>
          <w:szCs w:val="24"/>
        </w:rPr>
        <w:t>Delegates are split into small, private groups based on their investment interest (e.g., "Coastal Resort Development," "Urban Boutique Hotels").</w:t>
      </w:r>
    </w:p>
    <w:p w14:paraId="1BC204F4" w14:textId="77777777" w:rsidR="0042485A" w:rsidRPr="00CA7AFE" w:rsidRDefault="0042485A" w:rsidP="002C1DE6">
      <w:pPr>
        <w:numPr>
          <w:ilvl w:val="1"/>
          <w:numId w:val="4"/>
        </w:numPr>
        <w:spacing w:after="160" w:line="360" w:lineRule="auto"/>
        <w:jc w:val="both"/>
        <w:rPr>
          <w:rFonts w:ascii="Arial" w:hAnsi="Arial" w:cs="Arial"/>
          <w:sz w:val="24"/>
          <w:szCs w:val="24"/>
        </w:rPr>
      </w:pPr>
      <w:r w:rsidRPr="00CA7AFE">
        <w:rPr>
          <w:rFonts w:ascii="Arial" w:hAnsi="Arial" w:cs="Arial"/>
          <w:sz w:val="24"/>
          <w:szCs w:val="24"/>
        </w:rPr>
        <w:t>They are taken on guided tours of potential development zones and existing high-performing assets. This tangible interaction with the 'product' (the investment sites) is a crucial psychological step, moving the delegate from a passive attendee to an active potential investor.</w:t>
      </w:r>
    </w:p>
    <w:p w14:paraId="7D44B7BD" w14:textId="77777777" w:rsidR="0042485A" w:rsidRPr="00CA7AFE" w:rsidRDefault="0042485A" w:rsidP="002C1DE6">
      <w:pPr>
        <w:numPr>
          <w:ilvl w:val="0"/>
          <w:numId w:val="4"/>
        </w:numPr>
        <w:spacing w:after="160" w:line="360" w:lineRule="auto"/>
        <w:jc w:val="both"/>
        <w:rPr>
          <w:rFonts w:ascii="Arial" w:hAnsi="Arial" w:cs="Arial"/>
          <w:sz w:val="24"/>
          <w:szCs w:val="24"/>
        </w:rPr>
      </w:pPr>
      <w:r w:rsidRPr="00CA7AFE">
        <w:rPr>
          <w:rFonts w:ascii="Arial" w:hAnsi="Arial" w:cs="Arial"/>
          <w:bCs/>
          <w:sz w:val="24"/>
          <w:szCs w:val="24"/>
        </w:rPr>
        <w:t>Afternoon:</w:t>
      </w:r>
      <w:r w:rsidRPr="00CA7AFE">
        <w:rPr>
          <w:rFonts w:ascii="Arial" w:hAnsi="Arial" w:cs="Arial"/>
          <w:sz w:val="24"/>
          <w:szCs w:val="24"/>
        </w:rPr>
        <w:t xml:space="preserve"> One-to-One Investor-Policy Meetings.</w:t>
      </w:r>
    </w:p>
    <w:p w14:paraId="5049C937" w14:textId="77777777" w:rsidR="0042485A" w:rsidRPr="00CA7AFE" w:rsidRDefault="0042485A" w:rsidP="002C1DE6">
      <w:pPr>
        <w:numPr>
          <w:ilvl w:val="1"/>
          <w:numId w:val="4"/>
        </w:numPr>
        <w:spacing w:after="160" w:line="360" w:lineRule="auto"/>
        <w:jc w:val="both"/>
        <w:rPr>
          <w:rFonts w:ascii="Arial" w:hAnsi="Arial" w:cs="Arial"/>
          <w:sz w:val="24"/>
          <w:szCs w:val="24"/>
        </w:rPr>
      </w:pPr>
      <w:r w:rsidRPr="00CA7AFE">
        <w:rPr>
          <w:rFonts w:ascii="Arial" w:hAnsi="Arial" w:cs="Arial"/>
          <w:sz w:val="24"/>
          <w:szCs w:val="24"/>
        </w:rPr>
        <w:t>A pre-booked "deal room" where investors can have private, 30-minute meetings with relevant Welsh Government agencies to discuss specific proposals.</w:t>
      </w:r>
    </w:p>
    <w:p w14:paraId="39B9310D" w14:textId="77777777" w:rsidR="0042485A" w:rsidRDefault="0042485A" w:rsidP="002C1DE6">
      <w:pPr>
        <w:numPr>
          <w:ilvl w:val="0"/>
          <w:numId w:val="4"/>
        </w:numPr>
        <w:spacing w:after="160" w:line="360" w:lineRule="auto"/>
        <w:jc w:val="both"/>
        <w:rPr>
          <w:rFonts w:ascii="Arial" w:hAnsi="Arial" w:cs="Arial"/>
          <w:sz w:val="24"/>
          <w:szCs w:val="24"/>
        </w:rPr>
      </w:pPr>
      <w:r w:rsidRPr="00CA7AFE">
        <w:rPr>
          <w:rFonts w:ascii="Arial" w:hAnsi="Arial" w:cs="Arial"/>
          <w:bCs/>
          <w:sz w:val="24"/>
          <w:szCs w:val="24"/>
        </w:rPr>
        <w:t>Evening:</w:t>
      </w:r>
      <w:r w:rsidRPr="00CA7AFE">
        <w:rPr>
          <w:rFonts w:ascii="Arial" w:hAnsi="Arial" w:cs="Arial"/>
          <w:sz w:val="24"/>
          <w:szCs w:val="24"/>
        </w:rPr>
        <w:t xml:space="preserve"> Departures</w:t>
      </w:r>
      <w:r w:rsidRPr="002C1DE6">
        <w:rPr>
          <w:rFonts w:ascii="Arial" w:hAnsi="Arial" w:cs="Arial"/>
          <w:sz w:val="24"/>
          <w:szCs w:val="24"/>
        </w:rPr>
        <w:t>.</w:t>
      </w:r>
    </w:p>
    <w:p w14:paraId="109B930C" w14:textId="77777777" w:rsidR="00CA7AFE" w:rsidRPr="002C1DE6" w:rsidRDefault="00CA7AFE" w:rsidP="00CA7AFE">
      <w:pPr>
        <w:spacing w:after="160" w:line="360" w:lineRule="auto"/>
        <w:ind w:left="720"/>
        <w:jc w:val="both"/>
        <w:rPr>
          <w:rFonts w:ascii="Arial" w:hAnsi="Arial" w:cs="Arial"/>
          <w:sz w:val="24"/>
          <w:szCs w:val="24"/>
        </w:rPr>
      </w:pPr>
    </w:p>
    <w:p w14:paraId="3B64E63C"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Aim and Objectives</w:t>
      </w:r>
    </w:p>
    <w:p w14:paraId="28E17273"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The event's goals must be strategic, measurable, and directly linked to the policy rationale (Welsh Government, 2022). Using the </w:t>
      </w:r>
      <w:r w:rsidRPr="00CA7AFE">
        <w:rPr>
          <w:rFonts w:ascii="Arial" w:hAnsi="Arial" w:cs="Arial"/>
          <w:bCs/>
          <w:sz w:val="24"/>
          <w:szCs w:val="24"/>
        </w:rPr>
        <w:t>S.M.A.R.T. framework</w:t>
      </w:r>
      <w:r w:rsidRPr="00CA7AFE">
        <w:rPr>
          <w:rFonts w:ascii="Arial" w:hAnsi="Arial" w:cs="Arial"/>
          <w:sz w:val="24"/>
          <w:szCs w:val="24"/>
        </w:rPr>
        <w:t xml:space="preserve"> (</w:t>
      </w:r>
      <w:r w:rsidRPr="002C1DE6">
        <w:rPr>
          <w:rFonts w:ascii="Arial" w:hAnsi="Arial" w:cs="Arial"/>
          <w:sz w:val="24"/>
          <w:szCs w:val="24"/>
        </w:rPr>
        <w:t>Doran, 1981), the following have been established:</w:t>
      </w:r>
    </w:p>
    <w:p w14:paraId="6BF079C5"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Overarching Aim:</w:t>
      </w:r>
    </w:p>
    <w:p w14:paraId="037C6C29" w14:textId="77777777" w:rsidR="00CA7AFE" w:rsidRDefault="0042485A" w:rsidP="002C1DE6">
      <w:pPr>
        <w:numPr>
          <w:ilvl w:val="0"/>
          <w:numId w:val="5"/>
        </w:numPr>
        <w:spacing w:after="160" w:line="360" w:lineRule="auto"/>
        <w:jc w:val="both"/>
        <w:rPr>
          <w:rFonts w:ascii="Arial" w:hAnsi="Arial" w:cs="Arial"/>
          <w:sz w:val="24"/>
          <w:szCs w:val="24"/>
        </w:rPr>
      </w:pPr>
      <w:r w:rsidRPr="002C1DE6">
        <w:rPr>
          <w:rFonts w:ascii="Arial" w:hAnsi="Arial" w:cs="Arial"/>
          <w:sz w:val="24"/>
          <w:szCs w:val="24"/>
        </w:rPr>
        <w:t>To strategically position Wales as the UK's premier region for new hospitality investment by 2027</w:t>
      </w:r>
    </w:p>
    <w:p w14:paraId="574E2275" w14:textId="77777777" w:rsidR="0042485A" w:rsidRPr="002C1DE6" w:rsidRDefault="0042485A" w:rsidP="00CA7AFE">
      <w:pPr>
        <w:spacing w:after="160" w:line="360" w:lineRule="auto"/>
        <w:ind w:left="720"/>
        <w:jc w:val="both"/>
        <w:rPr>
          <w:rFonts w:ascii="Arial" w:hAnsi="Arial" w:cs="Arial"/>
          <w:sz w:val="24"/>
          <w:szCs w:val="24"/>
        </w:rPr>
      </w:pPr>
      <w:r w:rsidRPr="002C1DE6">
        <w:rPr>
          <w:rFonts w:ascii="Arial" w:hAnsi="Arial" w:cs="Arial"/>
          <w:sz w:val="24"/>
          <w:szCs w:val="24"/>
        </w:rPr>
        <w:t>.</w:t>
      </w:r>
    </w:p>
    <w:p w14:paraId="6B8CB9DE" w14:textId="77777777" w:rsidR="00B82C8B" w:rsidRDefault="00B82C8B" w:rsidP="002C1DE6">
      <w:pPr>
        <w:spacing w:line="360" w:lineRule="auto"/>
        <w:jc w:val="both"/>
        <w:rPr>
          <w:rFonts w:ascii="Arial" w:hAnsi="Arial" w:cs="Arial"/>
          <w:b/>
          <w:bCs/>
          <w:sz w:val="24"/>
          <w:szCs w:val="24"/>
        </w:rPr>
      </w:pPr>
    </w:p>
    <w:p w14:paraId="10C371E9" w14:textId="77777777" w:rsidR="00B82C8B" w:rsidRDefault="00B82C8B" w:rsidP="002C1DE6">
      <w:pPr>
        <w:spacing w:line="360" w:lineRule="auto"/>
        <w:jc w:val="both"/>
        <w:rPr>
          <w:rFonts w:ascii="Arial" w:hAnsi="Arial" w:cs="Arial"/>
          <w:b/>
          <w:bCs/>
          <w:sz w:val="24"/>
          <w:szCs w:val="24"/>
        </w:rPr>
      </w:pPr>
    </w:p>
    <w:p w14:paraId="34F5BFA7" w14:textId="77777777" w:rsidR="00B82C8B" w:rsidRDefault="00B82C8B" w:rsidP="002C1DE6">
      <w:pPr>
        <w:spacing w:line="360" w:lineRule="auto"/>
        <w:jc w:val="both"/>
        <w:rPr>
          <w:rFonts w:ascii="Arial" w:hAnsi="Arial" w:cs="Arial"/>
          <w:b/>
          <w:bCs/>
          <w:sz w:val="24"/>
          <w:szCs w:val="24"/>
        </w:rPr>
      </w:pPr>
    </w:p>
    <w:p w14:paraId="52C6327F"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SMART Objectives:</w:t>
      </w:r>
    </w:p>
    <w:p w14:paraId="188C2142" w14:textId="77777777" w:rsidR="0042485A" w:rsidRPr="00CA7AFE" w:rsidRDefault="0042485A" w:rsidP="002C1DE6">
      <w:pPr>
        <w:numPr>
          <w:ilvl w:val="0"/>
          <w:numId w:val="6"/>
        </w:numPr>
        <w:spacing w:after="160" w:line="360" w:lineRule="auto"/>
        <w:jc w:val="both"/>
        <w:rPr>
          <w:rFonts w:ascii="Arial" w:hAnsi="Arial" w:cs="Arial"/>
          <w:sz w:val="24"/>
          <w:szCs w:val="24"/>
        </w:rPr>
      </w:pPr>
      <w:r w:rsidRPr="00CA7AFE">
        <w:rPr>
          <w:rFonts w:ascii="Arial" w:hAnsi="Arial" w:cs="Arial"/>
          <w:bCs/>
          <w:sz w:val="24"/>
          <w:szCs w:val="24"/>
        </w:rPr>
        <w:lastRenderedPageBreak/>
        <w:t>Objective 1 (Strategic):</w:t>
      </w:r>
      <w:r w:rsidRPr="00CA7AFE">
        <w:rPr>
          <w:rFonts w:ascii="Arial" w:hAnsi="Arial" w:cs="Arial"/>
          <w:sz w:val="24"/>
          <w:szCs w:val="24"/>
        </w:rPr>
        <w:t xml:space="preserve"> To secure £50 million in new, qualified hospitality investment leads (e.g., formal expressions of interest) as a direct result of the 2025 summit, to be tracked by December 2026.</w:t>
      </w:r>
    </w:p>
    <w:p w14:paraId="52E4A2C3" w14:textId="77777777" w:rsidR="0042485A" w:rsidRPr="00CA7AFE" w:rsidRDefault="0042485A" w:rsidP="002C1DE6">
      <w:pPr>
        <w:numPr>
          <w:ilvl w:val="0"/>
          <w:numId w:val="6"/>
        </w:numPr>
        <w:spacing w:after="160" w:line="360" w:lineRule="auto"/>
        <w:jc w:val="both"/>
        <w:rPr>
          <w:rFonts w:ascii="Arial" w:hAnsi="Arial" w:cs="Arial"/>
          <w:sz w:val="24"/>
          <w:szCs w:val="24"/>
        </w:rPr>
      </w:pPr>
      <w:r w:rsidRPr="00CA7AFE">
        <w:rPr>
          <w:rFonts w:ascii="Arial" w:hAnsi="Arial" w:cs="Arial"/>
          <w:bCs/>
          <w:sz w:val="24"/>
          <w:szCs w:val="24"/>
        </w:rPr>
        <w:t>Objective 2 (Market):</w:t>
      </w:r>
      <w:r w:rsidRPr="00CA7AFE">
        <w:rPr>
          <w:rFonts w:ascii="Arial" w:hAnsi="Arial" w:cs="Arial"/>
          <w:sz w:val="24"/>
          <w:szCs w:val="24"/>
        </w:rPr>
        <w:t xml:space="preserve"> To attract 100+ high-net-worth international investors and developers from target markets (USA, Europe, Middle East) to purchase a full delegate pass and attend the 3-day summit in May 2025.</w:t>
      </w:r>
    </w:p>
    <w:p w14:paraId="2844FF1D" w14:textId="77777777" w:rsidR="0042485A" w:rsidRDefault="0042485A" w:rsidP="002C1DE6">
      <w:pPr>
        <w:numPr>
          <w:ilvl w:val="0"/>
          <w:numId w:val="6"/>
        </w:numPr>
        <w:spacing w:after="160" w:line="360" w:lineRule="auto"/>
        <w:jc w:val="both"/>
        <w:rPr>
          <w:rFonts w:ascii="Arial" w:hAnsi="Arial" w:cs="Arial"/>
          <w:sz w:val="24"/>
          <w:szCs w:val="24"/>
        </w:rPr>
      </w:pPr>
      <w:r w:rsidRPr="00CA7AFE">
        <w:rPr>
          <w:rFonts w:ascii="Arial" w:hAnsi="Arial" w:cs="Arial"/>
          <w:bCs/>
          <w:sz w:val="24"/>
          <w:szCs w:val="24"/>
        </w:rPr>
        <w:t>Objective 3 (Operational):</w:t>
      </w:r>
      <w:r w:rsidRPr="00CA7AFE">
        <w:rPr>
          <w:rFonts w:ascii="Arial" w:hAnsi="Arial" w:cs="Arial"/>
          <w:sz w:val="24"/>
          <w:szCs w:val="24"/>
        </w:rPr>
        <w:t xml:space="preserve"> To facilitate 50+ formal, one-to-one, pre-scheduled meetings between qualified</w:t>
      </w:r>
      <w:r w:rsidRPr="002C1DE6">
        <w:rPr>
          <w:rFonts w:ascii="Arial" w:hAnsi="Arial" w:cs="Arial"/>
          <w:sz w:val="24"/>
          <w:szCs w:val="24"/>
        </w:rPr>
        <w:t xml:space="preserve"> international investors and Welsh development agencies within the 3-day summit period.</w:t>
      </w:r>
    </w:p>
    <w:p w14:paraId="79FBC111" w14:textId="77777777" w:rsidR="00CA7AFE" w:rsidRPr="002C1DE6" w:rsidRDefault="00CA7AFE" w:rsidP="002C1DE6">
      <w:pPr>
        <w:numPr>
          <w:ilvl w:val="0"/>
          <w:numId w:val="6"/>
        </w:numPr>
        <w:spacing w:after="160" w:line="360" w:lineRule="auto"/>
        <w:jc w:val="both"/>
        <w:rPr>
          <w:rFonts w:ascii="Arial" w:hAnsi="Arial" w:cs="Arial"/>
          <w:sz w:val="24"/>
          <w:szCs w:val="24"/>
        </w:rPr>
      </w:pPr>
    </w:p>
    <w:p w14:paraId="4A2A9898" w14:textId="77777777" w:rsidR="0042485A" w:rsidRDefault="0042485A" w:rsidP="002C1DE6">
      <w:pPr>
        <w:spacing w:line="360" w:lineRule="auto"/>
        <w:jc w:val="both"/>
        <w:rPr>
          <w:rFonts w:ascii="Arial" w:hAnsi="Arial" w:cs="Arial"/>
          <w:sz w:val="24"/>
          <w:szCs w:val="24"/>
        </w:rPr>
      </w:pPr>
      <w:r w:rsidRPr="00CA7AFE">
        <w:rPr>
          <w:rFonts w:ascii="Arial" w:hAnsi="Arial" w:cs="Arial"/>
          <w:bCs/>
          <w:sz w:val="24"/>
          <w:szCs w:val="24"/>
        </w:rPr>
        <w:t>Justification:</w:t>
      </w:r>
      <w:r w:rsidRPr="00CA7AFE">
        <w:rPr>
          <w:rFonts w:ascii="Arial" w:hAnsi="Arial" w:cs="Arial"/>
          <w:sz w:val="24"/>
          <w:szCs w:val="24"/>
        </w:rPr>
        <w:t xml:space="preserve"> The</w:t>
      </w:r>
      <w:r w:rsidRPr="002C1DE6">
        <w:rPr>
          <w:rFonts w:ascii="Arial" w:hAnsi="Arial" w:cs="Arial"/>
          <w:sz w:val="24"/>
          <w:szCs w:val="24"/>
        </w:rPr>
        <w:t xml:space="preserve"> £50M target (Obj 1) is ambitious but grounded in the context of the market, where single hotel deals can exceed this value (Christie &amp; Co, 2025). The objectives are designed to be a cascade: attracting 100+ delegates (Obj 2) and facilitating 50+ meetings (Obj 3) is the mechanism by which we achieve the £50M strategic goal.</w:t>
      </w:r>
    </w:p>
    <w:p w14:paraId="5F2CDCF4" w14:textId="77777777" w:rsidR="00CA7AFE" w:rsidRPr="002C1DE6" w:rsidRDefault="00CA7AFE" w:rsidP="002C1DE6">
      <w:pPr>
        <w:spacing w:line="360" w:lineRule="auto"/>
        <w:jc w:val="both"/>
        <w:rPr>
          <w:rFonts w:ascii="Arial" w:hAnsi="Arial" w:cs="Arial"/>
          <w:sz w:val="24"/>
          <w:szCs w:val="24"/>
        </w:rPr>
      </w:pPr>
    </w:p>
    <w:p w14:paraId="57255F65"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Event Management (Skills, Resources &amp; Activities)</w:t>
      </w:r>
    </w:p>
    <w:p w14:paraId="4FC98EF7"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The delivery of this summit requires an event management structure that functions more like a high-level project management office (Meredith et al., 2022) than a traditional event team.</w:t>
      </w:r>
    </w:p>
    <w:p w14:paraId="027E7B71" w14:textId="77777777" w:rsidR="0042485A" w:rsidRPr="002C1DE6" w:rsidRDefault="0042485A" w:rsidP="002C1DE6">
      <w:pPr>
        <w:spacing w:line="360" w:lineRule="auto"/>
        <w:jc w:val="both"/>
        <w:rPr>
          <w:rFonts w:ascii="Arial" w:hAnsi="Arial" w:cs="Arial"/>
          <w:sz w:val="24"/>
          <w:szCs w:val="24"/>
        </w:rPr>
      </w:pPr>
      <w:r w:rsidRPr="00CA7AFE">
        <w:rPr>
          <w:rFonts w:ascii="Arial" w:hAnsi="Arial" w:cs="Arial"/>
          <w:b/>
          <w:bCs/>
          <w:sz w:val="24"/>
          <w:szCs w:val="24"/>
        </w:rPr>
        <w:t>Skills &amp; Management Structure</w:t>
      </w:r>
      <w:r w:rsidRPr="00CA7AFE">
        <w:rPr>
          <w:rFonts w:ascii="Arial" w:hAnsi="Arial" w:cs="Arial"/>
          <w:bCs/>
          <w:sz w:val="24"/>
          <w:szCs w:val="24"/>
        </w:rPr>
        <w:t>:</w:t>
      </w:r>
      <w:r w:rsidRPr="002C1DE6">
        <w:rPr>
          <w:rFonts w:ascii="Arial" w:hAnsi="Arial" w:cs="Arial"/>
          <w:sz w:val="24"/>
          <w:szCs w:val="24"/>
        </w:rPr>
        <w:t xml:space="preserve"> The event will be led by a specialist Project Manager with experience in B2B and government-level events. They will lead three core teams:</w:t>
      </w:r>
    </w:p>
    <w:p w14:paraId="49524C22" w14:textId="77777777" w:rsidR="0042485A" w:rsidRPr="00CA7AFE" w:rsidRDefault="0042485A" w:rsidP="002C1DE6">
      <w:pPr>
        <w:numPr>
          <w:ilvl w:val="0"/>
          <w:numId w:val="7"/>
        </w:numPr>
        <w:spacing w:after="160" w:line="360" w:lineRule="auto"/>
        <w:jc w:val="both"/>
        <w:rPr>
          <w:rFonts w:ascii="Arial" w:hAnsi="Arial" w:cs="Arial"/>
          <w:sz w:val="24"/>
          <w:szCs w:val="24"/>
        </w:rPr>
      </w:pPr>
      <w:r w:rsidRPr="00CA7AFE">
        <w:rPr>
          <w:rFonts w:ascii="Arial" w:hAnsi="Arial" w:cs="Arial"/>
          <w:bCs/>
          <w:sz w:val="24"/>
          <w:szCs w:val="24"/>
        </w:rPr>
        <w:t>Stakeholder &amp; VIP Team:</w:t>
      </w:r>
      <w:r w:rsidRPr="00CA7AFE">
        <w:rPr>
          <w:rFonts w:ascii="Arial" w:hAnsi="Arial" w:cs="Arial"/>
          <w:sz w:val="24"/>
          <w:szCs w:val="24"/>
        </w:rPr>
        <w:t xml:space="preserve"> This team manages the people. It requires diplomatic skills to liaise between government ministers, the First Minister's office, and the executive assistants of the investor delegates. This is the most critical team for operational success.</w:t>
      </w:r>
    </w:p>
    <w:p w14:paraId="753F8307" w14:textId="77777777" w:rsidR="0042485A" w:rsidRPr="00CA7AFE" w:rsidRDefault="0042485A" w:rsidP="002C1DE6">
      <w:pPr>
        <w:numPr>
          <w:ilvl w:val="0"/>
          <w:numId w:val="7"/>
        </w:numPr>
        <w:spacing w:after="160" w:line="360" w:lineRule="auto"/>
        <w:jc w:val="both"/>
        <w:rPr>
          <w:rFonts w:ascii="Arial" w:hAnsi="Arial" w:cs="Arial"/>
          <w:sz w:val="24"/>
          <w:szCs w:val="24"/>
        </w:rPr>
      </w:pPr>
      <w:r w:rsidRPr="00CA7AFE">
        <w:rPr>
          <w:rFonts w:ascii="Arial" w:hAnsi="Arial" w:cs="Arial"/>
          <w:bCs/>
          <w:sz w:val="24"/>
          <w:szCs w:val="24"/>
        </w:rPr>
        <w:lastRenderedPageBreak/>
        <w:t>Sponsorship &amp; Marketing Team:</w:t>
      </w:r>
      <w:r w:rsidRPr="00CA7AFE">
        <w:rPr>
          <w:rFonts w:ascii="Arial" w:hAnsi="Arial" w:cs="Arial"/>
          <w:sz w:val="24"/>
          <w:szCs w:val="24"/>
        </w:rPr>
        <w:t xml:space="preserve"> This team manages the money and message. It requires B2B marketing skills to sell high-value sponsorship packages (Matthews, 2023) and execute a targeted international marketing campaign.</w:t>
      </w:r>
    </w:p>
    <w:p w14:paraId="209289BF" w14:textId="77777777" w:rsidR="0042485A" w:rsidRPr="002C1DE6" w:rsidRDefault="0042485A" w:rsidP="002C1DE6">
      <w:pPr>
        <w:numPr>
          <w:ilvl w:val="0"/>
          <w:numId w:val="7"/>
        </w:numPr>
        <w:spacing w:after="160" w:line="360" w:lineRule="auto"/>
        <w:jc w:val="both"/>
        <w:rPr>
          <w:rFonts w:ascii="Arial" w:hAnsi="Arial" w:cs="Arial"/>
          <w:sz w:val="24"/>
          <w:szCs w:val="24"/>
        </w:rPr>
      </w:pPr>
      <w:r w:rsidRPr="00CA7AFE">
        <w:rPr>
          <w:rFonts w:ascii="Arial" w:hAnsi="Arial" w:cs="Arial"/>
          <w:bCs/>
          <w:sz w:val="24"/>
          <w:szCs w:val="24"/>
        </w:rPr>
        <w:t>Operations &amp; Logistics Team:</w:t>
      </w:r>
      <w:r w:rsidRPr="00CA7AFE">
        <w:rPr>
          <w:rFonts w:ascii="Arial" w:hAnsi="Arial" w:cs="Arial"/>
          <w:sz w:val="24"/>
          <w:szCs w:val="24"/>
        </w:rPr>
        <w:t xml:space="preserve"> This team manages the delivery. Drawing on the "best practice" established</w:t>
      </w:r>
      <w:r w:rsidRPr="002C1DE6">
        <w:rPr>
          <w:rFonts w:ascii="Arial" w:hAnsi="Arial" w:cs="Arial"/>
          <w:sz w:val="24"/>
          <w:szCs w:val="24"/>
        </w:rPr>
        <w:t xml:space="preserve"> during the 2014 NATO Summit (Welsh Government, 2014), this team will focus on security, transport, F&amp;B, and production.</w:t>
      </w:r>
    </w:p>
    <w:p w14:paraId="30BB34F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Strategic Marketing Activities:</w:t>
      </w:r>
      <w:r w:rsidRPr="002C1DE6">
        <w:rPr>
          <w:rFonts w:ascii="Arial" w:hAnsi="Arial" w:cs="Arial"/>
          <w:sz w:val="24"/>
          <w:szCs w:val="24"/>
        </w:rPr>
        <w:t xml:space="preserve"> This event will not be marketed to the public. The marketing strategy must be highly targeted. This dual focus </w:t>
      </w:r>
      <w:r w:rsidRPr="00CA7AFE">
        <w:rPr>
          <w:rFonts w:ascii="Arial" w:hAnsi="Arial" w:cs="Arial"/>
          <w:sz w:val="24"/>
          <w:szCs w:val="24"/>
        </w:rPr>
        <w:t xml:space="preserve">on </w:t>
      </w:r>
      <w:r w:rsidRPr="00CA7AFE">
        <w:rPr>
          <w:rFonts w:ascii="Arial" w:hAnsi="Arial" w:cs="Arial"/>
          <w:bCs/>
          <w:sz w:val="24"/>
          <w:szCs w:val="24"/>
        </w:rPr>
        <w:t xml:space="preserve">marketing both the </w:t>
      </w:r>
      <w:r w:rsidRPr="00CA7AFE">
        <w:rPr>
          <w:rFonts w:ascii="Arial" w:hAnsi="Arial" w:cs="Arial"/>
          <w:bCs/>
          <w:i/>
          <w:iCs/>
          <w:sz w:val="24"/>
          <w:szCs w:val="24"/>
        </w:rPr>
        <w:t>destination</w:t>
      </w:r>
      <w:r w:rsidRPr="00CA7AFE">
        <w:rPr>
          <w:rFonts w:ascii="Arial" w:hAnsi="Arial" w:cs="Arial"/>
          <w:bCs/>
          <w:sz w:val="24"/>
          <w:szCs w:val="24"/>
        </w:rPr>
        <w:t xml:space="preserve"> and the </w:t>
      </w:r>
      <w:r w:rsidRPr="00CA7AFE">
        <w:rPr>
          <w:rFonts w:ascii="Arial" w:hAnsi="Arial" w:cs="Arial"/>
          <w:bCs/>
          <w:i/>
          <w:iCs/>
          <w:sz w:val="24"/>
          <w:szCs w:val="24"/>
        </w:rPr>
        <w:t>venue</w:t>
      </w:r>
      <w:r w:rsidRPr="00CA7AFE">
        <w:rPr>
          <w:rFonts w:ascii="Arial" w:hAnsi="Arial" w:cs="Arial"/>
          <w:sz w:val="24"/>
          <w:szCs w:val="24"/>
        </w:rPr>
        <w:t xml:space="preserve"> is a critical success factor for international conferences</w:t>
      </w:r>
      <w:r w:rsidRPr="002C1DE6">
        <w:rPr>
          <w:rFonts w:ascii="Arial" w:hAnsi="Arial" w:cs="Arial"/>
          <w:sz w:val="24"/>
          <w:szCs w:val="24"/>
        </w:rPr>
        <w:t xml:space="preserve"> (Davidson and Rogers, 2012). The campaign will be integrated (Smith and Zook, 2019) and focused on a B2B audience.</w:t>
      </w:r>
    </w:p>
    <w:p w14:paraId="18EA98C8" w14:textId="77777777" w:rsidR="0042485A" w:rsidRPr="00CA7AFE" w:rsidRDefault="0042485A" w:rsidP="002C1DE6">
      <w:pPr>
        <w:numPr>
          <w:ilvl w:val="0"/>
          <w:numId w:val="8"/>
        </w:numPr>
        <w:spacing w:after="160" w:line="360" w:lineRule="auto"/>
        <w:jc w:val="both"/>
        <w:rPr>
          <w:rFonts w:ascii="Arial" w:hAnsi="Arial" w:cs="Arial"/>
          <w:sz w:val="24"/>
          <w:szCs w:val="24"/>
        </w:rPr>
      </w:pPr>
      <w:r w:rsidRPr="00CA7AFE">
        <w:rPr>
          <w:rFonts w:ascii="Arial" w:hAnsi="Arial" w:cs="Arial"/>
          <w:bCs/>
          <w:sz w:val="24"/>
          <w:szCs w:val="24"/>
        </w:rPr>
        <w:t>Channels:</w:t>
      </w:r>
      <w:r w:rsidRPr="00CA7AFE">
        <w:rPr>
          <w:rFonts w:ascii="Arial" w:hAnsi="Arial" w:cs="Arial"/>
          <w:sz w:val="24"/>
          <w:szCs w:val="24"/>
        </w:rPr>
        <w:t xml:space="preserve"> The campaign will run on platforms like LinkedIn (targeting investor job titles), and in publications like </w:t>
      </w:r>
      <w:r w:rsidRPr="00CA7AFE">
        <w:rPr>
          <w:rFonts w:ascii="Arial" w:hAnsi="Arial" w:cs="Arial"/>
          <w:i/>
          <w:iCs/>
          <w:sz w:val="24"/>
          <w:szCs w:val="24"/>
        </w:rPr>
        <w:t>The Financial Times</w:t>
      </w:r>
      <w:r w:rsidRPr="00CA7AFE">
        <w:rPr>
          <w:rFonts w:ascii="Arial" w:hAnsi="Arial" w:cs="Arial"/>
          <w:sz w:val="24"/>
          <w:szCs w:val="24"/>
        </w:rPr>
        <w:t xml:space="preserve">, </w:t>
      </w:r>
      <w:r w:rsidRPr="00CA7AFE">
        <w:rPr>
          <w:rFonts w:ascii="Arial" w:hAnsi="Arial" w:cs="Arial"/>
          <w:i/>
          <w:iCs/>
          <w:sz w:val="24"/>
          <w:szCs w:val="24"/>
        </w:rPr>
        <w:t>The Wall Street Journal</w:t>
      </w:r>
      <w:r w:rsidRPr="00CA7AFE">
        <w:rPr>
          <w:rFonts w:ascii="Arial" w:hAnsi="Arial" w:cs="Arial"/>
          <w:sz w:val="24"/>
          <w:szCs w:val="24"/>
        </w:rPr>
        <w:t>, and specialist hospitality investment journals.</w:t>
      </w:r>
    </w:p>
    <w:p w14:paraId="7AF3EFF8" w14:textId="77777777" w:rsidR="0042485A" w:rsidRPr="00CA7AFE" w:rsidRDefault="0042485A" w:rsidP="002C1DE6">
      <w:pPr>
        <w:numPr>
          <w:ilvl w:val="0"/>
          <w:numId w:val="8"/>
        </w:numPr>
        <w:spacing w:after="160" w:line="360" w:lineRule="auto"/>
        <w:jc w:val="both"/>
        <w:rPr>
          <w:rFonts w:ascii="Arial" w:hAnsi="Arial" w:cs="Arial"/>
          <w:sz w:val="24"/>
          <w:szCs w:val="24"/>
        </w:rPr>
      </w:pPr>
      <w:r w:rsidRPr="00CA7AFE">
        <w:rPr>
          <w:rFonts w:ascii="Arial" w:hAnsi="Arial" w:cs="Arial"/>
          <w:bCs/>
          <w:sz w:val="24"/>
          <w:szCs w:val="24"/>
        </w:rPr>
        <w:t>Message:</w:t>
      </w:r>
      <w:r w:rsidRPr="00CA7AFE">
        <w:rPr>
          <w:rFonts w:ascii="Arial" w:hAnsi="Arial" w:cs="Arial"/>
          <w:sz w:val="24"/>
          <w:szCs w:val="24"/>
        </w:rPr>
        <w:t xml:space="preserve"> The message is not "Come to Wales"; it is "Wales is open for business and has a proven track record." We will use the Ryder Cup and NATO legacies as marketing proof points to build trust before a delegate even registers. This is about de-risking the decision to attend (Smith and Zook, 2019).</w:t>
      </w:r>
    </w:p>
    <w:p w14:paraId="7B49E996" w14:textId="77777777" w:rsidR="0042485A" w:rsidRPr="00CA7AFE" w:rsidRDefault="0042485A" w:rsidP="002C1DE6">
      <w:pPr>
        <w:numPr>
          <w:ilvl w:val="0"/>
          <w:numId w:val="8"/>
        </w:numPr>
        <w:spacing w:after="160" w:line="360" w:lineRule="auto"/>
        <w:jc w:val="both"/>
        <w:rPr>
          <w:rFonts w:ascii="Arial" w:hAnsi="Arial" w:cs="Arial"/>
          <w:sz w:val="24"/>
          <w:szCs w:val="24"/>
        </w:rPr>
      </w:pPr>
      <w:r w:rsidRPr="00CA7AFE">
        <w:rPr>
          <w:rFonts w:ascii="Arial" w:hAnsi="Arial" w:cs="Arial"/>
          <w:bCs/>
          <w:sz w:val="24"/>
          <w:szCs w:val="24"/>
        </w:rPr>
        <w:t>Partnerships:</w:t>
      </w:r>
      <w:r w:rsidRPr="00CA7AFE">
        <w:rPr>
          <w:rFonts w:ascii="Arial" w:hAnsi="Arial" w:cs="Arial"/>
          <w:sz w:val="24"/>
          <w:szCs w:val="24"/>
        </w:rPr>
        <w:t xml:space="preserve"> We will partner with Visit Britain (2024) and other international investment bodies to promote the summit to their existing databases of qualified investors.</w:t>
      </w:r>
    </w:p>
    <w:p w14:paraId="5D93204B"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Strategic Operational Activities:</w:t>
      </w:r>
      <w:r w:rsidRPr="002C1DE6">
        <w:rPr>
          <w:rFonts w:ascii="Arial" w:hAnsi="Arial" w:cs="Arial"/>
          <w:sz w:val="24"/>
          <w:szCs w:val="24"/>
        </w:rPr>
        <w:t xml:space="preserve"> The operational plan, as outlined by Allen (2012), must be flawless. The focus is on removing all "friction" for the VIP delegates.</w:t>
      </w:r>
    </w:p>
    <w:p w14:paraId="704AC060" w14:textId="77777777" w:rsidR="0042485A" w:rsidRPr="00CA7AFE" w:rsidRDefault="0042485A" w:rsidP="002C1DE6">
      <w:pPr>
        <w:numPr>
          <w:ilvl w:val="0"/>
          <w:numId w:val="9"/>
        </w:numPr>
        <w:spacing w:after="160" w:line="360" w:lineRule="auto"/>
        <w:jc w:val="both"/>
        <w:rPr>
          <w:rFonts w:ascii="Arial" w:hAnsi="Arial" w:cs="Arial"/>
          <w:sz w:val="24"/>
          <w:szCs w:val="24"/>
        </w:rPr>
      </w:pPr>
      <w:r w:rsidRPr="00CA7AFE">
        <w:rPr>
          <w:rFonts w:ascii="Arial" w:hAnsi="Arial" w:cs="Arial"/>
          <w:bCs/>
          <w:sz w:val="24"/>
          <w:szCs w:val="24"/>
        </w:rPr>
        <w:t>Logistics:</w:t>
      </w:r>
      <w:r w:rsidRPr="00CA7AFE">
        <w:rPr>
          <w:rFonts w:ascii="Arial" w:hAnsi="Arial" w:cs="Arial"/>
          <w:sz w:val="24"/>
          <w:szCs w:val="24"/>
        </w:rPr>
        <w:t xml:space="preserve"> A dedicated transport fleet will manage all delegate movements from arrival to departure.</w:t>
      </w:r>
    </w:p>
    <w:p w14:paraId="7EC308A0" w14:textId="77777777" w:rsidR="0042485A" w:rsidRPr="00CA7AFE" w:rsidRDefault="0042485A" w:rsidP="002C1DE6">
      <w:pPr>
        <w:numPr>
          <w:ilvl w:val="0"/>
          <w:numId w:val="9"/>
        </w:numPr>
        <w:spacing w:after="160" w:line="360" w:lineRule="auto"/>
        <w:jc w:val="both"/>
        <w:rPr>
          <w:rFonts w:ascii="Arial" w:hAnsi="Arial" w:cs="Arial"/>
          <w:sz w:val="24"/>
          <w:szCs w:val="24"/>
        </w:rPr>
      </w:pPr>
      <w:r w:rsidRPr="00CA7AFE">
        <w:rPr>
          <w:rFonts w:ascii="Arial" w:hAnsi="Arial" w:cs="Arial"/>
          <w:bCs/>
          <w:sz w:val="24"/>
          <w:szCs w:val="24"/>
        </w:rPr>
        <w:t>Security:</w:t>
      </w:r>
      <w:r w:rsidRPr="00CA7AFE">
        <w:rPr>
          <w:rFonts w:ascii="Arial" w:hAnsi="Arial" w:cs="Arial"/>
          <w:sz w:val="24"/>
          <w:szCs w:val="24"/>
        </w:rPr>
        <w:t xml:space="preserve"> A comprehensive risk assessment will be conducted, and a security plan developed in partnership with ICC Wales (2025) and local police, building on the NATO precedent.</w:t>
      </w:r>
    </w:p>
    <w:p w14:paraId="1B2ED5BE" w14:textId="77777777" w:rsidR="0042485A" w:rsidRDefault="0042485A" w:rsidP="002C1DE6">
      <w:pPr>
        <w:numPr>
          <w:ilvl w:val="0"/>
          <w:numId w:val="9"/>
        </w:numPr>
        <w:spacing w:after="160" w:line="360" w:lineRule="auto"/>
        <w:jc w:val="both"/>
        <w:rPr>
          <w:rFonts w:ascii="Arial" w:hAnsi="Arial" w:cs="Arial"/>
          <w:sz w:val="24"/>
          <w:szCs w:val="24"/>
        </w:rPr>
      </w:pPr>
      <w:r w:rsidRPr="00CA7AFE">
        <w:rPr>
          <w:rFonts w:ascii="Arial" w:hAnsi="Arial" w:cs="Arial"/>
          <w:bCs/>
          <w:sz w:val="24"/>
          <w:szCs w:val="24"/>
        </w:rPr>
        <w:lastRenderedPageBreak/>
        <w:t>Technology:</w:t>
      </w:r>
      <w:r w:rsidRPr="00CA7AFE">
        <w:rPr>
          <w:rFonts w:ascii="Arial" w:hAnsi="Arial" w:cs="Arial"/>
          <w:sz w:val="24"/>
          <w:szCs w:val="24"/>
        </w:rPr>
        <w:t xml:space="preserve"> An event app will be the central hub for delegates to manage their schedules, book one-to-one meetings, and access a secure data room of investment opportunities.</w:t>
      </w:r>
    </w:p>
    <w:p w14:paraId="6ECA97FD" w14:textId="77777777" w:rsidR="00B82C8B" w:rsidRDefault="00B82C8B" w:rsidP="002C1DE6">
      <w:pPr>
        <w:spacing w:line="360" w:lineRule="auto"/>
        <w:jc w:val="both"/>
        <w:rPr>
          <w:rFonts w:ascii="Arial" w:hAnsi="Arial" w:cs="Arial"/>
          <w:b/>
          <w:bCs/>
          <w:sz w:val="24"/>
          <w:szCs w:val="24"/>
        </w:rPr>
      </w:pPr>
    </w:p>
    <w:p w14:paraId="6D35A710"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Event Budget (Critical Analysis)</w:t>
      </w:r>
    </w:p>
    <w:p w14:paraId="3E570F38"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Effective </w:t>
      </w:r>
      <w:r w:rsidRPr="00CA7AFE">
        <w:rPr>
          <w:rFonts w:ascii="Arial" w:hAnsi="Arial" w:cs="Arial"/>
          <w:bCs/>
          <w:sz w:val="24"/>
          <w:szCs w:val="24"/>
        </w:rPr>
        <w:t>financial planning and management</w:t>
      </w:r>
      <w:r w:rsidRPr="00CA7AFE">
        <w:rPr>
          <w:rFonts w:ascii="Arial" w:hAnsi="Arial" w:cs="Arial"/>
          <w:sz w:val="24"/>
          <w:szCs w:val="24"/>
        </w:rPr>
        <w:t xml:space="preserve"> </w:t>
      </w:r>
      <w:r w:rsidRPr="002C1DE6">
        <w:rPr>
          <w:rFonts w:ascii="Arial" w:hAnsi="Arial" w:cs="Arial"/>
          <w:sz w:val="24"/>
          <w:szCs w:val="24"/>
        </w:rPr>
        <w:t>are fundamental to event success (Bladen et al., 2017). The feasibility study established a high-level budget of ~£365,000. This section provides a critical analysis of that budget, justifying the high costs as a strategic investment.</w:t>
      </w:r>
    </w:p>
    <w:p w14:paraId="2CEF9B4E"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Income Analysis:</w:t>
      </w:r>
      <w:r w:rsidRPr="002C1DE6">
        <w:rPr>
          <w:rFonts w:ascii="Arial" w:hAnsi="Arial" w:cs="Arial"/>
          <w:sz w:val="24"/>
          <w:szCs w:val="24"/>
        </w:rPr>
        <w:t xml:space="preserve"> The event is not designed to be profit-making but must be financially sustainable by covering its costs.</w:t>
      </w:r>
    </w:p>
    <w:p w14:paraId="7F25CF81" w14:textId="77777777" w:rsidR="0042485A" w:rsidRPr="00CA7AFE" w:rsidRDefault="0042485A" w:rsidP="002C1DE6">
      <w:pPr>
        <w:numPr>
          <w:ilvl w:val="0"/>
          <w:numId w:val="10"/>
        </w:numPr>
        <w:spacing w:after="160" w:line="360" w:lineRule="auto"/>
        <w:jc w:val="both"/>
        <w:rPr>
          <w:rFonts w:ascii="Arial" w:hAnsi="Arial" w:cs="Arial"/>
          <w:sz w:val="24"/>
          <w:szCs w:val="24"/>
        </w:rPr>
      </w:pPr>
      <w:r w:rsidRPr="00CA7AFE">
        <w:rPr>
          <w:rFonts w:ascii="Arial" w:hAnsi="Arial" w:cs="Arial"/>
          <w:bCs/>
          <w:sz w:val="24"/>
          <w:szCs w:val="24"/>
        </w:rPr>
        <w:t>Corporate Sponsorship (£200,000):</w:t>
      </w:r>
      <w:r w:rsidRPr="00CA7AFE">
        <w:rPr>
          <w:rFonts w:ascii="Arial" w:hAnsi="Arial" w:cs="Arial"/>
          <w:sz w:val="24"/>
          <w:szCs w:val="24"/>
        </w:rPr>
        <w:t xml:space="preserve"> This is the largest income stream. We will create tiered packages (e.g., "Principal Partner," "Development Partner") targeting major banks, law firms, and construction firms who want to sell their services to the investors in the room. This model is standard for high-level B2B summits (Matthews, 2023) and leverages access to the delegates as the primary asset.</w:t>
      </w:r>
    </w:p>
    <w:p w14:paraId="689695B3" w14:textId="77777777" w:rsidR="0042485A" w:rsidRPr="00CA7AFE" w:rsidRDefault="0042485A" w:rsidP="002C1DE6">
      <w:pPr>
        <w:numPr>
          <w:ilvl w:val="0"/>
          <w:numId w:val="10"/>
        </w:numPr>
        <w:spacing w:after="160" w:line="360" w:lineRule="auto"/>
        <w:jc w:val="both"/>
        <w:rPr>
          <w:rFonts w:ascii="Arial" w:hAnsi="Arial" w:cs="Arial"/>
          <w:sz w:val="24"/>
          <w:szCs w:val="24"/>
        </w:rPr>
      </w:pPr>
      <w:r w:rsidRPr="00CA7AFE">
        <w:rPr>
          <w:rFonts w:ascii="Arial" w:hAnsi="Arial" w:cs="Arial"/>
          <w:bCs/>
          <w:sz w:val="24"/>
          <w:szCs w:val="24"/>
        </w:rPr>
        <w:t>Delegate Fees (£100,000):</w:t>
      </w:r>
      <w:r w:rsidRPr="00CA7AFE">
        <w:rPr>
          <w:rFonts w:ascii="Arial" w:hAnsi="Arial" w:cs="Arial"/>
          <w:sz w:val="24"/>
          <w:szCs w:val="24"/>
        </w:rPr>
        <w:t xml:space="preserve"> (e.g., 100 delegates @ £1,000). The high fee is a strategic "barrier to entry" to qualify attendees, ensuring only those with serious investment intent participate.</w:t>
      </w:r>
    </w:p>
    <w:p w14:paraId="73F9EE62" w14:textId="77777777" w:rsidR="0042485A" w:rsidRDefault="0042485A" w:rsidP="002C1DE6">
      <w:pPr>
        <w:numPr>
          <w:ilvl w:val="0"/>
          <w:numId w:val="10"/>
        </w:numPr>
        <w:spacing w:after="160" w:line="360" w:lineRule="auto"/>
        <w:jc w:val="both"/>
        <w:rPr>
          <w:rFonts w:ascii="Arial" w:hAnsi="Arial" w:cs="Arial"/>
          <w:sz w:val="24"/>
          <w:szCs w:val="24"/>
        </w:rPr>
      </w:pPr>
      <w:r w:rsidRPr="00CA7AFE">
        <w:rPr>
          <w:rFonts w:ascii="Arial" w:hAnsi="Arial" w:cs="Arial"/>
          <w:bCs/>
          <w:sz w:val="24"/>
          <w:szCs w:val="24"/>
        </w:rPr>
        <w:t>Public Partnership Funding (£65,000):</w:t>
      </w:r>
      <w:r w:rsidRPr="00CA7AFE">
        <w:rPr>
          <w:rFonts w:ascii="Arial" w:hAnsi="Arial" w:cs="Arial"/>
          <w:sz w:val="24"/>
          <w:szCs w:val="24"/>
        </w:rPr>
        <w:t xml:space="preserve"> This contribution from the Welsh Government is justified as a direct investment in their own National Events Strategy (Welsh Government</w:t>
      </w:r>
      <w:r w:rsidRPr="002C1DE6">
        <w:rPr>
          <w:rFonts w:ascii="Arial" w:hAnsi="Arial" w:cs="Arial"/>
          <w:sz w:val="24"/>
          <w:szCs w:val="24"/>
        </w:rPr>
        <w:t>, 2022). It pays for the "shop window" that will, in turn, generate future tax revenue and jobs.</w:t>
      </w:r>
    </w:p>
    <w:p w14:paraId="563B1731" w14:textId="77777777" w:rsidR="00CA7AFE" w:rsidRPr="002C1DE6" w:rsidRDefault="00CA7AFE" w:rsidP="00CA7AFE">
      <w:pPr>
        <w:spacing w:after="160" w:line="360" w:lineRule="auto"/>
        <w:ind w:left="720"/>
        <w:jc w:val="both"/>
        <w:rPr>
          <w:rFonts w:ascii="Arial" w:hAnsi="Arial" w:cs="Arial"/>
          <w:sz w:val="24"/>
          <w:szCs w:val="24"/>
        </w:rPr>
      </w:pPr>
    </w:p>
    <w:p w14:paraId="33F59ABA" w14:textId="77777777" w:rsidR="00B82C8B" w:rsidRDefault="00B82C8B" w:rsidP="002C1DE6">
      <w:pPr>
        <w:spacing w:line="360" w:lineRule="auto"/>
        <w:jc w:val="both"/>
        <w:rPr>
          <w:rFonts w:ascii="Arial" w:hAnsi="Arial" w:cs="Arial"/>
          <w:b/>
          <w:bCs/>
          <w:sz w:val="24"/>
          <w:szCs w:val="24"/>
        </w:rPr>
      </w:pPr>
    </w:p>
    <w:p w14:paraId="703DA8EF" w14:textId="77777777" w:rsidR="00B82C8B" w:rsidRDefault="00B82C8B" w:rsidP="002C1DE6">
      <w:pPr>
        <w:spacing w:line="360" w:lineRule="auto"/>
        <w:jc w:val="both"/>
        <w:rPr>
          <w:rFonts w:ascii="Arial" w:hAnsi="Arial" w:cs="Arial"/>
          <w:b/>
          <w:bCs/>
          <w:sz w:val="24"/>
          <w:szCs w:val="24"/>
        </w:rPr>
      </w:pPr>
    </w:p>
    <w:p w14:paraId="0886D116"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lastRenderedPageBreak/>
        <w:t>Expenditure Analysis:</w:t>
      </w:r>
      <w:r w:rsidRPr="002C1DE6">
        <w:rPr>
          <w:rFonts w:ascii="Arial" w:hAnsi="Arial" w:cs="Arial"/>
          <w:sz w:val="24"/>
          <w:szCs w:val="24"/>
        </w:rPr>
        <w:t xml:space="preserve"> The high costs are directly linked to the high-value audience.</w:t>
      </w:r>
    </w:p>
    <w:p w14:paraId="37100100" w14:textId="77777777" w:rsidR="0042485A" w:rsidRPr="00CA7AFE" w:rsidRDefault="0042485A" w:rsidP="002C1DE6">
      <w:pPr>
        <w:numPr>
          <w:ilvl w:val="0"/>
          <w:numId w:val="11"/>
        </w:numPr>
        <w:spacing w:after="160" w:line="360" w:lineRule="auto"/>
        <w:jc w:val="both"/>
        <w:rPr>
          <w:rFonts w:ascii="Arial" w:hAnsi="Arial" w:cs="Arial"/>
          <w:sz w:val="24"/>
          <w:szCs w:val="24"/>
        </w:rPr>
      </w:pPr>
      <w:r w:rsidRPr="00CA7AFE">
        <w:rPr>
          <w:rFonts w:ascii="Arial" w:hAnsi="Arial" w:cs="Arial"/>
          <w:bCs/>
          <w:sz w:val="24"/>
          <w:szCs w:val="24"/>
        </w:rPr>
        <w:t>Venue &amp; Production (£200,000):</w:t>
      </w:r>
      <w:r w:rsidRPr="00CA7AFE">
        <w:rPr>
          <w:rFonts w:ascii="Arial" w:hAnsi="Arial" w:cs="Arial"/>
          <w:sz w:val="24"/>
          <w:szCs w:val="24"/>
        </w:rPr>
        <w:t xml:space="preserve"> This is the largest cost. It includes the hire of the ICC Wales (2025) main hall, exhibition space, and multiple breakout rooms, plus the high-specification AV required for financial presentations.</w:t>
      </w:r>
    </w:p>
    <w:p w14:paraId="7C0325D4" w14:textId="77777777" w:rsidR="0042485A" w:rsidRPr="00CA7AFE" w:rsidRDefault="0042485A" w:rsidP="002C1DE6">
      <w:pPr>
        <w:numPr>
          <w:ilvl w:val="0"/>
          <w:numId w:val="11"/>
        </w:numPr>
        <w:spacing w:after="160" w:line="360" w:lineRule="auto"/>
        <w:jc w:val="both"/>
        <w:rPr>
          <w:rFonts w:ascii="Arial" w:hAnsi="Arial" w:cs="Arial"/>
          <w:sz w:val="24"/>
          <w:szCs w:val="24"/>
        </w:rPr>
      </w:pPr>
      <w:r w:rsidRPr="00CA7AFE">
        <w:rPr>
          <w:rFonts w:ascii="Arial" w:hAnsi="Arial" w:cs="Arial"/>
          <w:bCs/>
          <w:sz w:val="24"/>
          <w:szCs w:val="24"/>
        </w:rPr>
        <w:t>Premium F&amp;B (£75,000):</w:t>
      </w:r>
      <w:r w:rsidRPr="00CA7AFE">
        <w:rPr>
          <w:rFonts w:ascii="Arial" w:hAnsi="Arial" w:cs="Arial"/>
          <w:sz w:val="24"/>
          <w:szCs w:val="24"/>
        </w:rPr>
        <w:t xml:space="preserve"> This is not a standard "conference buffet." To align with the '</w:t>
      </w:r>
      <w:proofErr w:type="spellStart"/>
      <w:r w:rsidRPr="00CA7AFE">
        <w:rPr>
          <w:rFonts w:ascii="Arial" w:hAnsi="Arial" w:cs="Arial"/>
          <w:sz w:val="24"/>
          <w:szCs w:val="24"/>
        </w:rPr>
        <w:t>Croeso</w:t>
      </w:r>
      <w:proofErr w:type="spellEnd"/>
      <w:r w:rsidRPr="00CA7AFE">
        <w:rPr>
          <w:rFonts w:ascii="Arial" w:hAnsi="Arial" w:cs="Arial"/>
          <w:sz w:val="24"/>
          <w:szCs w:val="24"/>
        </w:rPr>
        <w:t>' theme and 5-star delegate expectations, this budget covers a gala dinner and premium networking receptions. The expenditure on premium F&amp;B, for example, is not a luxury; it is a core part of the '</w:t>
      </w:r>
      <w:proofErr w:type="spellStart"/>
      <w:r w:rsidRPr="00CA7AFE">
        <w:rPr>
          <w:rFonts w:ascii="Arial" w:hAnsi="Arial" w:cs="Arial"/>
          <w:sz w:val="24"/>
          <w:szCs w:val="24"/>
        </w:rPr>
        <w:t>Croeso</w:t>
      </w:r>
      <w:proofErr w:type="spellEnd"/>
      <w:r w:rsidRPr="00CA7AFE">
        <w:rPr>
          <w:rFonts w:ascii="Arial" w:hAnsi="Arial" w:cs="Arial"/>
          <w:sz w:val="24"/>
          <w:szCs w:val="24"/>
        </w:rPr>
        <w:t>' product. It showcases the quality of the Welsh supply chain, which is a key consideration for any hospitality investor. Every cost is a calculated investment in the overall narrative.</w:t>
      </w:r>
    </w:p>
    <w:p w14:paraId="1FCF2523" w14:textId="77777777" w:rsidR="0042485A" w:rsidRPr="00CA7AFE" w:rsidRDefault="0042485A" w:rsidP="002C1DE6">
      <w:pPr>
        <w:numPr>
          <w:ilvl w:val="0"/>
          <w:numId w:val="11"/>
        </w:numPr>
        <w:spacing w:after="160" w:line="360" w:lineRule="auto"/>
        <w:jc w:val="both"/>
        <w:rPr>
          <w:rFonts w:ascii="Arial" w:hAnsi="Arial" w:cs="Arial"/>
          <w:sz w:val="24"/>
          <w:szCs w:val="24"/>
        </w:rPr>
      </w:pPr>
      <w:r w:rsidRPr="00CA7AFE">
        <w:rPr>
          <w:rFonts w:ascii="Arial" w:hAnsi="Arial" w:cs="Arial"/>
          <w:bCs/>
          <w:sz w:val="24"/>
          <w:szCs w:val="24"/>
        </w:rPr>
        <w:t>Marketing (£50,000):</w:t>
      </w:r>
      <w:r w:rsidRPr="00CA7AFE">
        <w:rPr>
          <w:rFonts w:ascii="Arial" w:hAnsi="Arial" w:cs="Arial"/>
          <w:sz w:val="24"/>
          <w:szCs w:val="24"/>
        </w:rPr>
        <w:t xml:space="preserve"> A significant budget is required to reach a niche, international audience through specialist publications and targeted digital campaigns (Smith and Zook, 2019).</w:t>
      </w:r>
    </w:p>
    <w:p w14:paraId="68D07193" w14:textId="77777777" w:rsidR="0042485A" w:rsidRDefault="0042485A" w:rsidP="002C1DE6">
      <w:pPr>
        <w:numPr>
          <w:ilvl w:val="0"/>
          <w:numId w:val="11"/>
        </w:numPr>
        <w:spacing w:after="160" w:line="360" w:lineRule="auto"/>
        <w:jc w:val="both"/>
        <w:rPr>
          <w:rFonts w:ascii="Arial" w:hAnsi="Arial" w:cs="Arial"/>
          <w:sz w:val="24"/>
          <w:szCs w:val="24"/>
        </w:rPr>
      </w:pPr>
      <w:r w:rsidRPr="00CA7AFE">
        <w:rPr>
          <w:rFonts w:ascii="Arial" w:hAnsi="Arial" w:cs="Arial"/>
          <w:bCs/>
          <w:sz w:val="24"/>
          <w:szCs w:val="24"/>
        </w:rPr>
        <w:t>Speakers &amp; Staff (£40,000):</w:t>
      </w:r>
      <w:r w:rsidRPr="00CA7AFE">
        <w:rPr>
          <w:rFonts w:ascii="Arial" w:hAnsi="Arial" w:cs="Arial"/>
          <w:sz w:val="24"/>
          <w:szCs w:val="24"/>
        </w:rPr>
        <w:t xml:space="preserve"> This includes fees for high-profile keynote speakers (e.g., from the finance world) and the costs of the specialist project management team.</w:t>
      </w:r>
    </w:p>
    <w:p w14:paraId="1FA207A5" w14:textId="77777777" w:rsidR="00CA7AFE" w:rsidRPr="00CA7AFE" w:rsidRDefault="00CA7AFE" w:rsidP="00CA7AFE">
      <w:pPr>
        <w:spacing w:after="160" w:line="360" w:lineRule="auto"/>
        <w:ind w:left="720"/>
        <w:jc w:val="both"/>
        <w:rPr>
          <w:rFonts w:ascii="Arial" w:hAnsi="Arial" w:cs="Arial"/>
          <w:sz w:val="24"/>
          <w:szCs w:val="24"/>
        </w:rPr>
      </w:pPr>
    </w:p>
    <w:p w14:paraId="260C065B"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Industry Trends / Issues / Impacts</w:t>
      </w:r>
    </w:p>
    <w:p w14:paraId="365C9A7D"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The strategic plan for this summit is directly informed by the key trends and issues facing the MICE industry.</w:t>
      </w:r>
    </w:p>
    <w:p w14:paraId="199F878D" w14:textId="77777777" w:rsidR="0042485A" w:rsidRPr="00E00D00" w:rsidRDefault="0042485A" w:rsidP="002C1DE6">
      <w:pPr>
        <w:spacing w:line="360" w:lineRule="auto"/>
        <w:jc w:val="both"/>
        <w:rPr>
          <w:rFonts w:ascii="Arial" w:hAnsi="Arial" w:cs="Arial"/>
          <w:sz w:val="24"/>
          <w:szCs w:val="24"/>
        </w:rPr>
      </w:pPr>
      <w:r w:rsidRPr="00E00D00">
        <w:rPr>
          <w:rFonts w:ascii="Arial" w:hAnsi="Arial" w:cs="Arial"/>
          <w:bCs/>
          <w:sz w:val="24"/>
          <w:szCs w:val="24"/>
        </w:rPr>
        <w:t>Industry Trends:</w:t>
      </w:r>
    </w:p>
    <w:p w14:paraId="181FF368" w14:textId="77777777" w:rsidR="0042485A" w:rsidRPr="00CA7AFE" w:rsidRDefault="0042485A" w:rsidP="002C1DE6">
      <w:pPr>
        <w:numPr>
          <w:ilvl w:val="0"/>
          <w:numId w:val="12"/>
        </w:numPr>
        <w:spacing w:after="160" w:line="360" w:lineRule="auto"/>
        <w:jc w:val="both"/>
        <w:rPr>
          <w:rFonts w:ascii="Arial" w:hAnsi="Arial" w:cs="Arial"/>
          <w:sz w:val="24"/>
          <w:szCs w:val="24"/>
        </w:rPr>
      </w:pPr>
      <w:r w:rsidRPr="00CA7AFE">
        <w:rPr>
          <w:rFonts w:ascii="Arial" w:hAnsi="Arial" w:cs="Arial"/>
          <w:bCs/>
          <w:sz w:val="24"/>
          <w:szCs w:val="24"/>
        </w:rPr>
        <w:t>Sustainability:</w:t>
      </w:r>
      <w:r w:rsidRPr="00CA7AFE">
        <w:rPr>
          <w:rFonts w:ascii="Arial" w:hAnsi="Arial" w:cs="Arial"/>
          <w:sz w:val="24"/>
          <w:szCs w:val="24"/>
        </w:rPr>
        <w:t xml:space="preserve"> Modern investors are increasingly focused on ESG (Environmental, Social, and Governance) criteria. The summit will reflect this. The ICC Wales (2025) has strong sustainability credentials, and the event will champion "green" hotel development. This is a key selling point.</w:t>
      </w:r>
    </w:p>
    <w:p w14:paraId="7EE620A8" w14:textId="476CEFED" w:rsidR="00CA7AFE" w:rsidRPr="00BA1A86" w:rsidRDefault="0042485A" w:rsidP="00BA1A86">
      <w:pPr>
        <w:numPr>
          <w:ilvl w:val="0"/>
          <w:numId w:val="12"/>
        </w:numPr>
        <w:spacing w:after="160" w:line="360" w:lineRule="auto"/>
        <w:jc w:val="both"/>
        <w:rPr>
          <w:rFonts w:ascii="Arial" w:hAnsi="Arial" w:cs="Arial"/>
          <w:sz w:val="24"/>
          <w:szCs w:val="24"/>
        </w:rPr>
      </w:pPr>
      <w:r w:rsidRPr="00CA7AFE">
        <w:rPr>
          <w:rFonts w:ascii="Arial" w:hAnsi="Arial" w:cs="Arial"/>
          <w:bCs/>
          <w:sz w:val="24"/>
          <w:szCs w:val="24"/>
        </w:rPr>
        <w:t>Technology:</w:t>
      </w:r>
      <w:r w:rsidRPr="00CA7AFE">
        <w:rPr>
          <w:rFonts w:ascii="Arial" w:hAnsi="Arial" w:cs="Arial"/>
          <w:sz w:val="24"/>
          <w:szCs w:val="24"/>
        </w:rPr>
        <w:t xml:space="preserve"> While</w:t>
      </w:r>
      <w:r w:rsidRPr="002C1DE6">
        <w:rPr>
          <w:rFonts w:ascii="Arial" w:hAnsi="Arial" w:cs="Arial"/>
          <w:sz w:val="24"/>
          <w:szCs w:val="24"/>
        </w:rPr>
        <w:t xml:space="preserve"> this event must be in-person to build trust and showcase the destination, it will use technology (e.g., an event app, AI-driven matchmaking) to </w:t>
      </w:r>
      <w:r w:rsidRPr="002C1DE6">
        <w:rPr>
          <w:rFonts w:ascii="Arial" w:hAnsi="Arial" w:cs="Arial"/>
          <w:sz w:val="24"/>
          <w:szCs w:val="24"/>
        </w:rPr>
        <w:lastRenderedPageBreak/>
        <w:t>enhance the delegate experience (Conference News, 2025). While hybrid models became a default post-pandemic, for this specific event, it is strategically rejected. The objective is to sell a destination and build high-trust relationships with investors. This cannot be achieved over a video call. The in-person, immersive experience is the event's primary USP (Berridge, 2012).</w:t>
      </w:r>
    </w:p>
    <w:p w14:paraId="5D7FD76C" w14:textId="77777777" w:rsidR="0042485A" w:rsidRPr="002C1DE6" w:rsidRDefault="0042485A" w:rsidP="002C1DE6">
      <w:pPr>
        <w:spacing w:line="360" w:lineRule="auto"/>
        <w:jc w:val="both"/>
        <w:rPr>
          <w:rFonts w:ascii="Arial" w:hAnsi="Arial" w:cs="Arial"/>
          <w:sz w:val="24"/>
          <w:szCs w:val="24"/>
        </w:rPr>
      </w:pPr>
      <w:r w:rsidRPr="00E00D00">
        <w:rPr>
          <w:rFonts w:ascii="Arial" w:hAnsi="Arial" w:cs="Arial"/>
          <w:bCs/>
          <w:sz w:val="24"/>
          <w:szCs w:val="24"/>
        </w:rPr>
        <w:t>Industry Issues</w:t>
      </w:r>
      <w:r w:rsidRPr="002C1DE6">
        <w:rPr>
          <w:rFonts w:ascii="Arial" w:hAnsi="Arial" w:cs="Arial"/>
          <w:b/>
          <w:bCs/>
          <w:sz w:val="24"/>
          <w:szCs w:val="24"/>
        </w:rPr>
        <w:t>:</w:t>
      </w:r>
    </w:p>
    <w:p w14:paraId="0C7836F5" w14:textId="77777777" w:rsidR="0042485A" w:rsidRDefault="0042485A" w:rsidP="002C1DE6">
      <w:pPr>
        <w:numPr>
          <w:ilvl w:val="0"/>
          <w:numId w:val="13"/>
        </w:numPr>
        <w:spacing w:after="160" w:line="360" w:lineRule="auto"/>
        <w:jc w:val="both"/>
        <w:rPr>
          <w:rFonts w:ascii="Arial" w:hAnsi="Arial" w:cs="Arial"/>
          <w:sz w:val="24"/>
          <w:szCs w:val="24"/>
        </w:rPr>
      </w:pPr>
      <w:r w:rsidRPr="002C1DE6">
        <w:rPr>
          <w:rFonts w:ascii="Arial" w:hAnsi="Arial" w:cs="Arial"/>
          <w:sz w:val="24"/>
          <w:szCs w:val="24"/>
        </w:rPr>
        <w:t xml:space="preserve">The primary issue is </w:t>
      </w:r>
      <w:r w:rsidRPr="00CA7AFE">
        <w:rPr>
          <w:rFonts w:ascii="Arial" w:hAnsi="Arial" w:cs="Arial"/>
          <w:bCs/>
          <w:sz w:val="24"/>
          <w:szCs w:val="24"/>
        </w:rPr>
        <w:t>investor caution</w:t>
      </w:r>
      <w:r w:rsidRPr="002C1DE6">
        <w:rPr>
          <w:rFonts w:ascii="Arial" w:hAnsi="Arial" w:cs="Arial"/>
          <w:sz w:val="24"/>
          <w:szCs w:val="24"/>
        </w:rPr>
        <w:t xml:space="preserve"> due to global inflation and high interest rates (PwC, 2024). This summit is the antidote to this risk. By bringing investors and policymakers into the same room, it provides certainty and removes bureaucratic barriers, thereby "de-risking" the investment process.</w:t>
      </w:r>
    </w:p>
    <w:p w14:paraId="7AE11DFB" w14:textId="77777777" w:rsidR="00CA7AFE" w:rsidRPr="002C1DE6" w:rsidRDefault="00CA7AFE" w:rsidP="00CA7AFE">
      <w:pPr>
        <w:spacing w:after="160" w:line="360" w:lineRule="auto"/>
        <w:ind w:left="720"/>
        <w:jc w:val="both"/>
        <w:rPr>
          <w:rFonts w:ascii="Arial" w:hAnsi="Arial" w:cs="Arial"/>
          <w:sz w:val="24"/>
          <w:szCs w:val="24"/>
        </w:rPr>
      </w:pPr>
    </w:p>
    <w:p w14:paraId="2948233E" w14:textId="77777777" w:rsidR="0042485A" w:rsidRPr="002C1DE6" w:rsidRDefault="0042485A" w:rsidP="002C1DE6">
      <w:pPr>
        <w:spacing w:line="360" w:lineRule="auto"/>
        <w:jc w:val="both"/>
        <w:rPr>
          <w:rFonts w:ascii="Arial" w:hAnsi="Arial" w:cs="Arial"/>
          <w:sz w:val="24"/>
          <w:szCs w:val="24"/>
        </w:rPr>
      </w:pPr>
      <w:r w:rsidRPr="00E00D00">
        <w:rPr>
          <w:rFonts w:ascii="Arial" w:hAnsi="Arial" w:cs="Arial"/>
          <w:bCs/>
          <w:sz w:val="24"/>
          <w:szCs w:val="24"/>
        </w:rPr>
        <w:t>Strategic Impacts (Legacy):</w:t>
      </w:r>
      <w:r w:rsidRPr="002C1DE6">
        <w:rPr>
          <w:rFonts w:ascii="Arial" w:hAnsi="Arial" w:cs="Arial"/>
          <w:sz w:val="24"/>
          <w:szCs w:val="24"/>
        </w:rPr>
        <w:t xml:space="preserve"> The true impact of this event is its legacy (</w:t>
      </w:r>
      <w:proofErr w:type="spellStart"/>
      <w:r w:rsidRPr="002C1DE6">
        <w:rPr>
          <w:rFonts w:ascii="Arial" w:hAnsi="Arial" w:cs="Arial"/>
          <w:sz w:val="24"/>
          <w:szCs w:val="24"/>
        </w:rPr>
        <w:t>Chalip</w:t>
      </w:r>
      <w:proofErr w:type="spellEnd"/>
      <w:r w:rsidRPr="002C1DE6">
        <w:rPr>
          <w:rFonts w:ascii="Arial" w:hAnsi="Arial" w:cs="Arial"/>
          <w:sz w:val="24"/>
          <w:szCs w:val="24"/>
        </w:rPr>
        <w:t>, 2014; Preuss, 2007).</w:t>
      </w:r>
    </w:p>
    <w:p w14:paraId="4F7CBB25" w14:textId="77777777" w:rsidR="0042485A" w:rsidRPr="00CA7AFE" w:rsidRDefault="0042485A" w:rsidP="002C1DE6">
      <w:pPr>
        <w:numPr>
          <w:ilvl w:val="0"/>
          <w:numId w:val="14"/>
        </w:numPr>
        <w:spacing w:after="160" w:line="360" w:lineRule="auto"/>
        <w:jc w:val="both"/>
        <w:rPr>
          <w:rFonts w:ascii="Arial" w:hAnsi="Arial" w:cs="Arial"/>
          <w:sz w:val="24"/>
          <w:szCs w:val="24"/>
        </w:rPr>
      </w:pPr>
      <w:r w:rsidRPr="00CA7AFE">
        <w:rPr>
          <w:rFonts w:ascii="Arial" w:hAnsi="Arial" w:cs="Arial"/>
          <w:bCs/>
          <w:sz w:val="24"/>
          <w:szCs w:val="24"/>
        </w:rPr>
        <w:t>Short-Term:</w:t>
      </w:r>
      <w:r w:rsidRPr="00CA7AFE">
        <w:rPr>
          <w:rFonts w:ascii="Arial" w:hAnsi="Arial" w:cs="Arial"/>
          <w:sz w:val="24"/>
          <w:szCs w:val="24"/>
        </w:rPr>
        <w:t xml:space="preserve"> Immediate generation of £50M+ in qualified investment leads (Objective 1).</w:t>
      </w:r>
    </w:p>
    <w:p w14:paraId="7F244810" w14:textId="77777777" w:rsidR="0042485A" w:rsidRPr="00CA7AFE" w:rsidRDefault="0042485A" w:rsidP="002C1DE6">
      <w:pPr>
        <w:numPr>
          <w:ilvl w:val="0"/>
          <w:numId w:val="14"/>
        </w:numPr>
        <w:spacing w:after="160" w:line="360" w:lineRule="auto"/>
        <w:jc w:val="both"/>
        <w:rPr>
          <w:rFonts w:ascii="Arial" w:hAnsi="Arial" w:cs="Arial"/>
          <w:sz w:val="24"/>
          <w:szCs w:val="24"/>
        </w:rPr>
      </w:pPr>
      <w:r w:rsidRPr="00CA7AFE">
        <w:rPr>
          <w:rFonts w:ascii="Arial" w:hAnsi="Arial" w:cs="Arial"/>
          <w:bCs/>
          <w:sz w:val="24"/>
          <w:szCs w:val="24"/>
        </w:rPr>
        <w:t>Medium-Term:</w:t>
      </w:r>
      <w:r w:rsidRPr="00CA7AFE">
        <w:rPr>
          <w:rFonts w:ascii="Arial" w:hAnsi="Arial" w:cs="Arial"/>
          <w:sz w:val="24"/>
          <w:szCs w:val="24"/>
        </w:rPr>
        <w:t xml:space="preserve"> The construction of 2-3 new international hotels, creating jobs and increasing Wales's high-quality room-stock.</w:t>
      </w:r>
    </w:p>
    <w:p w14:paraId="2DED94E9" w14:textId="77777777" w:rsidR="0042485A" w:rsidRDefault="0042485A" w:rsidP="002C1DE6">
      <w:pPr>
        <w:numPr>
          <w:ilvl w:val="0"/>
          <w:numId w:val="14"/>
        </w:numPr>
        <w:spacing w:after="160" w:line="360" w:lineRule="auto"/>
        <w:jc w:val="both"/>
        <w:rPr>
          <w:rFonts w:ascii="Arial" w:hAnsi="Arial" w:cs="Arial"/>
          <w:sz w:val="24"/>
          <w:szCs w:val="24"/>
        </w:rPr>
      </w:pPr>
      <w:r w:rsidRPr="00CA7AFE">
        <w:rPr>
          <w:rFonts w:ascii="Arial" w:hAnsi="Arial" w:cs="Arial"/>
          <w:bCs/>
          <w:sz w:val="24"/>
          <w:szCs w:val="24"/>
        </w:rPr>
        <w:t>Long-Term:</w:t>
      </w:r>
      <w:r w:rsidRPr="00CA7AFE">
        <w:rPr>
          <w:rFonts w:ascii="Arial" w:hAnsi="Arial" w:cs="Arial"/>
          <w:sz w:val="24"/>
          <w:szCs w:val="24"/>
        </w:rPr>
        <w:t xml:space="preserve"> The permanent establishment of Wales as a "go-to" region for hospitality investment</w:t>
      </w:r>
      <w:r w:rsidRPr="002C1DE6">
        <w:rPr>
          <w:rFonts w:ascii="Arial" w:hAnsi="Arial" w:cs="Arial"/>
          <w:sz w:val="24"/>
          <w:szCs w:val="24"/>
        </w:rPr>
        <w:t>, creating a self-sustaining cycle of economic growth that began with the legacy of the Ryder Cup and NATO Summit.</w:t>
      </w:r>
    </w:p>
    <w:p w14:paraId="0E76754E" w14:textId="77777777" w:rsidR="00CA7AFE" w:rsidRPr="002C1DE6" w:rsidRDefault="00CA7AFE" w:rsidP="00CA7AFE">
      <w:pPr>
        <w:spacing w:after="160" w:line="360" w:lineRule="auto"/>
        <w:ind w:left="720"/>
        <w:jc w:val="both"/>
        <w:rPr>
          <w:rFonts w:ascii="Arial" w:hAnsi="Arial" w:cs="Arial"/>
          <w:sz w:val="24"/>
          <w:szCs w:val="24"/>
        </w:rPr>
      </w:pPr>
    </w:p>
    <w:p w14:paraId="717EEFD3"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Situational and Cultural Considerations</w:t>
      </w:r>
    </w:p>
    <w:p w14:paraId="2DC35E3A" w14:textId="77777777" w:rsidR="0042485A" w:rsidRPr="002C1DE6" w:rsidRDefault="0042485A" w:rsidP="002C1DE6">
      <w:pPr>
        <w:spacing w:line="360" w:lineRule="auto"/>
        <w:jc w:val="both"/>
        <w:rPr>
          <w:rFonts w:ascii="Arial" w:hAnsi="Arial" w:cs="Arial"/>
          <w:sz w:val="24"/>
          <w:szCs w:val="24"/>
        </w:rPr>
      </w:pPr>
      <w:r w:rsidRPr="00CA7AFE">
        <w:rPr>
          <w:rFonts w:ascii="Arial" w:hAnsi="Arial" w:cs="Arial"/>
          <w:sz w:val="24"/>
          <w:szCs w:val="24"/>
        </w:rPr>
        <w:t xml:space="preserve">A </w:t>
      </w:r>
      <w:r w:rsidRPr="00CA7AFE">
        <w:rPr>
          <w:rFonts w:ascii="Arial" w:hAnsi="Arial" w:cs="Arial"/>
          <w:bCs/>
          <w:sz w:val="24"/>
          <w:szCs w:val="24"/>
        </w:rPr>
        <w:t>PESTEL analysis</w:t>
      </w:r>
      <w:r w:rsidRPr="002C1DE6">
        <w:rPr>
          <w:rFonts w:ascii="Arial" w:hAnsi="Arial" w:cs="Arial"/>
          <w:sz w:val="24"/>
          <w:szCs w:val="24"/>
        </w:rPr>
        <w:t>, based on the framework from Johnson et al. (2017), provides a clear situational overview:</w:t>
      </w:r>
    </w:p>
    <w:p w14:paraId="3B029230" w14:textId="77777777" w:rsidR="0042485A" w:rsidRPr="00CA7AFE" w:rsidRDefault="0042485A" w:rsidP="002C1DE6">
      <w:pPr>
        <w:numPr>
          <w:ilvl w:val="0"/>
          <w:numId w:val="15"/>
        </w:numPr>
        <w:spacing w:after="160" w:line="360" w:lineRule="auto"/>
        <w:jc w:val="both"/>
        <w:rPr>
          <w:rFonts w:ascii="Arial" w:hAnsi="Arial" w:cs="Arial"/>
          <w:sz w:val="24"/>
          <w:szCs w:val="24"/>
        </w:rPr>
      </w:pPr>
      <w:r w:rsidRPr="00CA7AFE">
        <w:rPr>
          <w:rFonts w:ascii="Arial" w:hAnsi="Arial" w:cs="Arial"/>
          <w:bCs/>
          <w:sz w:val="24"/>
          <w:szCs w:val="24"/>
        </w:rPr>
        <w:t>Political:</w:t>
      </w:r>
      <w:r w:rsidRPr="00CA7AFE">
        <w:rPr>
          <w:rFonts w:ascii="Arial" w:hAnsi="Arial" w:cs="Arial"/>
          <w:sz w:val="24"/>
          <w:szCs w:val="24"/>
        </w:rPr>
        <w:t xml:space="preserve"> Highly Positive. The event is directly supported by, and delivers on, the Welsh Government's (2022) National Events Strategy. This political alignment is its greatest strength.</w:t>
      </w:r>
    </w:p>
    <w:p w14:paraId="6CAF2156" w14:textId="77777777" w:rsidR="0042485A" w:rsidRPr="00CA7AFE" w:rsidRDefault="0042485A" w:rsidP="002C1DE6">
      <w:pPr>
        <w:numPr>
          <w:ilvl w:val="0"/>
          <w:numId w:val="15"/>
        </w:numPr>
        <w:spacing w:after="160" w:line="360" w:lineRule="auto"/>
        <w:jc w:val="both"/>
        <w:rPr>
          <w:rFonts w:ascii="Arial" w:hAnsi="Arial" w:cs="Arial"/>
          <w:sz w:val="24"/>
          <w:szCs w:val="24"/>
        </w:rPr>
      </w:pPr>
      <w:r w:rsidRPr="00CA7AFE">
        <w:rPr>
          <w:rFonts w:ascii="Arial" w:hAnsi="Arial" w:cs="Arial"/>
          <w:bCs/>
          <w:sz w:val="24"/>
          <w:szCs w:val="24"/>
        </w:rPr>
        <w:lastRenderedPageBreak/>
        <w:t>Economic:</w:t>
      </w:r>
      <w:r w:rsidRPr="00CA7AFE">
        <w:rPr>
          <w:rFonts w:ascii="Arial" w:hAnsi="Arial" w:cs="Arial"/>
          <w:sz w:val="24"/>
          <w:szCs w:val="24"/>
        </w:rPr>
        <w:t xml:space="preserve"> Opportunity &amp; Challenge. The challenge is investor caution (PwC, 2024). The opportunity is the active, cash-rich market (Knight Frank, 2025) seeking new regional locations.</w:t>
      </w:r>
    </w:p>
    <w:p w14:paraId="159EE1A5" w14:textId="77777777" w:rsidR="0042485A" w:rsidRPr="00CA7AFE" w:rsidRDefault="0042485A" w:rsidP="002C1DE6">
      <w:pPr>
        <w:numPr>
          <w:ilvl w:val="0"/>
          <w:numId w:val="15"/>
        </w:numPr>
        <w:spacing w:after="160" w:line="360" w:lineRule="auto"/>
        <w:jc w:val="both"/>
        <w:rPr>
          <w:rFonts w:ascii="Arial" w:hAnsi="Arial" w:cs="Arial"/>
          <w:sz w:val="24"/>
          <w:szCs w:val="24"/>
        </w:rPr>
      </w:pPr>
      <w:r w:rsidRPr="00CA7AFE">
        <w:rPr>
          <w:rFonts w:ascii="Arial" w:hAnsi="Arial" w:cs="Arial"/>
          <w:bCs/>
          <w:sz w:val="24"/>
          <w:szCs w:val="24"/>
        </w:rPr>
        <w:t>Social:</w:t>
      </w:r>
      <w:r w:rsidRPr="00CA7AFE">
        <w:rPr>
          <w:rFonts w:ascii="Arial" w:hAnsi="Arial" w:cs="Arial"/>
          <w:sz w:val="24"/>
          <w:szCs w:val="24"/>
        </w:rPr>
        <w:t xml:space="preserve"> Highly Positive. The 'Year of </w:t>
      </w:r>
      <w:proofErr w:type="spellStart"/>
      <w:r w:rsidRPr="00CA7AFE">
        <w:rPr>
          <w:rFonts w:ascii="Arial" w:hAnsi="Arial" w:cs="Arial"/>
          <w:sz w:val="24"/>
          <w:szCs w:val="24"/>
        </w:rPr>
        <w:t>Croeso</w:t>
      </w:r>
      <w:proofErr w:type="spellEnd"/>
      <w:r w:rsidRPr="00CA7AFE">
        <w:rPr>
          <w:rFonts w:ascii="Arial" w:hAnsi="Arial" w:cs="Arial"/>
          <w:sz w:val="24"/>
          <w:szCs w:val="24"/>
        </w:rPr>
        <w:t xml:space="preserve"> 2025' (Visit Wales, 2024) provides a positive, nation-wide narrative and "Sense of Place" that differentiates the event.</w:t>
      </w:r>
    </w:p>
    <w:p w14:paraId="0B434518" w14:textId="77777777" w:rsidR="0042485A" w:rsidRPr="00CA7AFE" w:rsidRDefault="0042485A" w:rsidP="002C1DE6">
      <w:pPr>
        <w:numPr>
          <w:ilvl w:val="0"/>
          <w:numId w:val="15"/>
        </w:numPr>
        <w:spacing w:after="160" w:line="360" w:lineRule="auto"/>
        <w:jc w:val="both"/>
        <w:rPr>
          <w:rFonts w:ascii="Arial" w:hAnsi="Arial" w:cs="Arial"/>
          <w:sz w:val="24"/>
          <w:szCs w:val="24"/>
        </w:rPr>
      </w:pPr>
      <w:r w:rsidRPr="00CA7AFE">
        <w:rPr>
          <w:rFonts w:ascii="Arial" w:hAnsi="Arial" w:cs="Arial"/>
          <w:bCs/>
          <w:sz w:val="24"/>
          <w:szCs w:val="24"/>
        </w:rPr>
        <w:t>Technological:</w:t>
      </w:r>
      <w:r w:rsidRPr="00CA7AFE">
        <w:rPr>
          <w:rFonts w:ascii="Arial" w:hAnsi="Arial" w:cs="Arial"/>
          <w:sz w:val="24"/>
          <w:szCs w:val="24"/>
        </w:rPr>
        <w:t xml:space="preserve"> Positive. The ICC Wales (2025) is a state-of-the-art "smart" venue, and event technology will be used to streamline the delegate experience.</w:t>
      </w:r>
    </w:p>
    <w:p w14:paraId="2EBE6E81" w14:textId="77777777" w:rsidR="0042485A" w:rsidRPr="00CA7AFE" w:rsidRDefault="0042485A" w:rsidP="002C1DE6">
      <w:pPr>
        <w:numPr>
          <w:ilvl w:val="0"/>
          <w:numId w:val="15"/>
        </w:numPr>
        <w:spacing w:after="160" w:line="360" w:lineRule="auto"/>
        <w:jc w:val="both"/>
        <w:rPr>
          <w:rFonts w:ascii="Arial" w:hAnsi="Arial" w:cs="Arial"/>
          <w:sz w:val="24"/>
          <w:szCs w:val="24"/>
        </w:rPr>
      </w:pPr>
      <w:r w:rsidRPr="00CA7AFE">
        <w:rPr>
          <w:rFonts w:ascii="Arial" w:hAnsi="Arial" w:cs="Arial"/>
          <w:bCs/>
          <w:sz w:val="24"/>
          <w:szCs w:val="24"/>
        </w:rPr>
        <w:t>Environmental:</w:t>
      </w:r>
      <w:r w:rsidRPr="00CA7AFE">
        <w:rPr>
          <w:rFonts w:ascii="Arial" w:hAnsi="Arial" w:cs="Arial"/>
          <w:sz w:val="24"/>
          <w:szCs w:val="24"/>
        </w:rPr>
        <w:t xml:space="preserve"> Neutral. The event will operate with a strong sustainability policy, aligning with investor expectations.</w:t>
      </w:r>
    </w:p>
    <w:p w14:paraId="5AA21AF6" w14:textId="77777777" w:rsidR="0042485A" w:rsidRDefault="0042485A" w:rsidP="002C1DE6">
      <w:pPr>
        <w:numPr>
          <w:ilvl w:val="0"/>
          <w:numId w:val="15"/>
        </w:numPr>
        <w:spacing w:after="160" w:line="360" w:lineRule="auto"/>
        <w:jc w:val="both"/>
        <w:rPr>
          <w:rFonts w:ascii="Arial" w:hAnsi="Arial" w:cs="Arial"/>
          <w:sz w:val="24"/>
          <w:szCs w:val="24"/>
        </w:rPr>
      </w:pPr>
      <w:r w:rsidRPr="00CA7AFE">
        <w:rPr>
          <w:rFonts w:ascii="Arial" w:hAnsi="Arial" w:cs="Arial"/>
          <w:bCs/>
          <w:sz w:val="24"/>
          <w:szCs w:val="24"/>
        </w:rPr>
        <w:t>Legal:</w:t>
      </w:r>
      <w:r w:rsidRPr="00CA7AFE">
        <w:rPr>
          <w:rFonts w:ascii="Arial" w:hAnsi="Arial" w:cs="Arial"/>
          <w:sz w:val="24"/>
          <w:szCs w:val="24"/>
        </w:rPr>
        <w:t xml:space="preserve"> Neutral. Standard</w:t>
      </w:r>
      <w:r w:rsidRPr="002C1DE6">
        <w:rPr>
          <w:rFonts w:ascii="Arial" w:hAnsi="Arial" w:cs="Arial"/>
          <w:sz w:val="24"/>
          <w:szCs w:val="24"/>
        </w:rPr>
        <w:t xml:space="preserve"> event and financial regulations apply.</w:t>
      </w:r>
    </w:p>
    <w:p w14:paraId="17F12FE1" w14:textId="77777777" w:rsidR="00CA7AFE" w:rsidRPr="002C1DE6" w:rsidRDefault="00CA7AFE" w:rsidP="00CA7AFE">
      <w:pPr>
        <w:spacing w:after="160" w:line="360" w:lineRule="auto"/>
        <w:ind w:left="720"/>
        <w:jc w:val="both"/>
        <w:rPr>
          <w:rFonts w:ascii="Arial" w:hAnsi="Arial" w:cs="Arial"/>
          <w:sz w:val="24"/>
          <w:szCs w:val="24"/>
        </w:rPr>
      </w:pPr>
    </w:p>
    <w:p w14:paraId="1AC67C6B"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b/>
          <w:bCs/>
          <w:sz w:val="24"/>
          <w:szCs w:val="24"/>
        </w:rPr>
        <w:t>Cultural Considerations:</w:t>
      </w:r>
      <w:r w:rsidRPr="002C1DE6">
        <w:rPr>
          <w:rFonts w:ascii="Arial" w:hAnsi="Arial" w:cs="Arial"/>
          <w:sz w:val="24"/>
          <w:szCs w:val="24"/>
        </w:rPr>
        <w:t xml:space="preserve"> The most important cultural consideration is the presentation of '</w:t>
      </w:r>
      <w:proofErr w:type="spellStart"/>
      <w:r w:rsidRPr="002C1DE6">
        <w:rPr>
          <w:rFonts w:ascii="Arial" w:hAnsi="Arial" w:cs="Arial"/>
          <w:sz w:val="24"/>
          <w:szCs w:val="24"/>
        </w:rPr>
        <w:t>Croeso</w:t>
      </w:r>
      <w:proofErr w:type="spellEnd"/>
      <w:r w:rsidRPr="002C1DE6">
        <w:rPr>
          <w:rFonts w:ascii="Arial" w:hAnsi="Arial" w:cs="Arial"/>
          <w:sz w:val="24"/>
          <w:szCs w:val="24"/>
        </w:rPr>
        <w:t>' (Jones, 2023). For a B2B investor audience, this concept must be managed carefully. It must be positioned as:</w:t>
      </w:r>
    </w:p>
    <w:p w14:paraId="4B9FD8C1" w14:textId="77777777" w:rsidR="0042485A" w:rsidRPr="00CA7AFE" w:rsidRDefault="0042485A" w:rsidP="002C1DE6">
      <w:pPr>
        <w:numPr>
          <w:ilvl w:val="0"/>
          <w:numId w:val="16"/>
        </w:numPr>
        <w:spacing w:after="160" w:line="360" w:lineRule="auto"/>
        <w:jc w:val="both"/>
        <w:rPr>
          <w:rFonts w:ascii="Arial" w:hAnsi="Arial" w:cs="Arial"/>
          <w:sz w:val="24"/>
          <w:szCs w:val="24"/>
        </w:rPr>
      </w:pPr>
      <w:r w:rsidRPr="00CA7AFE">
        <w:rPr>
          <w:rFonts w:ascii="Arial" w:hAnsi="Arial" w:cs="Arial"/>
          <w:bCs/>
          <w:sz w:val="24"/>
          <w:szCs w:val="24"/>
        </w:rPr>
        <w:t>Professional &amp; Authentic:</w:t>
      </w:r>
      <w:r w:rsidRPr="00CA7AFE">
        <w:rPr>
          <w:rFonts w:ascii="Arial" w:hAnsi="Arial" w:cs="Arial"/>
          <w:sz w:val="24"/>
          <w:szCs w:val="24"/>
        </w:rPr>
        <w:t xml:space="preserve"> It means a warm, efficient, and welcoming business environment.</w:t>
      </w:r>
    </w:p>
    <w:p w14:paraId="4E4B53AE" w14:textId="77777777" w:rsidR="0042485A" w:rsidRPr="00CA7AFE" w:rsidRDefault="0042485A" w:rsidP="002C1DE6">
      <w:pPr>
        <w:numPr>
          <w:ilvl w:val="0"/>
          <w:numId w:val="16"/>
        </w:numPr>
        <w:spacing w:after="160" w:line="360" w:lineRule="auto"/>
        <w:jc w:val="both"/>
        <w:rPr>
          <w:rFonts w:ascii="Arial" w:hAnsi="Arial" w:cs="Arial"/>
          <w:sz w:val="24"/>
          <w:szCs w:val="24"/>
        </w:rPr>
      </w:pPr>
      <w:r w:rsidRPr="00CA7AFE">
        <w:rPr>
          <w:rFonts w:ascii="Arial" w:hAnsi="Arial" w:cs="Arial"/>
          <w:bCs/>
          <w:sz w:val="24"/>
          <w:szCs w:val="24"/>
        </w:rPr>
        <w:t>Premium Quality:</w:t>
      </w:r>
      <w:r w:rsidRPr="00CA7AFE">
        <w:rPr>
          <w:rFonts w:ascii="Arial" w:hAnsi="Arial" w:cs="Arial"/>
          <w:sz w:val="24"/>
          <w:szCs w:val="24"/>
        </w:rPr>
        <w:t xml:space="preserve"> It will be showcased through high-end Welsh produce, materials, and cultural performances (e.g., Welsh National Opera), not through stereotypes.</w:t>
      </w:r>
    </w:p>
    <w:p w14:paraId="3AD625CF" w14:textId="2658887F" w:rsidR="0042485A" w:rsidRDefault="0042485A" w:rsidP="002C1DE6">
      <w:pPr>
        <w:numPr>
          <w:ilvl w:val="0"/>
          <w:numId w:val="16"/>
        </w:numPr>
        <w:spacing w:after="160" w:line="360" w:lineRule="auto"/>
        <w:jc w:val="both"/>
        <w:rPr>
          <w:rFonts w:ascii="Arial" w:hAnsi="Arial" w:cs="Arial"/>
          <w:sz w:val="24"/>
          <w:szCs w:val="24"/>
        </w:rPr>
      </w:pPr>
      <w:r w:rsidRPr="00CA7AFE">
        <w:rPr>
          <w:rFonts w:ascii="Arial" w:hAnsi="Arial" w:cs="Arial"/>
          <w:bCs/>
          <w:sz w:val="24"/>
          <w:szCs w:val="24"/>
        </w:rPr>
        <w:t>A Partnership:</w:t>
      </w:r>
      <w:r w:rsidRPr="00CA7AFE">
        <w:rPr>
          <w:rFonts w:ascii="Arial" w:hAnsi="Arial" w:cs="Arial"/>
          <w:sz w:val="24"/>
          <w:szCs w:val="24"/>
        </w:rPr>
        <w:t xml:space="preserve"> '</w:t>
      </w:r>
      <w:proofErr w:type="spellStart"/>
      <w:r w:rsidRPr="00CA7AFE">
        <w:rPr>
          <w:rFonts w:ascii="Arial" w:hAnsi="Arial" w:cs="Arial"/>
          <w:sz w:val="24"/>
          <w:szCs w:val="24"/>
        </w:rPr>
        <w:t>Croeso</w:t>
      </w:r>
      <w:proofErr w:type="spellEnd"/>
      <w:r w:rsidRPr="00CA7AFE">
        <w:rPr>
          <w:rFonts w:ascii="Arial" w:hAnsi="Arial" w:cs="Arial"/>
          <w:sz w:val="24"/>
          <w:szCs w:val="24"/>
        </w:rPr>
        <w:t>' means Wales is "open for business" and ready to partner with investors</w:t>
      </w:r>
      <w:r w:rsidRPr="002C1DE6">
        <w:rPr>
          <w:rFonts w:ascii="Arial" w:hAnsi="Arial" w:cs="Arial"/>
          <w:sz w:val="24"/>
          <w:szCs w:val="24"/>
        </w:rPr>
        <w:t>. This must be managed with sophistication. '</w:t>
      </w:r>
      <w:proofErr w:type="spellStart"/>
      <w:r w:rsidRPr="002C1DE6">
        <w:rPr>
          <w:rFonts w:ascii="Arial" w:hAnsi="Arial" w:cs="Arial"/>
          <w:sz w:val="24"/>
          <w:szCs w:val="24"/>
        </w:rPr>
        <w:t>Croeso</w:t>
      </w:r>
      <w:proofErr w:type="spellEnd"/>
      <w:r w:rsidRPr="002C1DE6">
        <w:rPr>
          <w:rFonts w:ascii="Arial" w:hAnsi="Arial" w:cs="Arial"/>
          <w:sz w:val="24"/>
          <w:szCs w:val="24"/>
        </w:rPr>
        <w:t xml:space="preserve">' will be defined by its seamless service, its quiet confidence, and its attention to detail. It is the opposite of a stereotype; it is the </w:t>
      </w:r>
      <w:r w:rsidR="00BA1A86">
        <w:rPr>
          <w:rFonts w:ascii="Arial" w:hAnsi="Arial" w:cs="Arial"/>
          <w:sz w:val="24"/>
          <w:szCs w:val="24"/>
        </w:rPr>
        <w:t>proof</w:t>
      </w:r>
      <w:r w:rsidRPr="002C1DE6">
        <w:rPr>
          <w:rFonts w:ascii="Arial" w:hAnsi="Arial" w:cs="Arial"/>
          <w:sz w:val="24"/>
          <w:szCs w:val="24"/>
        </w:rPr>
        <w:t xml:space="preserve"> of a modern, professional, and welcoming nation ready for high-level business. This interpretation is critical to building credibility with a discerning international audience (Jones, 2023).</w:t>
      </w:r>
    </w:p>
    <w:p w14:paraId="447549BF" w14:textId="77777777" w:rsidR="00E70844" w:rsidRDefault="00E70844" w:rsidP="00E70844">
      <w:pPr>
        <w:spacing w:after="160" w:line="360" w:lineRule="auto"/>
        <w:jc w:val="both"/>
        <w:rPr>
          <w:rFonts w:ascii="Arial" w:hAnsi="Arial" w:cs="Arial"/>
          <w:sz w:val="24"/>
          <w:szCs w:val="24"/>
        </w:rPr>
      </w:pPr>
    </w:p>
    <w:p w14:paraId="629AEC2B" w14:textId="77777777" w:rsidR="00E70844" w:rsidRDefault="00E70844" w:rsidP="00E70844">
      <w:pPr>
        <w:spacing w:after="160" w:line="360" w:lineRule="auto"/>
        <w:jc w:val="both"/>
        <w:rPr>
          <w:rFonts w:ascii="Arial" w:hAnsi="Arial" w:cs="Arial"/>
          <w:sz w:val="24"/>
          <w:szCs w:val="24"/>
        </w:rPr>
      </w:pPr>
    </w:p>
    <w:p w14:paraId="6C6307E8" w14:textId="77777777" w:rsidR="00E70844" w:rsidRDefault="00E70844" w:rsidP="00E70844">
      <w:pPr>
        <w:spacing w:after="160" w:line="360" w:lineRule="auto"/>
        <w:jc w:val="both"/>
        <w:rPr>
          <w:rFonts w:ascii="Arial" w:hAnsi="Arial" w:cs="Arial"/>
          <w:sz w:val="24"/>
          <w:szCs w:val="24"/>
        </w:rPr>
      </w:pPr>
    </w:p>
    <w:p w14:paraId="2E334AC4" w14:textId="77777777" w:rsidR="00E70844" w:rsidRPr="002C1DE6" w:rsidRDefault="00E70844" w:rsidP="00E70844">
      <w:pPr>
        <w:spacing w:after="160" w:line="360" w:lineRule="auto"/>
        <w:jc w:val="both"/>
        <w:rPr>
          <w:rFonts w:ascii="Arial" w:hAnsi="Arial" w:cs="Arial"/>
          <w:sz w:val="24"/>
          <w:szCs w:val="24"/>
        </w:rPr>
      </w:pPr>
    </w:p>
    <w:p w14:paraId="00C801DF" w14:textId="77777777" w:rsidR="0042485A" w:rsidRPr="002C1DE6" w:rsidRDefault="0042485A" w:rsidP="002C1DE6">
      <w:pPr>
        <w:spacing w:line="360" w:lineRule="auto"/>
        <w:jc w:val="both"/>
        <w:rPr>
          <w:rFonts w:ascii="Arial" w:hAnsi="Arial" w:cs="Arial"/>
          <w:b/>
          <w:bCs/>
          <w:sz w:val="24"/>
          <w:szCs w:val="24"/>
        </w:rPr>
      </w:pPr>
      <w:r w:rsidRPr="002C1DE6">
        <w:rPr>
          <w:rFonts w:ascii="Arial" w:hAnsi="Arial" w:cs="Arial"/>
          <w:b/>
          <w:bCs/>
          <w:sz w:val="24"/>
          <w:szCs w:val="24"/>
        </w:rPr>
        <w:t>Reference List</w:t>
      </w:r>
    </w:p>
    <w:p w14:paraId="13FC7220" w14:textId="77777777" w:rsidR="0042485A" w:rsidRPr="002C1DE6" w:rsidRDefault="0042485A" w:rsidP="002C1DE6">
      <w:pPr>
        <w:spacing w:line="360" w:lineRule="auto"/>
        <w:jc w:val="both"/>
        <w:rPr>
          <w:rFonts w:ascii="Arial" w:hAnsi="Arial" w:cs="Arial"/>
          <w:i/>
          <w:iCs/>
          <w:sz w:val="24"/>
          <w:szCs w:val="24"/>
        </w:rPr>
      </w:pPr>
      <w:r w:rsidRPr="002C1DE6">
        <w:rPr>
          <w:rFonts w:ascii="Arial" w:hAnsi="Arial" w:cs="Arial"/>
          <w:sz w:val="24"/>
          <w:szCs w:val="24"/>
        </w:rPr>
        <w:t>Allen, J. (2012) E</w:t>
      </w:r>
      <w:r w:rsidRPr="002C1DE6">
        <w:rPr>
          <w:rFonts w:ascii="Arial" w:hAnsi="Arial" w:cs="Arial"/>
          <w:i/>
          <w:iCs/>
          <w:sz w:val="24"/>
          <w:szCs w:val="24"/>
        </w:rPr>
        <w:t xml:space="preserve">vent Planning: The Ultimate Guide </w:t>
      </w:r>
      <w:proofErr w:type="gramStart"/>
      <w:r w:rsidRPr="002C1DE6">
        <w:rPr>
          <w:rFonts w:ascii="Arial" w:hAnsi="Arial" w:cs="Arial"/>
          <w:i/>
          <w:iCs/>
          <w:sz w:val="24"/>
          <w:szCs w:val="24"/>
        </w:rPr>
        <w:t>To</w:t>
      </w:r>
      <w:proofErr w:type="gramEnd"/>
      <w:r w:rsidRPr="002C1DE6">
        <w:rPr>
          <w:rFonts w:ascii="Arial" w:hAnsi="Arial" w:cs="Arial"/>
          <w:i/>
          <w:iCs/>
          <w:sz w:val="24"/>
          <w:szCs w:val="24"/>
        </w:rPr>
        <w:t xml:space="preserve"> Successful Meetings, Corporate Events, Fundraising Galas, Conferences, Conventions, Incentives and Other Special Events</w:t>
      </w:r>
      <w:r w:rsidRPr="002C1DE6">
        <w:rPr>
          <w:rFonts w:ascii="Arial" w:hAnsi="Arial" w:cs="Arial"/>
          <w:sz w:val="24"/>
          <w:szCs w:val="24"/>
        </w:rPr>
        <w:t xml:space="preserve">2nd </w:t>
      </w:r>
      <w:proofErr w:type="spellStart"/>
      <w:r w:rsidRPr="002C1DE6">
        <w:rPr>
          <w:rFonts w:ascii="Arial" w:hAnsi="Arial" w:cs="Arial"/>
          <w:sz w:val="24"/>
          <w:szCs w:val="24"/>
        </w:rPr>
        <w:t>edn</w:t>
      </w:r>
      <w:proofErr w:type="spellEnd"/>
      <w:r w:rsidRPr="002C1DE6">
        <w:rPr>
          <w:rFonts w:ascii="Arial" w:hAnsi="Arial" w:cs="Arial"/>
          <w:sz w:val="24"/>
          <w:szCs w:val="24"/>
        </w:rPr>
        <w:t xml:space="preserve">. Mississauga: John Wiley &amp; Sons Canada. Available at: </w:t>
      </w:r>
      <w:hyperlink r:id="rId7" w:tgtFrame="_blank" w:history="1">
        <w:r w:rsidRPr="002C1DE6">
          <w:rPr>
            <w:rStyle w:val="Hyperlink"/>
            <w:rFonts w:ascii="Arial" w:hAnsi="Arial" w:cs="Arial"/>
            <w:sz w:val="24"/>
            <w:szCs w:val="24"/>
          </w:rPr>
          <w:t>https://www.perlego.com/book/1006948/event-planning-the-ultimate-guide-to-successful-meetings-corporate-events-fundraising-galas-conferences-conventions-incentives-and-other-special-events</w:t>
        </w:r>
      </w:hyperlink>
      <w:r w:rsidRPr="002C1DE6">
        <w:rPr>
          <w:rFonts w:ascii="Arial" w:hAnsi="Arial" w:cs="Arial"/>
          <w:sz w:val="24"/>
          <w:szCs w:val="24"/>
        </w:rPr>
        <w:t xml:space="preserve"> (Accessed: 25 October 2025).</w:t>
      </w:r>
    </w:p>
    <w:p w14:paraId="56B2EC3F"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Berridge, G. (2012) </w:t>
      </w:r>
      <w:r w:rsidRPr="002C1DE6">
        <w:rPr>
          <w:rFonts w:ascii="Arial" w:hAnsi="Arial" w:cs="Arial"/>
          <w:i/>
          <w:iCs/>
          <w:sz w:val="24"/>
          <w:szCs w:val="24"/>
        </w:rPr>
        <w:t>Events design and experience</w:t>
      </w:r>
      <w:r w:rsidRPr="002C1DE6">
        <w:rPr>
          <w:rFonts w:ascii="Arial" w:hAnsi="Arial" w:cs="Arial"/>
          <w:sz w:val="24"/>
          <w:szCs w:val="24"/>
        </w:rPr>
        <w:t xml:space="preserve">. Oxford: Butterworth-Heinemann. Available at: </w:t>
      </w:r>
      <w:hyperlink r:id="rId8" w:tgtFrame="_blank" w:history="1">
        <w:r w:rsidRPr="002C1DE6">
          <w:rPr>
            <w:rStyle w:val="Hyperlink"/>
            <w:rFonts w:ascii="Arial" w:hAnsi="Arial" w:cs="Arial"/>
            <w:sz w:val="24"/>
            <w:szCs w:val="24"/>
          </w:rPr>
          <w:t>https://www.taylorfrancis.com/books/mono/10.4324/9780080468112/events-design-experience-graham-berridge</w:t>
        </w:r>
      </w:hyperlink>
      <w:r w:rsidRPr="002C1DE6">
        <w:rPr>
          <w:rFonts w:ascii="Arial" w:hAnsi="Arial" w:cs="Arial"/>
          <w:sz w:val="24"/>
          <w:szCs w:val="24"/>
        </w:rPr>
        <w:t xml:space="preserve"> (Accessed: 26 October 2025).</w:t>
      </w:r>
    </w:p>
    <w:p w14:paraId="291E223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Bladen, C., Kennell, J., Abson, E. and Wilde, N. (2017) ‘Financial planning and management’, in </w:t>
      </w:r>
      <w:r w:rsidRPr="002C1DE6">
        <w:rPr>
          <w:rFonts w:ascii="Arial" w:hAnsi="Arial" w:cs="Arial"/>
          <w:i/>
          <w:iCs/>
          <w:sz w:val="24"/>
          <w:szCs w:val="24"/>
        </w:rPr>
        <w:t>Events management: an introduction</w:t>
      </w:r>
      <w:r w:rsidRPr="002C1DE6">
        <w:rPr>
          <w:rFonts w:ascii="Arial" w:hAnsi="Arial" w:cs="Arial"/>
          <w:sz w:val="24"/>
          <w:szCs w:val="24"/>
        </w:rPr>
        <w:t xml:space="preserve">. 2nd </w:t>
      </w:r>
      <w:proofErr w:type="spellStart"/>
      <w:r w:rsidRPr="002C1DE6">
        <w:rPr>
          <w:rFonts w:ascii="Arial" w:hAnsi="Arial" w:cs="Arial"/>
          <w:sz w:val="24"/>
          <w:szCs w:val="24"/>
        </w:rPr>
        <w:t>edn</w:t>
      </w:r>
      <w:proofErr w:type="spellEnd"/>
      <w:r w:rsidRPr="002C1DE6">
        <w:rPr>
          <w:rFonts w:ascii="Arial" w:hAnsi="Arial" w:cs="Arial"/>
          <w:sz w:val="24"/>
          <w:szCs w:val="24"/>
        </w:rPr>
        <w:t xml:space="preserve">. London: Routledge, pp. 216-239. Available at: </w:t>
      </w:r>
      <w:hyperlink r:id="rId9" w:tgtFrame="_blank" w:history="1">
        <w:r w:rsidRPr="002C1DE6">
          <w:rPr>
            <w:rStyle w:val="Hyperlink"/>
            <w:rFonts w:ascii="Arial" w:hAnsi="Arial" w:cs="Arial"/>
            <w:sz w:val="24"/>
            <w:szCs w:val="24"/>
          </w:rPr>
          <w:t>https://www.researchgate.net/publication/365396517_Events_Management_An_Introduction</w:t>
        </w:r>
      </w:hyperlink>
      <w:r w:rsidRPr="002C1DE6">
        <w:rPr>
          <w:rFonts w:ascii="Arial" w:hAnsi="Arial" w:cs="Arial"/>
          <w:sz w:val="24"/>
          <w:szCs w:val="24"/>
        </w:rPr>
        <w:t xml:space="preserve"> (Accessed: 30 October 2025).</w:t>
      </w:r>
    </w:p>
    <w:p w14:paraId="04125FD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Bowdin, G., Allen, J., O'Toole, W., Harris, R. and McDonnell, I. (2012) </w:t>
      </w:r>
      <w:r w:rsidRPr="002C1DE6">
        <w:rPr>
          <w:rFonts w:ascii="Arial" w:hAnsi="Arial" w:cs="Arial"/>
          <w:i/>
          <w:iCs/>
          <w:sz w:val="24"/>
          <w:szCs w:val="24"/>
        </w:rPr>
        <w:t>Events management</w:t>
      </w:r>
      <w:r w:rsidRPr="002C1DE6">
        <w:rPr>
          <w:rFonts w:ascii="Arial" w:hAnsi="Arial" w:cs="Arial"/>
          <w:sz w:val="24"/>
          <w:szCs w:val="24"/>
        </w:rPr>
        <w:t xml:space="preserve">. 3rd </w:t>
      </w:r>
      <w:proofErr w:type="spellStart"/>
      <w:r w:rsidRPr="002C1DE6">
        <w:rPr>
          <w:rFonts w:ascii="Arial" w:hAnsi="Arial" w:cs="Arial"/>
          <w:sz w:val="24"/>
          <w:szCs w:val="24"/>
        </w:rPr>
        <w:t>edn</w:t>
      </w:r>
      <w:proofErr w:type="spellEnd"/>
      <w:r w:rsidRPr="002C1DE6">
        <w:rPr>
          <w:rFonts w:ascii="Arial" w:hAnsi="Arial" w:cs="Arial"/>
          <w:sz w:val="24"/>
          <w:szCs w:val="24"/>
        </w:rPr>
        <w:t xml:space="preserve">. Oxford: Butterworth-Heinemann. Available at: </w:t>
      </w:r>
      <w:hyperlink r:id="rId10" w:tgtFrame="_blank" w:history="1">
        <w:r w:rsidRPr="002C1DE6">
          <w:rPr>
            <w:rStyle w:val="Hyperlink"/>
            <w:rFonts w:ascii="Arial" w:hAnsi="Arial" w:cs="Arial"/>
            <w:sz w:val="24"/>
            <w:szCs w:val="24"/>
          </w:rPr>
          <w:t>https://books.google.co.uk/books/about/Events_Management.html?id=-0Xj_d5XQCIC&amp;redir_esc=y</w:t>
        </w:r>
      </w:hyperlink>
      <w:r w:rsidRPr="002C1DE6">
        <w:rPr>
          <w:rFonts w:ascii="Arial" w:hAnsi="Arial" w:cs="Arial"/>
          <w:sz w:val="24"/>
          <w:szCs w:val="24"/>
        </w:rPr>
        <w:t xml:space="preserve"> (Accessed: 27 October 2025).</w:t>
      </w:r>
    </w:p>
    <w:p w14:paraId="4FF24FE8" w14:textId="77777777" w:rsidR="0042485A" w:rsidRPr="002C1DE6" w:rsidRDefault="0042485A" w:rsidP="002C1DE6">
      <w:pPr>
        <w:spacing w:line="360" w:lineRule="auto"/>
        <w:jc w:val="both"/>
        <w:rPr>
          <w:rFonts w:ascii="Arial" w:hAnsi="Arial" w:cs="Arial"/>
          <w:sz w:val="24"/>
          <w:szCs w:val="24"/>
        </w:rPr>
      </w:pPr>
      <w:proofErr w:type="spellStart"/>
      <w:r w:rsidRPr="002C1DE6">
        <w:rPr>
          <w:rFonts w:ascii="Arial" w:hAnsi="Arial" w:cs="Arial"/>
          <w:sz w:val="24"/>
          <w:szCs w:val="24"/>
        </w:rPr>
        <w:t>Chalip</w:t>
      </w:r>
      <w:proofErr w:type="spellEnd"/>
      <w:r w:rsidRPr="002C1DE6">
        <w:rPr>
          <w:rFonts w:ascii="Arial" w:hAnsi="Arial" w:cs="Arial"/>
          <w:sz w:val="24"/>
          <w:szCs w:val="24"/>
        </w:rPr>
        <w:t xml:space="preserve">, L. (2014) ‘From legacy to leverage’, in </w:t>
      </w:r>
      <w:proofErr w:type="spellStart"/>
      <w:r w:rsidRPr="002C1DE6">
        <w:rPr>
          <w:rFonts w:ascii="Arial" w:hAnsi="Arial" w:cs="Arial"/>
          <w:sz w:val="24"/>
          <w:szCs w:val="24"/>
        </w:rPr>
        <w:t>Girginov</w:t>
      </w:r>
      <w:proofErr w:type="spellEnd"/>
      <w:r w:rsidRPr="002C1DE6">
        <w:rPr>
          <w:rFonts w:ascii="Arial" w:hAnsi="Arial" w:cs="Arial"/>
          <w:sz w:val="24"/>
          <w:szCs w:val="24"/>
        </w:rPr>
        <w:t xml:space="preserve">, V. (ed.) </w:t>
      </w:r>
      <w:r w:rsidRPr="002C1DE6">
        <w:rPr>
          <w:rFonts w:ascii="Arial" w:hAnsi="Arial" w:cs="Arial"/>
          <w:i/>
          <w:iCs/>
          <w:sz w:val="24"/>
          <w:szCs w:val="24"/>
        </w:rPr>
        <w:t>Leveraging legacies from sports mega-events: concepts and cases</w:t>
      </w:r>
      <w:r w:rsidRPr="002C1DE6">
        <w:rPr>
          <w:rFonts w:ascii="Arial" w:hAnsi="Arial" w:cs="Arial"/>
          <w:sz w:val="24"/>
          <w:szCs w:val="24"/>
        </w:rPr>
        <w:t xml:space="preserve">. London: Palgrave Macmillan, pp. 2-12. Available at: </w:t>
      </w:r>
      <w:hyperlink r:id="rId11" w:tgtFrame="_blank" w:history="1">
        <w:r w:rsidRPr="002C1DE6">
          <w:rPr>
            <w:rStyle w:val="Hyperlink"/>
            <w:rFonts w:ascii="Arial" w:hAnsi="Arial" w:cs="Arial"/>
            <w:sz w:val="24"/>
            <w:szCs w:val="24"/>
          </w:rPr>
          <w:t>https://link.springer.com/chapter/10.1057/9781137371188_1</w:t>
        </w:r>
      </w:hyperlink>
      <w:r w:rsidRPr="002C1DE6">
        <w:rPr>
          <w:rFonts w:ascii="Arial" w:hAnsi="Arial" w:cs="Arial"/>
          <w:sz w:val="24"/>
          <w:szCs w:val="24"/>
        </w:rPr>
        <w:t xml:space="preserve"> (Accessed: 28 October 2025).</w:t>
      </w:r>
    </w:p>
    <w:p w14:paraId="1DF04A9B"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lastRenderedPageBreak/>
        <w:t xml:space="preserve">Christie &amp; Co (2025) </w:t>
      </w:r>
      <w:r w:rsidRPr="002C1DE6">
        <w:rPr>
          <w:rFonts w:ascii="Arial" w:hAnsi="Arial" w:cs="Arial"/>
          <w:i/>
          <w:iCs/>
          <w:sz w:val="24"/>
          <w:szCs w:val="24"/>
        </w:rPr>
        <w:t>Business Outlook 2025: Hotels UK</w:t>
      </w:r>
      <w:r w:rsidRPr="002C1DE6">
        <w:rPr>
          <w:rFonts w:ascii="Arial" w:hAnsi="Arial" w:cs="Arial"/>
          <w:sz w:val="24"/>
          <w:szCs w:val="24"/>
        </w:rPr>
        <w:t xml:space="preserve">. Available at: </w:t>
      </w:r>
      <w:hyperlink r:id="rId12" w:tgtFrame="_blank" w:history="1">
        <w:r w:rsidRPr="002C1DE6">
          <w:rPr>
            <w:rStyle w:val="Hyperlink"/>
            <w:rFonts w:ascii="Arial" w:hAnsi="Arial" w:cs="Arial"/>
            <w:sz w:val="24"/>
            <w:szCs w:val="24"/>
          </w:rPr>
          <w:t>https://www.christie.com/news-resources/business-outlook-2025/hotels/uk/</w:t>
        </w:r>
      </w:hyperlink>
      <w:r w:rsidRPr="002C1DE6">
        <w:rPr>
          <w:rFonts w:ascii="Arial" w:hAnsi="Arial" w:cs="Arial"/>
          <w:sz w:val="24"/>
          <w:szCs w:val="24"/>
        </w:rPr>
        <w:t xml:space="preserve"> (Accessed: 29 October 2025).</w:t>
      </w:r>
    </w:p>
    <w:p w14:paraId="266ACF3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Conference News (2025) </w:t>
      </w:r>
      <w:r w:rsidRPr="002C1DE6">
        <w:rPr>
          <w:rFonts w:ascii="Arial" w:hAnsi="Arial" w:cs="Arial"/>
          <w:i/>
          <w:iCs/>
          <w:sz w:val="24"/>
          <w:szCs w:val="24"/>
        </w:rPr>
        <w:t>ICC Wales and The Business of Events launch UK research</w:t>
      </w:r>
      <w:r w:rsidRPr="002C1DE6">
        <w:rPr>
          <w:rFonts w:ascii="Arial" w:hAnsi="Arial" w:cs="Arial"/>
          <w:sz w:val="24"/>
          <w:szCs w:val="24"/>
        </w:rPr>
        <w:t xml:space="preserve">. Available at: </w:t>
      </w:r>
      <w:hyperlink r:id="rId13" w:tgtFrame="_blank" w:history="1">
        <w:r w:rsidRPr="002C1DE6">
          <w:rPr>
            <w:rStyle w:val="Hyperlink"/>
            <w:rFonts w:ascii="Arial" w:hAnsi="Arial" w:cs="Arial"/>
            <w:sz w:val="24"/>
            <w:szCs w:val="24"/>
          </w:rPr>
          <w:t>https://www.conference-news.co.uk/news/icc-wales-and-the-business-of-events-launch-uk-research-to-help-shape-a-more-inclusive-industry/</w:t>
        </w:r>
      </w:hyperlink>
      <w:r w:rsidRPr="002C1DE6">
        <w:rPr>
          <w:rFonts w:ascii="Arial" w:hAnsi="Arial" w:cs="Arial"/>
          <w:sz w:val="24"/>
          <w:szCs w:val="24"/>
        </w:rPr>
        <w:t xml:space="preserve"> (Accessed: 29 October 2025).</w:t>
      </w:r>
    </w:p>
    <w:p w14:paraId="6A9B24B9"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Davidson, R. and Rogers, T. (2012) </w:t>
      </w:r>
      <w:r w:rsidRPr="002C1DE6">
        <w:rPr>
          <w:rFonts w:ascii="Arial" w:hAnsi="Arial" w:cs="Arial"/>
          <w:i/>
          <w:iCs/>
          <w:sz w:val="24"/>
          <w:szCs w:val="24"/>
        </w:rPr>
        <w:t>Marketing destinations and venues for conferences</w:t>
      </w:r>
      <w:r w:rsidRPr="002C1DE6">
        <w:rPr>
          <w:rFonts w:ascii="Arial" w:hAnsi="Arial" w:cs="Arial"/>
          <w:sz w:val="24"/>
          <w:szCs w:val="24"/>
        </w:rPr>
        <w:t xml:space="preserve">. 2nd </w:t>
      </w:r>
      <w:proofErr w:type="spellStart"/>
      <w:r w:rsidRPr="002C1DE6">
        <w:rPr>
          <w:rFonts w:ascii="Arial" w:hAnsi="Arial" w:cs="Arial"/>
          <w:sz w:val="24"/>
          <w:szCs w:val="24"/>
        </w:rPr>
        <w:t>edn</w:t>
      </w:r>
      <w:proofErr w:type="spellEnd"/>
      <w:r w:rsidRPr="002C1DE6">
        <w:rPr>
          <w:rFonts w:ascii="Arial" w:hAnsi="Arial" w:cs="Arial"/>
          <w:sz w:val="24"/>
          <w:szCs w:val="24"/>
        </w:rPr>
        <w:t xml:space="preserve">. Oxford: Routledge. Available at: </w:t>
      </w:r>
      <w:hyperlink r:id="rId14" w:tgtFrame="_blank" w:history="1">
        <w:r w:rsidRPr="002C1DE6">
          <w:rPr>
            <w:rStyle w:val="Hyperlink"/>
            <w:rFonts w:ascii="Arial" w:hAnsi="Arial" w:cs="Arial"/>
            <w:sz w:val="24"/>
            <w:szCs w:val="24"/>
          </w:rPr>
          <w:t>https://www.routledge.com/Marketing-Destinations-and-Venues-for-Conferences-Conventions-and-Business-Events/Rogers-Davidson/p/book/9781138852150</w:t>
        </w:r>
      </w:hyperlink>
      <w:r w:rsidRPr="002C1DE6">
        <w:rPr>
          <w:rFonts w:ascii="Arial" w:hAnsi="Arial" w:cs="Arial"/>
          <w:sz w:val="24"/>
          <w:szCs w:val="24"/>
        </w:rPr>
        <w:t xml:space="preserve"> (Accessed: 30 October 2025).</w:t>
      </w:r>
    </w:p>
    <w:p w14:paraId="5CDCC79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Doran, G. T. (1981) ‘There's a S.M.A.R.T. way to write management's goals and objectives’, </w:t>
      </w:r>
      <w:r w:rsidRPr="002C1DE6">
        <w:rPr>
          <w:rFonts w:ascii="Arial" w:hAnsi="Arial" w:cs="Arial"/>
          <w:i/>
          <w:iCs/>
          <w:sz w:val="24"/>
          <w:szCs w:val="24"/>
        </w:rPr>
        <w:t>Management Review</w:t>
      </w:r>
      <w:r w:rsidRPr="002C1DE6">
        <w:rPr>
          <w:rFonts w:ascii="Arial" w:hAnsi="Arial" w:cs="Arial"/>
          <w:sz w:val="24"/>
          <w:szCs w:val="24"/>
        </w:rPr>
        <w:t xml:space="preserve">, 70(11), pp. 35-36. Available at: </w:t>
      </w:r>
      <w:hyperlink r:id="rId15" w:tgtFrame="_blank" w:history="1">
        <w:r w:rsidRPr="002C1DE6">
          <w:rPr>
            <w:rStyle w:val="Hyperlink"/>
            <w:rFonts w:ascii="Arial" w:hAnsi="Arial" w:cs="Arial"/>
            <w:sz w:val="24"/>
            <w:szCs w:val="24"/>
          </w:rPr>
          <w:t>https://www.eval.fr/wp-content/uploads/2020/01/S.M.A.R.T-Way-Management-Review-eval.fr_.pdf</w:t>
        </w:r>
      </w:hyperlink>
      <w:r w:rsidRPr="002C1DE6">
        <w:rPr>
          <w:rFonts w:ascii="Arial" w:hAnsi="Arial" w:cs="Arial"/>
          <w:sz w:val="24"/>
          <w:szCs w:val="24"/>
        </w:rPr>
        <w:t xml:space="preserve"> (Accessed: 25 October 2025).</w:t>
      </w:r>
    </w:p>
    <w:p w14:paraId="1CE0D0E8"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European Tour (2011) </w:t>
      </w:r>
      <w:r w:rsidRPr="002C1DE6">
        <w:rPr>
          <w:rFonts w:ascii="Arial" w:hAnsi="Arial" w:cs="Arial"/>
          <w:i/>
          <w:iCs/>
          <w:sz w:val="24"/>
          <w:szCs w:val="24"/>
        </w:rPr>
        <w:t>The 2010 Ryder Cup - major boost to Welsh economy</w:t>
      </w:r>
      <w:r w:rsidRPr="002C1DE6">
        <w:rPr>
          <w:rFonts w:ascii="Arial" w:hAnsi="Arial" w:cs="Arial"/>
          <w:sz w:val="24"/>
          <w:szCs w:val="24"/>
        </w:rPr>
        <w:t xml:space="preserve">. Available at: </w:t>
      </w:r>
      <w:hyperlink r:id="rId16" w:tgtFrame="_blank" w:history="1">
        <w:r w:rsidRPr="002C1DE6">
          <w:rPr>
            <w:rStyle w:val="Hyperlink"/>
            <w:rFonts w:ascii="Arial" w:hAnsi="Arial" w:cs="Arial"/>
            <w:sz w:val="24"/>
            <w:szCs w:val="24"/>
          </w:rPr>
          <w:t>https://www.europeantour.com/dpworld-tour/news/articles/detail/the-2010-ryder-cup-major-boost-to-welsh-economy/</w:t>
        </w:r>
      </w:hyperlink>
      <w:r w:rsidRPr="002C1DE6">
        <w:rPr>
          <w:rFonts w:ascii="Arial" w:hAnsi="Arial" w:cs="Arial"/>
          <w:sz w:val="24"/>
          <w:szCs w:val="24"/>
        </w:rPr>
        <w:t xml:space="preserve"> (Accessed: 28 October 2025).</w:t>
      </w:r>
    </w:p>
    <w:p w14:paraId="77BB15D7"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Getz, D. and Page, S. (2019) </w:t>
      </w:r>
      <w:r w:rsidRPr="002C1DE6">
        <w:rPr>
          <w:rFonts w:ascii="Arial" w:hAnsi="Arial" w:cs="Arial"/>
          <w:i/>
          <w:iCs/>
          <w:sz w:val="24"/>
          <w:szCs w:val="24"/>
        </w:rPr>
        <w:t>Event studies: theory, research and policy for planned events</w:t>
      </w:r>
      <w:r w:rsidRPr="002C1DE6">
        <w:rPr>
          <w:rFonts w:ascii="Arial" w:hAnsi="Arial" w:cs="Arial"/>
          <w:sz w:val="24"/>
          <w:szCs w:val="24"/>
        </w:rPr>
        <w:t xml:space="preserve">. 4th </w:t>
      </w:r>
      <w:proofErr w:type="spellStart"/>
      <w:r w:rsidRPr="002C1DE6">
        <w:rPr>
          <w:rFonts w:ascii="Arial" w:hAnsi="Arial" w:cs="Arial"/>
          <w:sz w:val="24"/>
          <w:szCs w:val="24"/>
        </w:rPr>
        <w:t>edn</w:t>
      </w:r>
      <w:proofErr w:type="spellEnd"/>
      <w:r w:rsidRPr="002C1DE6">
        <w:rPr>
          <w:rFonts w:ascii="Arial" w:hAnsi="Arial" w:cs="Arial"/>
          <w:sz w:val="24"/>
          <w:szCs w:val="24"/>
        </w:rPr>
        <w:t xml:space="preserve">. Oxford: Routledge. Available at: </w:t>
      </w:r>
      <w:hyperlink r:id="rId17" w:tgtFrame="_blank" w:history="1">
        <w:r w:rsidRPr="002C1DE6">
          <w:rPr>
            <w:rStyle w:val="Hyperlink"/>
            <w:rFonts w:ascii="Arial" w:hAnsi="Arial" w:cs="Arial"/>
            <w:sz w:val="24"/>
            <w:szCs w:val="24"/>
          </w:rPr>
          <w:t>https://www.taylorfrancis.com/books/mono/10.4324/9780429023002/event-studies-stephen-page-donald-getz</w:t>
        </w:r>
      </w:hyperlink>
      <w:r w:rsidRPr="002C1DE6">
        <w:rPr>
          <w:rFonts w:ascii="Arial" w:hAnsi="Arial" w:cs="Arial"/>
          <w:sz w:val="24"/>
          <w:szCs w:val="24"/>
        </w:rPr>
        <w:t xml:space="preserve"> (Accessed: 26 October 2025).</w:t>
      </w:r>
    </w:p>
    <w:p w14:paraId="5F41D6D5"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ICC Wales (2025) </w:t>
      </w:r>
      <w:r w:rsidRPr="002C1DE6">
        <w:rPr>
          <w:rFonts w:ascii="Arial" w:hAnsi="Arial" w:cs="Arial"/>
          <w:i/>
          <w:iCs/>
          <w:sz w:val="24"/>
          <w:szCs w:val="24"/>
        </w:rPr>
        <w:t>Case Studies and Testimonials</w:t>
      </w:r>
      <w:r w:rsidRPr="002C1DE6">
        <w:rPr>
          <w:rFonts w:ascii="Arial" w:hAnsi="Arial" w:cs="Arial"/>
          <w:sz w:val="24"/>
          <w:szCs w:val="24"/>
        </w:rPr>
        <w:t xml:space="preserve">. Available at: </w:t>
      </w:r>
      <w:hyperlink r:id="rId18" w:tgtFrame="_blank" w:history="1">
        <w:r w:rsidRPr="002C1DE6">
          <w:rPr>
            <w:rStyle w:val="Hyperlink"/>
            <w:rFonts w:ascii="Arial" w:hAnsi="Arial" w:cs="Arial"/>
            <w:sz w:val="24"/>
            <w:szCs w:val="24"/>
          </w:rPr>
          <w:t>https://www.iccwales.com/organisers/case-studies</w:t>
        </w:r>
      </w:hyperlink>
      <w:r w:rsidRPr="002C1DE6">
        <w:rPr>
          <w:rFonts w:ascii="Arial" w:hAnsi="Arial" w:cs="Arial"/>
          <w:sz w:val="24"/>
          <w:szCs w:val="24"/>
        </w:rPr>
        <w:t xml:space="preserve"> (Accessed: 1 November 2025).</w:t>
      </w:r>
    </w:p>
    <w:p w14:paraId="7BDBA1C9"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IFM Sports Marketing Surveys (2011) </w:t>
      </w:r>
      <w:r w:rsidRPr="002C1DE6">
        <w:rPr>
          <w:rFonts w:ascii="Arial" w:hAnsi="Arial" w:cs="Arial"/>
          <w:i/>
          <w:iCs/>
          <w:sz w:val="24"/>
          <w:szCs w:val="24"/>
        </w:rPr>
        <w:t>Ryder Cup 2010: Economic Impact Study</w:t>
      </w:r>
      <w:r w:rsidRPr="002C1DE6">
        <w:rPr>
          <w:rFonts w:ascii="Arial" w:hAnsi="Arial" w:cs="Arial"/>
          <w:sz w:val="24"/>
          <w:szCs w:val="24"/>
        </w:rPr>
        <w:t>. (Cited in Welsh Government and European Tour reports).</w:t>
      </w:r>
    </w:p>
    <w:p w14:paraId="33DA984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lastRenderedPageBreak/>
        <w:t xml:space="preserve">Johnson, G., Whittington, R., Scholes, K., Angwin, D. and </w:t>
      </w:r>
      <w:proofErr w:type="spellStart"/>
      <w:r w:rsidRPr="002C1DE6">
        <w:rPr>
          <w:rFonts w:ascii="Arial" w:hAnsi="Arial" w:cs="Arial"/>
          <w:sz w:val="24"/>
          <w:szCs w:val="24"/>
        </w:rPr>
        <w:t>Regnér</w:t>
      </w:r>
      <w:proofErr w:type="spellEnd"/>
      <w:r w:rsidRPr="002C1DE6">
        <w:rPr>
          <w:rFonts w:ascii="Arial" w:hAnsi="Arial" w:cs="Arial"/>
          <w:sz w:val="24"/>
          <w:szCs w:val="24"/>
        </w:rPr>
        <w:t xml:space="preserve">, P. (2017) </w:t>
      </w:r>
      <w:r w:rsidRPr="002C1DE6">
        <w:rPr>
          <w:rFonts w:ascii="Arial" w:hAnsi="Arial" w:cs="Arial"/>
          <w:i/>
          <w:iCs/>
          <w:sz w:val="24"/>
          <w:szCs w:val="24"/>
        </w:rPr>
        <w:t>Exploring strategy: Text and cases</w:t>
      </w:r>
      <w:r w:rsidRPr="002C1DE6">
        <w:rPr>
          <w:rFonts w:ascii="Arial" w:hAnsi="Arial" w:cs="Arial"/>
          <w:sz w:val="24"/>
          <w:szCs w:val="24"/>
        </w:rPr>
        <w:t xml:space="preserve">. 11th </w:t>
      </w:r>
      <w:proofErr w:type="spellStart"/>
      <w:r w:rsidRPr="002C1DE6">
        <w:rPr>
          <w:rFonts w:ascii="Arial" w:hAnsi="Arial" w:cs="Arial"/>
          <w:sz w:val="24"/>
          <w:szCs w:val="24"/>
        </w:rPr>
        <w:t>edn</w:t>
      </w:r>
      <w:proofErr w:type="spellEnd"/>
      <w:r w:rsidRPr="002C1DE6">
        <w:rPr>
          <w:rFonts w:ascii="Arial" w:hAnsi="Arial" w:cs="Arial"/>
          <w:sz w:val="24"/>
          <w:szCs w:val="24"/>
        </w:rPr>
        <w:t xml:space="preserve">. Harlow: Pearson Education. Available at: </w:t>
      </w:r>
      <w:hyperlink r:id="rId19" w:tgtFrame="_blank" w:history="1">
        <w:r w:rsidRPr="002C1DE6">
          <w:rPr>
            <w:rStyle w:val="Hyperlink"/>
            <w:rFonts w:ascii="Arial" w:hAnsi="Arial" w:cs="Arial"/>
            <w:sz w:val="24"/>
            <w:szCs w:val="24"/>
          </w:rPr>
          <w:t>https://www.academia.edu/44504531/EXPLORING_STRATEGY_ELEVENTH_EDITION</w:t>
        </w:r>
      </w:hyperlink>
      <w:r w:rsidRPr="002C1DE6">
        <w:rPr>
          <w:rFonts w:ascii="Arial" w:hAnsi="Arial" w:cs="Arial"/>
          <w:sz w:val="24"/>
          <w:szCs w:val="24"/>
        </w:rPr>
        <w:t xml:space="preserve"> (Accessed: 31 October 2025).</w:t>
      </w:r>
    </w:p>
    <w:p w14:paraId="640FAF62"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Jones, A. (2023) ‘Cultural considerations in international event marketing: The "</w:t>
      </w:r>
      <w:proofErr w:type="spellStart"/>
      <w:r w:rsidRPr="002C1DE6">
        <w:rPr>
          <w:rFonts w:ascii="Arial" w:hAnsi="Arial" w:cs="Arial"/>
          <w:sz w:val="24"/>
          <w:szCs w:val="24"/>
        </w:rPr>
        <w:t>Croeso</w:t>
      </w:r>
      <w:proofErr w:type="spellEnd"/>
      <w:r w:rsidRPr="002C1DE6">
        <w:rPr>
          <w:rFonts w:ascii="Arial" w:hAnsi="Arial" w:cs="Arial"/>
          <w:sz w:val="24"/>
          <w:szCs w:val="24"/>
        </w:rPr>
        <w:t xml:space="preserve">" concept’, </w:t>
      </w:r>
      <w:r w:rsidRPr="002C1DE6">
        <w:rPr>
          <w:rFonts w:ascii="Arial" w:hAnsi="Arial" w:cs="Arial"/>
          <w:i/>
          <w:iCs/>
          <w:sz w:val="24"/>
          <w:szCs w:val="24"/>
        </w:rPr>
        <w:t>Journal of Policy Research in Tourism, Leisure and Events</w:t>
      </w:r>
      <w:r w:rsidRPr="002C1DE6">
        <w:rPr>
          <w:rFonts w:ascii="Arial" w:hAnsi="Arial" w:cs="Arial"/>
          <w:sz w:val="24"/>
          <w:szCs w:val="24"/>
        </w:rPr>
        <w:t xml:space="preserve">, 15(2), pp. 144-159. Available at: </w:t>
      </w:r>
      <w:hyperlink r:id="rId20" w:tgtFrame="_blank" w:history="1">
        <w:r w:rsidRPr="002C1DE6">
          <w:rPr>
            <w:rStyle w:val="Hyperlink"/>
            <w:rFonts w:ascii="Arial" w:hAnsi="Arial" w:cs="Arial"/>
            <w:sz w:val="24"/>
            <w:szCs w:val="24"/>
          </w:rPr>
          <w:t>https://www.tandfonline.com/toc/rprt20/15/4?nav=tocList</w:t>
        </w:r>
      </w:hyperlink>
      <w:r w:rsidRPr="002C1DE6">
        <w:rPr>
          <w:rFonts w:ascii="Arial" w:hAnsi="Arial" w:cs="Arial"/>
          <w:sz w:val="24"/>
          <w:szCs w:val="24"/>
        </w:rPr>
        <w:t xml:space="preserve"> (Accessed: 31 October 2025).</w:t>
      </w:r>
    </w:p>
    <w:p w14:paraId="48C81E2A"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Knight Frank (2025) </w:t>
      </w:r>
      <w:r w:rsidRPr="002C1DE6">
        <w:rPr>
          <w:rFonts w:ascii="Arial" w:hAnsi="Arial" w:cs="Arial"/>
          <w:i/>
          <w:iCs/>
          <w:sz w:val="24"/>
          <w:szCs w:val="24"/>
        </w:rPr>
        <w:t>UK Hotel Trading Performance Review and outlook for 2025</w:t>
      </w:r>
      <w:r w:rsidRPr="002C1DE6">
        <w:rPr>
          <w:rFonts w:ascii="Arial" w:hAnsi="Arial" w:cs="Arial"/>
          <w:sz w:val="24"/>
          <w:szCs w:val="24"/>
        </w:rPr>
        <w:t xml:space="preserve">. Available at: </w:t>
      </w:r>
      <w:hyperlink r:id="rId21" w:tgtFrame="_blank" w:history="1">
        <w:r w:rsidRPr="002C1DE6">
          <w:rPr>
            <w:rStyle w:val="Hyperlink"/>
            <w:rFonts w:ascii="Arial" w:hAnsi="Arial" w:cs="Arial"/>
            <w:sz w:val="24"/>
            <w:szCs w:val="24"/>
          </w:rPr>
          <w:t>https://www.knightfrank.com/research/article/2025-03-03-uk-hotel-trading-performance-review-and-outlook-for-2025</w:t>
        </w:r>
      </w:hyperlink>
      <w:r w:rsidRPr="002C1DE6">
        <w:rPr>
          <w:rFonts w:ascii="Arial" w:hAnsi="Arial" w:cs="Arial"/>
          <w:sz w:val="24"/>
          <w:szCs w:val="24"/>
        </w:rPr>
        <w:t xml:space="preserve"> (Accessed: 29 October 2025).</w:t>
      </w:r>
    </w:p>
    <w:p w14:paraId="403A09C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Masterman, G. (2014) </w:t>
      </w:r>
      <w:r w:rsidRPr="002C1DE6">
        <w:rPr>
          <w:rFonts w:ascii="Arial" w:hAnsi="Arial" w:cs="Arial"/>
          <w:i/>
          <w:iCs/>
          <w:sz w:val="24"/>
          <w:szCs w:val="24"/>
        </w:rPr>
        <w:t>Strategic sports event management</w:t>
      </w:r>
      <w:r w:rsidRPr="002C1DE6">
        <w:rPr>
          <w:rFonts w:ascii="Arial" w:hAnsi="Arial" w:cs="Arial"/>
          <w:sz w:val="24"/>
          <w:szCs w:val="24"/>
        </w:rPr>
        <w:t xml:space="preserve">. 3rd </w:t>
      </w:r>
      <w:proofErr w:type="spellStart"/>
      <w:r w:rsidRPr="002C1DE6">
        <w:rPr>
          <w:rFonts w:ascii="Arial" w:hAnsi="Arial" w:cs="Arial"/>
          <w:sz w:val="24"/>
          <w:szCs w:val="24"/>
        </w:rPr>
        <w:t>edn</w:t>
      </w:r>
      <w:proofErr w:type="spellEnd"/>
      <w:r w:rsidRPr="002C1DE6">
        <w:rPr>
          <w:rFonts w:ascii="Arial" w:hAnsi="Arial" w:cs="Arial"/>
          <w:sz w:val="24"/>
          <w:szCs w:val="24"/>
        </w:rPr>
        <w:t xml:space="preserve">. Abingdon: Routledge. Available at </w:t>
      </w:r>
      <w:hyperlink r:id="rId22" w:tgtFrame="_blank" w:history="1">
        <w:r w:rsidRPr="002C1DE6">
          <w:rPr>
            <w:rStyle w:val="Hyperlink"/>
            <w:rFonts w:ascii="Arial" w:hAnsi="Arial" w:cs="Arial"/>
            <w:sz w:val="24"/>
            <w:szCs w:val="24"/>
          </w:rPr>
          <w:t>https://doi.org/10.4324/9780080481159</w:t>
        </w:r>
      </w:hyperlink>
      <w:r w:rsidRPr="002C1DE6">
        <w:rPr>
          <w:rFonts w:ascii="Arial" w:hAnsi="Arial" w:cs="Arial"/>
          <w:sz w:val="24"/>
          <w:szCs w:val="24"/>
        </w:rPr>
        <w:t xml:space="preserve"> (Accessed: 27 October 2025).</w:t>
      </w:r>
    </w:p>
    <w:p w14:paraId="0D94D216"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Matthews, D. (2023) </w:t>
      </w:r>
      <w:r w:rsidRPr="002C1DE6">
        <w:rPr>
          <w:rFonts w:ascii="Arial" w:hAnsi="Arial" w:cs="Arial"/>
          <w:i/>
          <w:iCs/>
          <w:sz w:val="24"/>
          <w:szCs w:val="24"/>
        </w:rPr>
        <w:t>Event fundraising and sponsorship: A practical guide</w:t>
      </w:r>
      <w:r w:rsidRPr="002C1DE6">
        <w:rPr>
          <w:rFonts w:ascii="Arial" w:hAnsi="Arial" w:cs="Arial"/>
          <w:sz w:val="24"/>
          <w:szCs w:val="24"/>
        </w:rPr>
        <w:t xml:space="preserve">. London: Kogan Page. Available at: </w:t>
      </w:r>
      <w:hyperlink r:id="rId23" w:tgtFrame="_blank" w:history="1">
        <w:r w:rsidRPr="002C1DE6">
          <w:rPr>
            <w:rStyle w:val="Hyperlink"/>
            <w:rFonts w:ascii="Arial" w:hAnsi="Arial" w:cs="Arial"/>
            <w:sz w:val="24"/>
            <w:szCs w:val="24"/>
          </w:rPr>
          <w:t>https://www.koganpage.com/marketing-communications/event-sponsorship-and-fundraising-9780749480929</w:t>
        </w:r>
      </w:hyperlink>
      <w:r w:rsidRPr="002C1DE6">
        <w:rPr>
          <w:rFonts w:ascii="Arial" w:hAnsi="Arial" w:cs="Arial"/>
          <w:sz w:val="24"/>
          <w:szCs w:val="24"/>
        </w:rPr>
        <w:t xml:space="preserve"> (Accessed: 30 October 2025).</w:t>
      </w:r>
    </w:p>
    <w:p w14:paraId="214C4679"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Meredith, J., Shafer, S. and Mantel Jr., S. (2022) </w:t>
      </w:r>
      <w:r w:rsidRPr="002C1DE6">
        <w:rPr>
          <w:rFonts w:ascii="Arial" w:hAnsi="Arial" w:cs="Arial"/>
          <w:i/>
          <w:iCs/>
          <w:sz w:val="24"/>
          <w:szCs w:val="24"/>
        </w:rPr>
        <w:t>Project management: a managerial approach</w:t>
      </w:r>
      <w:r w:rsidRPr="002C1DE6">
        <w:rPr>
          <w:rFonts w:ascii="Arial" w:hAnsi="Arial" w:cs="Arial"/>
          <w:sz w:val="24"/>
          <w:szCs w:val="24"/>
        </w:rPr>
        <w:t xml:space="preserve">. 11th </w:t>
      </w:r>
      <w:proofErr w:type="spellStart"/>
      <w:r w:rsidRPr="002C1DE6">
        <w:rPr>
          <w:rFonts w:ascii="Arial" w:hAnsi="Arial" w:cs="Arial"/>
          <w:sz w:val="24"/>
          <w:szCs w:val="24"/>
        </w:rPr>
        <w:t>edn</w:t>
      </w:r>
      <w:proofErr w:type="spellEnd"/>
      <w:r w:rsidRPr="002C1DE6">
        <w:rPr>
          <w:rFonts w:ascii="Arial" w:hAnsi="Arial" w:cs="Arial"/>
          <w:sz w:val="24"/>
          <w:szCs w:val="24"/>
        </w:rPr>
        <w:t xml:space="preserve">. Hoboken, NJ: Wiley. Available at: </w:t>
      </w:r>
      <w:hyperlink r:id="rId24" w:tgtFrame="_blank" w:history="1">
        <w:r w:rsidRPr="002C1DE6">
          <w:rPr>
            <w:rStyle w:val="Hyperlink"/>
            <w:rFonts w:ascii="Arial" w:hAnsi="Arial" w:cs="Arial"/>
            <w:sz w:val="24"/>
            <w:szCs w:val="24"/>
          </w:rPr>
          <w:t>https://books.google.co.uk/books/about/Project_Management.html?id=RFVBEAAAQBAJ&amp;redir_esc=y</w:t>
        </w:r>
      </w:hyperlink>
      <w:r w:rsidRPr="002C1DE6">
        <w:rPr>
          <w:rFonts w:ascii="Arial" w:hAnsi="Arial" w:cs="Arial"/>
          <w:sz w:val="24"/>
          <w:szCs w:val="24"/>
        </w:rPr>
        <w:t xml:space="preserve"> (Accessed: 25 October 2025).</w:t>
      </w:r>
    </w:p>
    <w:p w14:paraId="06385771"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O'Toole, W. (2011) </w:t>
      </w:r>
      <w:r w:rsidRPr="002C1DE6">
        <w:rPr>
          <w:rFonts w:ascii="Arial" w:hAnsi="Arial" w:cs="Arial"/>
          <w:i/>
          <w:iCs/>
          <w:sz w:val="24"/>
          <w:szCs w:val="24"/>
        </w:rPr>
        <w:t>Events feasibility and development: from strategy to operations</w:t>
      </w:r>
      <w:r w:rsidRPr="002C1DE6">
        <w:rPr>
          <w:rFonts w:ascii="Arial" w:hAnsi="Arial" w:cs="Arial"/>
          <w:sz w:val="24"/>
          <w:szCs w:val="24"/>
        </w:rPr>
        <w:t xml:space="preserve">. Oxford: Elsevier. Available at: </w:t>
      </w:r>
      <w:hyperlink r:id="rId25" w:tgtFrame="_blank" w:history="1">
        <w:r w:rsidRPr="002C1DE6">
          <w:rPr>
            <w:rStyle w:val="Hyperlink"/>
            <w:rFonts w:ascii="Arial" w:hAnsi="Arial" w:cs="Arial"/>
            <w:sz w:val="24"/>
            <w:szCs w:val="24"/>
          </w:rPr>
          <w:t>https://www.scribd.com/document/928232208/Ebook-Events-feasibility-and-development-from-strategy-to-operations-by-William-O-Toole-ISBN-9781000478211-9781000478228-9781003172703-10004782</w:t>
        </w:r>
      </w:hyperlink>
      <w:r w:rsidRPr="002C1DE6">
        <w:rPr>
          <w:rFonts w:ascii="Arial" w:hAnsi="Arial" w:cs="Arial"/>
          <w:sz w:val="24"/>
          <w:szCs w:val="24"/>
        </w:rPr>
        <w:t xml:space="preserve"> (Accessed: 27 October 2025).</w:t>
      </w:r>
    </w:p>
    <w:p w14:paraId="3A7F4877"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lastRenderedPageBreak/>
        <w:t xml:space="preserve">Preuss, H. (2007) ‘The </w:t>
      </w:r>
      <w:proofErr w:type="spellStart"/>
      <w:r w:rsidRPr="002C1DE6">
        <w:rPr>
          <w:rFonts w:ascii="Arial" w:hAnsi="Arial" w:cs="Arial"/>
          <w:sz w:val="24"/>
          <w:szCs w:val="24"/>
        </w:rPr>
        <w:t>conceptualisation</w:t>
      </w:r>
      <w:proofErr w:type="spellEnd"/>
      <w:r w:rsidRPr="002C1DE6">
        <w:rPr>
          <w:rFonts w:ascii="Arial" w:hAnsi="Arial" w:cs="Arial"/>
          <w:sz w:val="24"/>
          <w:szCs w:val="24"/>
        </w:rPr>
        <w:t xml:space="preserve"> and measurement of mega sport event legacies’, </w:t>
      </w:r>
      <w:r w:rsidRPr="002C1DE6">
        <w:rPr>
          <w:rFonts w:ascii="Arial" w:hAnsi="Arial" w:cs="Arial"/>
          <w:i/>
          <w:iCs/>
          <w:sz w:val="24"/>
          <w:szCs w:val="24"/>
        </w:rPr>
        <w:t>Journal of Sport &amp; Tourism</w:t>
      </w:r>
      <w:r w:rsidRPr="002C1DE6">
        <w:rPr>
          <w:rFonts w:ascii="Arial" w:hAnsi="Arial" w:cs="Arial"/>
          <w:sz w:val="24"/>
          <w:szCs w:val="24"/>
        </w:rPr>
        <w:t xml:space="preserve">, 12(3-4), pp. 207-228. Available at: </w:t>
      </w:r>
      <w:hyperlink r:id="rId26" w:tgtFrame="_blank" w:history="1">
        <w:r w:rsidRPr="002C1DE6">
          <w:rPr>
            <w:rStyle w:val="Hyperlink"/>
            <w:rFonts w:ascii="Arial" w:hAnsi="Arial" w:cs="Arial"/>
            <w:sz w:val="24"/>
            <w:szCs w:val="24"/>
          </w:rPr>
          <w:t>https://www.researchgate.net/publication/240535313_The_Conceptualisation_of_Measurement_of_Mega_Sport_Event_Legacies</w:t>
        </w:r>
      </w:hyperlink>
      <w:r w:rsidRPr="002C1DE6">
        <w:rPr>
          <w:rFonts w:ascii="Arial" w:hAnsi="Arial" w:cs="Arial"/>
          <w:sz w:val="24"/>
          <w:szCs w:val="24"/>
        </w:rPr>
        <w:t xml:space="preserve"> (Accessed: 28 October 2025).</w:t>
      </w:r>
    </w:p>
    <w:p w14:paraId="400BE2D5"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PwC (2024) </w:t>
      </w:r>
      <w:r w:rsidRPr="002C1DE6">
        <w:rPr>
          <w:rFonts w:ascii="Arial" w:hAnsi="Arial" w:cs="Arial"/>
          <w:i/>
          <w:iCs/>
          <w:sz w:val="24"/>
          <w:szCs w:val="24"/>
        </w:rPr>
        <w:t>Hotels Forecast 2024 - 2025: Upbeat outlook, but downside risks remain</w:t>
      </w:r>
      <w:r w:rsidRPr="002C1DE6">
        <w:rPr>
          <w:rFonts w:ascii="Arial" w:hAnsi="Arial" w:cs="Arial"/>
          <w:sz w:val="24"/>
          <w:szCs w:val="24"/>
        </w:rPr>
        <w:t xml:space="preserve">. Available at: </w:t>
      </w:r>
      <w:hyperlink r:id="rId27" w:tgtFrame="_blank" w:history="1">
        <w:r w:rsidRPr="002C1DE6">
          <w:rPr>
            <w:rStyle w:val="Hyperlink"/>
            <w:rFonts w:ascii="Arial" w:hAnsi="Arial" w:cs="Arial"/>
            <w:sz w:val="24"/>
            <w:szCs w:val="24"/>
          </w:rPr>
          <w:t>https://www.pwc.co.uk/industries/hospitality-leisure/insights/uk-hotels-forecast.html</w:t>
        </w:r>
      </w:hyperlink>
      <w:r w:rsidRPr="002C1DE6">
        <w:rPr>
          <w:rFonts w:ascii="Arial" w:hAnsi="Arial" w:cs="Arial"/>
          <w:sz w:val="24"/>
          <w:szCs w:val="24"/>
        </w:rPr>
        <w:t xml:space="preserve"> (Accessed: 29 October 2025).</w:t>
      </w:r>
    </w:p>
    <w:p w14:paraId="2309EAE9"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Rogers, T. and Wynn-Moylan, P. (2022) </w:t>
      </w:r>
      <w:r w:rsidRPr="002C1DE6">
        <w:rPr>
          <w:rFonts w:ascii="Arial" w:hAnsi="Arial" w:cs="Arial"/>
          <w:i/>
          <w:iCs/>
          <w:sz w:val="24"/>
          <w:szCs w:val="24"/>
        </w:rPr>
        <w:t>Conferences and conventions: a global industry</w:t>
      </w:r>
      <w:r w:rsidRPr="002C1DE6">
        <w:rPr>
          <w:rFonts w:ascii="Arial" w:hAnsi="Arial" w:cs="Arial"/>
          <w:sz w:val="24"/>
          <w:szCs w:val="24"/>
        </w:rPr>
        <w:t xml:space="preserve">. 4th </w:t>
      </w:r>
      <w:proofErr w:type="spellStart"/>
      <w:r w:rsidRPr="002C1DE6">
        <w:rPr>
          <w:rFonts w:ascii="Arial" w:hAnsi="Arial" w:cs="Arial"/>
          <w:sz w:val="24"/>
          <w:szCs w:val="24"/>
        </w:rPr>
        <w:t>edn</w:t>
      </w:r>
      <w:proofErr w:type="spellEnd"/>
      <w:r w:rsidRPr="002C1DE6">
        <w:rPr>
          <w:rFonts w:ascii="Arial" w:hAnsi="Arial" w:cs="Arial"/>
          <w:sz w:val="24"/>
          <w:szCs w:val="24"/>
        </w:rPr>
        <w:t xml:space="preserve">. Oxford: Routledge. Available at: </w:t>
      </w:r>
      <w:hyperlink r:id="rId28" w:tgtFrame="_blank" w:history="1">
        <w:r w:rsidRPr="002C1DE6">
          <w:rPr>
            <w:rStyle w:val="Hyperlink"/>
            <w:rFonts w:ascii="Arial" w:hAnsi="Arial" w:cs="Arial"/>
            <w:sz w:val="24"/>
            <w:szCs w:val="24"/>
          </w:rPr>
          <w:t>https://www.routledge.com/Conferences-and-Conventions-A-Global-Industry/Rogers-Wynn-Moylan/p/book/9781032288802</w:t>
        </w:r>
      </w:hyperlink>
      <w:r w:rsidRPr="002C1DE6">
        <w:rPr>
          <w:rFonts w:ascii="Arial" w:hAnsi="Arial" w:cs="Arial"/>
          <w:sz w:val="24"/>
          <w:szCs w:val="24"/>
        </w:rPr>
        <w:t xml:space="preserve"> (Accessed: 26 October 2025).</w:t>
      </w:r>
    </w:p>
    <w:p w14:paraId="4E85A4D7"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Shone, A. and Parry, B. (2019) </w:t>
      </w:r>
      <w:r w:rsidRPr="002C1DE6">
        <w:rPr>
          <w:rFonts w:ascii="Arial" w:hAnsi="Arial" w:cs="Arial"/>
          <w:i/>
          <w:iCs/>
          <w:sz w:val="24"/>
          <w:szCs w:val="24"/>
        </w:rPr>
        <w:t>Successful event management: a practical handbook</w:t>
      </w:r>
      <w:r w:rsidRPr="002C1DE6">
        <w:rPr>
          <w:rFonts w:ascii="Arial" w:hAnsi="Arial" w:cs="Arial"/>
          <w:sz w:val="24"/>
          <w:szCs w:val="24"/>
        </w:rPr>
        <w:t xml:space="preserve">. 5th </w:t>
      </w:r>
      <w:proofErr w:type="spellStart"/>
      <w:r w:rsidRPr="002C1DE6">
        <w:rPr>
          <w:rFonts w:ascii="Arial" w:hAnsi="Arial" w:cs="Arial"/>
          <w:sz w:val="24"/>
          <w:szCs w:val="24"/>
        </w:rPr>
        <w:t>edn</w:t>
      </w:r>
      <w:proofErr w:type="spellEnd"/>
      <w:r w:rsidRPr="002C1DE6">
        <w:rPr>
          <w:rFonts w:ascii="Arial" w:hAnsi="Arial" w:cs="Arial"/>
          <w:sz w:val="24"/>
          <w:szCs w:val="24"/>
        </w:rPr>
        <w:t xml:space="preserve">. Andover: Goodfellow Publishers. Available at: </w:t>
      </w:r>
      <w:hyperlink r:id="rId29" w:tgtFrame="_blank" w:history="1">
        <w:r w:rsidRPr="002C1DE6">
          <w:rPr>
            <w:rStyle w:val="Hyperlink"/>
            <w:rFonts w:ascii="Arial" w:hAnsi="Arial" w:cs="Arial"/>
            <w:sz w:val="24"/>
            <w:szCs w:val="24"/>
          </w:rPr>
          <w:t>https://library.atu.edu.kz/files/125866.pdf</w:t>
        </w:r>
      </w:hyperlink>
      <w:r w:rsidRPr="002C1DE6">
        <w:rPr>
          <w:rFonts w:ascii="Arial" w:hAnsi="Arial" w:cs="Arial"/>
          <w:sz w:val="24"/>
          <w:szCs w:val="24"/>
        </w:rPr>
        <w:t xml:space="preserve"> (Accessed: 27 October 2025).</w:t>
      </w:r>
    </w:p>
    <w:p w14:paraId="7811AEC8"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Smith, P. and Zook, Z. (2019) </w:t>
      </w:r>
      <w:r w:rsidRPr="002C1DE6">
        <w:rPr>
          <w:rFonts w:ascii="Arial" w:hAnsi="Arial" w:cs="Arial"/>
          <w:i/>
          <w:iCs/>
          <w:sz w:val="24"/>
          <w:szCs w:val="24"/>
        </w:rPr>
        <w:t>Marketing communications: Integrating offline and online</w:t>
      </w:r>
      <w:r w:rsidRPr="002C1DE6">
        <w:rPr>
          <w:rFonts w:ascii="Arial" w:hAnsi="Arial" w:cs="Arial"/>
          <w:sz w:val="24"/>
          <w:szCs w:val="24"/>
        </w:rPr>
        <w:t xml:space="preserve">. 7th </w:t>
      </w:r>
      <w:proofErr w:type="spellStart"/>
      <w:r w:rsidRPr="002C1DE6">
        <w:rPr>
          <w:rFonts w:ascii="Arial" w:hAnsi="Arial" w:cs="Arial"/>
          <w:sz w:val="24"/>
          <w:szCs w:val="24"/>
        </w:rPr>
        <w:t>edn</w:t>
      </w:r>
      <w:proofErr w:type="spellEnd"/>
      <w:r w:rsidRPr="002C1DE6">
        <w:rPr>
          <w:rFonts w:ascii="Arial" w:hAnsi="Arial" w:cs="Arial"/>
          <w:sz w:val="24"/>
          <w:szCs w:val="24"/>
        </w:rPr>
        <w:t xml:space="preserve">. London: Kogan Page. Available at: </w:t>
      </w:r>
      <w:hyperlink r:id="rId30" w:tgtFrame="_blank" w:history="1">
        <w:r w:rsidRPr="002C1DE6">
          <w:rPr>
            <w:rStyle w:val="Hyperlink"/>
            <w:rFonts w:ascii="Arial" w:hAnsi="Arial" w:cs="Arial"/>
            <w:sz w:val="24"/>
            <w:szCs w:val="24"/>
          </w:rPr>
          <w:t>https://www.koganpage.com/product/marketing-communications-9780749483863</w:t>
        </w:r>
      </w:hyperlink>
      <w:r w:rsidRPr="002C1DE6">
        <w:rPr>
          <w:rFonts w:ascii="Arial" w:hAnsi="Arial" w:cs="Arial"/>
          <w:sz w:val="24"/>
          <w:szCs w:val="24"/>
        </w:rPr>
        <w:t xml:space="preserve"> (Accessed: 30 October 2025).</w:t>
      </w:r>
    </w:p>
    <w:p w14:paraId="596B3753"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Visit Britain (2024) </w:t>
      </w:r>
      <w:r w:rsidRPr="002C1DE6">
        <w:rPr>
          <w:rFonts w:ascii="Arial" w:hAnsi="Arial" w:cs="Arial"/>
          <w:i/>
          <w:iCs/>
          <w:sz w:val="24"/>
          <w:szCs w:val="24"/>
        </w:rPr>
        <w:t>Insights &amp; Resources: Business Events</w:t>
      </w:r>
      <w:r w:rsidRPr="002C1DE6">
        <w:rPr>
          <w:rFonts w:ascii="Arial" w:hAnsi="Arial" w:cs="Arial"/>
          <w:sz w:val="24"/>
          <w:szCs w:val="24"/>
        </w:rPr>
        <w:t xml:space="preserve">. Available at: </w:t>
      </w:r>
      <w:hyperlink r:id="rId31" w:tgtFrame="_blank" w:history="1">
        <w:r w:rsidRPr="002C1DE6">
          <w:rPr>
            <w:rStyle w:val="Hyperlink"/>
            <w:rFonts w:ascii="Arial" w:hAnsi="Arial" w:cs="Arial"/>
            <w:sz w:val="24"/>
            <w:szCs w:val="24"/>
          </w:rPr>
          <w:t>https://www.visitbritain.org/media/3805/download?attachment</w:t>
        </w:r>
      </w:hyperlink>
      <w:r w:rsidRPr="002C1DE6">
        <w:rPr>
          <w:rFonts w:ascii="Arial" w:hAnsi="Arial" w:cs="Arial"/>
          <w:sz w:val="24"/>
          <w:szCs w:val="24"/>
        </w:rPr>
        <w:t xml:space="preserve"> (Accessed: 1 November 2025).</w:t>
      </w:r>
    </w:p>
    <w:p w14:paraId="013650FC"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Visit Wales (2024) </w:t>
      </w:r>
      <w:r w:rsidRPr="002C1DE6">
        <w:rPr>
          <w:rFonts w:ascii="Arial" w:hAnsi="Arial" w:cs="Arial"/>
          <w:i/>
          <w:iCs/>
          <w:sz w:val="24"/>
          <w:szCs w:val="24"/>
        </w:rPr>
        <w:t xml:space="preserve">Year of </w:t>
      </w:r>
      <w:proofErr w:type="spellStart"/>
      <w:r w:rsidRPr="002C1DE6">
        <w:rPr>
          <w:rFonts w:ascii="Arial" w:hAnsi="Arial" w:cs="Arial"/>
          <w:i/>
          <w:iCs/>
          <w:sz w:val="24"/>
          <w:szCs w:val="24"/>
        </w:rPr>
        <w:t>Croeso</w:t>
      </w:r>
      <w:proofErr w:type="spellEnd"/>
      <w:r w:rsidRPr="002C1DE6">
        <w:rPr>
          <w:rFonts w:ascii="Arial" w:hAnsi="Arial" w:cs="Arial"/>
          <w:i/>
          <w:iCs/>
          <w:sz w:val="24"/>
          <w:szCs w:val="24"/>
        </w:rPr>
        <w:t xml:space="preserve"> 2025: Travel Trade</w:t>
      </w:r>
      <w:r w:rsidRPr="002C1DE6">
        <w:rPr>
          <w:rFonts w:ascii="Arial" w:hAnsi="Arial" w:cs="Arial"/>
          <w:sz w:val="24"/>
          <w:szCs w:val="24"/>
        </w:rPr>
        <w:t xml:space="preserve">. Available at: </w:t>
      </w:r>
      <w:hyperlink r:id="rId32" w:tgtFrame="_blank" w:history="1">
        <w:r w:rsidRPr="002C1DE6">
          <w:rPr>
            <w:rStyle w:val="Hyperlink"/>
            <w:rFonts w:ascii="Arial" w:hAnsi="Arial" w:cs="Arial"/>
            <w:sz w:val="24"/>
            <w:szCs w:val="24"/>
          </w:rPr>
          <w:t>https://traveltrade.visitwales.com/useful-information/toolkit/year-of-croeso</w:t>
        </w:r>
      </w:hyperlink>
      <w:r w:rsidRPr="002C1DE6">
        <w:rPr>
          <w:rFonts w:ascii="Arial" w:hAnsi="Arial" w:cs="Arial"/>
          <w:sz w:val="24"/>
          <w:szCs w:val="24"/>
        </w:rPr>
        <w:t xml:space="preserve"> (Accessed: 1 November 2025).</w:t>
      </w:r>
    </w:p>
    <w:p w14:paraId="1BCD8141"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t xml:space="preserve">Welsh Government (2014) </w:t>
      </w:r>
      <w:r w:rsidRPr="002C1DE6">
        <w:rPr>
          <w:rFonts w:ascii="Arial" w:hAnsi="Arial" w:cs="Arial"/>
          <w:i/>
          <w:iCs/>
          <w:sz w:val="24"/>
          <w:szCs w:val="24"/>
        </w:rPr>
        <w:t>Written statement: NATO Summit Wales 2014</w:t>
      </w:r>
      <w:r w:rsidRPr="002C1DE6">
        <w:rPr>
          <w:rFonts w:ascii="Arial" w:hAnsi="Arial" w:cs="Arial"/>
          <w:sz w:val="24"/>
          <w:szCs w:val="24"/>
        </w:rPr>
        <w:t xml:space="preserve">. Available at: </w:t>
      </w:r>
      <w:hyperlink r:id="rId33" w:tgtFrame="_blank" w:history="1">
        <w:r w:rsidRPr="002C1DE6">
          <w:rPr>
            <w:rStyle w:val="Hyperlink"/>
            <w:rFonts w:ascii="Arial" w:hAnsi="Arial" w:cs="Arial"/>
            <w:sz w:val="24"/>
            <w:szCs w:val="24"/>
          </w:rPr>
          <w:t>https://www.gov.wales/written-statement-nato</w:t>
        </w:r>
      </w:hyperlink>
      <w:r w:rsidRPr="002C1DE6">
        <w:rPr>
          <w:rFonts w:ascii="Arial" w:hAnsi="Arial" w:cs="Arial"/>
          <w:sz w:val="24"/>
          <w:szCs w:val="24"/>
        </w:rPr>
        <w:t xml:space="preserve"> (Accessed: 28 October 2025).</w:t>
      </w:r>
    </w:p>
    <w:p w14:paraId="35E46CD0" w14:textId="77777777" w:rsidR="0042485A" w:rsidRPr="002C1DE6" w:rsidRDefault="0042485A" w:rsidP="002C1DE6">
      <w:pPr>
        <w:spacing w:line="360" w:lineRule="auto"/>
        <w:jc w:val="both"/>
        <w:rPr>
          <w:rFonts w:ascii="Arial" w:hAnsi="Arial" w:cs="Arial"/>
          <w:sz w:val="24"/>
          <w:szCs w:val="24"/>
        </w:rPr>
      </w:pPr>
      <w:r w:rsidRPr="002C1DE6">
        <w:rPr>
          <w:rFonts w:ascii="Arial" w:hAnsi="Arial" w:cs="Arial"/>
          <w:sz w:val="24"/>
          <w:szCs w:val="24"/>
        </w:rPr>
        <w:lastRenderedPageBreak/>
        <w:t xml:space="preserve">Welsh Government (2022) </w:t>
      </w:r>
      <w:r w:rsidRPr="002C1DE6">
        <w:rPr>
          <w:rFonts w:ascii="Arial" w:hAnsi="Arial" w:cs="Arial"/>
          <w:i/>
          <w:iCs/>
          <w:sz w:val="24"/>
          <w:szCs w:val="24"/>
        </w:rPr>
        <w:t>The National Events Strategy for Wales 2022-2030</w:t>
      </w:r>
      <w:r w:rsidRPr="002C1DE6">
        <w:rPr>
          <w:rFonts w:ascii="Arial" w:hAnsi="Arial" w:cs="Arial"/>
          <w:sz w:val="24"/>
          <w:szCs w:val="24"/>
        </w:rPr>
        <w:t xml:space="preserve">. Available at: </w:t>
      </w:r>
      <w:hyperlink r:id="rId34" w:tgtFrame="_blank" w:history="1">
        <w:r w:rsidRPr="002C1DE6">
          <w:rPr>
            <w:rStyle w:val="Hyperlink"/>
            <w:rFonts w:ascii="Arial" w:hAnsi="Arial" w:cs="Arial"/>
            <w:sz w:val="24"/>
            <w:szCs w:val="24"/>
          </w:rPr>
          <w:t>https://www.gov.wales/sites/default/files/publications/2022-07/the-national-events-strategy-for-wales-2022-to-2030.pdf</w:t>
        </w:r>
      </w:hyperlink>
      <w:r w:rsidRPr="002C1DE6">
        <w:rPr>
          <w:rFonts w:ascii="Arial" w:hAnsi="Arial" w:cs="Arial"/>
          <w:sz w:val="24"/>
          <w:szCs w:val="24"/>
        </w:rPr>
        <w:t xml:space="preserve"> (Accessed: 28 October 2025).</w:t>
      </w:r>
    </w:p>
    <w:p w14:paraId="172F3082" w14:textId="77777777" w:rsidR="0042485A" w:rsidRPr="002C1DE6" w:rsidRDefault="0042485A" w:rsidP="002C1DE6">
      <w:pPr>
        <w:spacing w:line="360" w:lineRule="auto"/>
        <w:jc w:val="both"/>
        <w:rPr>
          <w:rFonts w:ascii="Arial" w:hAnsi="Arial" w:cs="Arial"/>
          <w:sz w:val="24"/>
          <w:szCs w:val="24"/>
        </w:rPr>
      </w:pPr>
    </w:p>
    <w:p w14:paraId="0864AB38" w14:textId="77777777" w:rsidR="00717644" w:rsidRPr="002C1DE6" w:rsidRDefault="00717644" w:rsidP="002C1DE6">
      <w:pPr>
        <w:spacing w:line="360" w:lineRule="auto"/>
        <w:jc w:val="both"/>
        <w:rPr>
          <w:rFonts w:ascii="Arial" w:hAnsi="Arial" w:cs="Arial"/>
          <w:sz w:val="24"/>
          <w:szCs w:val="24"/>
        </w:rPr>
      </w:pPr>
    </w:p>
    <w:sectPr w:rsidR="00717644" w:rsidRPr="002C1DE6" w:rsidSect="00190DEB">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43C8"/>
    <w:multiLevelType w:val="multilevel"/>
    <w:tmpl w:val="260A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8564A"/>
    <w:multiLevelType w:val="multilevel"/>
    <w:tmpl w:val="3B0C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45415"/>
    <w:multiLevelType w:val="hybridMultilevel"/>
    <w:tmpl w:val="E0AA6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843D8"/>
    <w:multiLevelType w:val="multilevel"/>
    <w:tmpl w:val="A18E306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017F23"/>
    <w:multiLevelType w:val="hybridMultilevel"/>
    <w:tmpl w:val="560090B8"/>
    <w:lvl w:ilvl="0" w:tplc="17E4D434">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8153F3"/>
    <w:multiLevelType w:val="multilevel"/>
    <w:tmpl w:val="A648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43104"/>
    <w:multiLevelType w:val="multilevel"/>
    <w:tmpl w:val="4FDC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416F0"/>
    <w:multiLevelType w:val="hybridMultilevel"/>
    <w:tmpl w:val="0AD4D1FE"/>
    <w:lvl w:ilvl="0" w:tplc="9C7CB102">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410C2D"/>
    <w:multiLevelType w:val="multilevel"/>
    <w:tmpl w:val="BD9EE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D006E5"/>
    <w:multiLevelType w:val="multilevel"/>
    <w:tmpl w:val="530E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A448C"/>
    <w:multiLevelType w:val="multilevel"/>
    <w:tmpl w:val="FB54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117C47"/>
    <w:multiLevelType w:val="multilevel"/>
    <w:tmpl w:val="A18E306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B56DF4"/>
    <w:multiLevelType w:val="multilevel"/>
    <w:tmpl w:val="DBB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E6200"/>
    <w:multiLevelType w:val="multilevel"/>
    <w:tmpl w:val="D59A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16600"/>
    <w:multiLevelType w:val="multilevel"/>
    <w:tmpl w:val="D054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73D03"/>
    <w:multiLevelType w:val="multilevel"/>
    <w:tmpl w:val="9D567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6A57A9"/>
    <w:multiLevelType w:val="multilevel"/>
    <w:tmpl w:val="8C38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E42EE3"/>
    <w:multiLevelType w:val="multilevel"/>
    <w:tmpl w:val="91EA4D76"/>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B85441"/>
    <w:multiLevelType w:val="multilevel"/>
    <w:tmpl w:val="F23C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B3ACD"/>
    <w:multiLevelType w:val="multilevel"/>
    <w:tmpl w:val="366AC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277AE9"/>
    <w:multiLevelType w:val="multilevel"/>
    <w:tmpl w:val="3AE8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188268">
    <w:abstractNumId w:val="11"/>
  </w:num>
  <w:num w:numId="2" w16cid:durableId="223833551">
    <w:abstractNumId w:val="19"/>
  </w:num>
  <w:num w:numId="3" w16cid:durableId="607546820">
    <w:abstractNumId w:val="8"/>
  </w:num>
  <w:num w:numId="4" w16cid:durableId="813107006">
    <w:abstractNumId w:val="15"/>
  </w:num>
  <w:num w:numId="5" w16cid:durableId="76555851">
    <w:abstractNumId w:val="6"/>
  </w:num>
  <w:num w:numId="6" w16cid:durableId="435055686">
    <w:abstractNumId w:val="0"/>
  </w:num>
  <w:num w:numId="7" w16cid:durableId="1761751065">
    <w:abstractNumId w:val="20"/>
  </w:num>
  <w:num w:numId="8" w16cid:durableId="1827357706">
    <w:abstractNumId w:val="16"/>
  </w:num>
  <w:num w:numId="9" w16cid:durableId="753014035">
    <w:abstractNumId w:val="1"/>
  </w:num>
  <w:num w:numId="10" w16cid:durableId="1955090998">
    <w:abstractNumId w:val="5"/>
  </w:num>
  <w:num w:numId="11" w16cid:durableId="1702432199">
    <w:abstractNumId w:val="13"/>
  </w:num>
  <w:num w:numId="12" w16cid:durableId="1989363728">
    <w:abstractNumId w:val="9"/>
  </w:num>
  <w:num w:numId="13" w16cid:durableId="628318462">
    <w:abstractNumId w:val="18"/>
  </w:num>
  <w:num w:numId="14" w16cid:durableId="1890993616">
    <w:abstractNumId w:val="14"/>
  </w:num>
  <w:num w:numId="15" w16cid:durableId="1520579573">
    <w:abstractNumId w:val="12"/>
  </w:num>
  <w:num w:numId="16" w16cid:durableId="534463627">
    <w:abstractNumId w:val="10"/>
  </w:num>
  <w:num w:numId="17" w16cid:durableId="1249189859">
    <w:abstractNumId w:val="17"/>
  </w:num>
  <w:num w:numId="18" w16cid:durableId="1457218222">
    <w:abstractNumId w:val="3"/>
  </w:num>
  <w:num w:numId="19" w16cid:durableId="1070466963">
    <w:abstractNumId w:val="4"/>
  </w:num>
  <w:num w:numId="20" w16cid:durableId="2099717936">
    <w:abstractNumId w:val="2"/>
  </w:num>
  <w:num w:numId="21" w16cid:durableId="1958951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190DEB"/>
    <w:rsid w:val="00072209"/>
    <w:rsid w:val="0011384C"/>
    <w:rsid w:val="00190DEB"/>
    <w:rsid w:val="002C1DE6"/>
    <w:rsid w:val="0032683C"/>
    <w:rsid w:val="0042485A"/>
    <w:rsid w:val="004D3AA8"/>
    <w:rsid w:val="006D737B"/>
    <w:rsid w:val="00716AFD"/>
    <w:rsid w:val="00717644"/>
    <w:rsid w:val="007F3F71"/>
    <w:rsid w:val="00846BCF"/>
    <w:rsid w:val="00846DC4"/>
    <w:rsid w:val="008B5F65"/>
    <w:rsid w:val="008D7338"/>
    <w:rsid w:val="00AB31D0"/>
    <w:rsid w:val="00AC5C83"/>
    <w:rsid w:val="00B82C8B"/>
    <w:rsid w:val="00BA1A86"/>
    <w:rsid w:val="00C6602A"/>
    <w:rsid w:val="00CA7AFE"/>
    <w:rsid w:val="00E00D00"/>
    <w:rsid w:val="00E70844"/>
    <w:rsid w:val="00E9698C"/>
    <w:rsid w:val="00EC0520"/>
    <w:rsid w:val="00EC62A9"/>
    <w:rsid w:val="00EE09FC"/>
    <w:rsid w:val="00F71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98093BE"/>
  <w15:docId w15:val="{9743F749-D6AD-49DB-8084-6F3B2105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D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0DEB"/>
    <w:pPr>
      <w:spacing w:after="0" w:line="240" w:lineRule="auto"/>
    </w:pPr>
    <w:rPr>
      <w:rFonts w:eastAsiaTheme="minorEastAsia"/>
    </w:rPr>
  </w:style>
  <w:style w:type="character" w:customStyle="1" w:styleId="NoSpacingChar">
    <w:name w:val="No Spacing Char"/>
    <w:basedOn w:val="DefaultParagraphFont"/>
    <w:link w:val="NoSpacing"/>
    <w:uiPriority w:val="1"/>
    <w:rsid w:val="00190DEB"/>
    <w:rPr>
      <w:rFonts w:eastAsiaTheme="minorEastAsia"/>
    </w:rPr>
  </w:style>
  <w:style w:type="paragraph" w:styleId="BalloonText">
    <w:name w:val="Balloon Text"/>
    <w:basedOn w:val="Normal"/>
    <w:link w:val="BalloonTextChar"/>
    <w:uiPriority w:val="99"/>
    <w:semiHidden/>
    <w:unhideWhenUsed/>
    <w:rsid w:val="00190D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DEB"/>
    <w:rPr>
      <w:rFonts w:ascii="Tahoma" w:hAnsi="Tahoma" w:cs="Tahoma"/>
      <w:sz w:val="16"/>
      <w:szCs w:val="16"/>
    </w:rPr>
  </w:style>
  <w:style w:type="character" w:styleId="Hyperlink">
    <w:name w:val="Hyperlink"/>
    <w:basedOn w:val="DefaultParagraphFont"/>
    <w:uiPriority w:val="99"/>
    <w:unhideWhenUsed/>
    <w:rsid w:val="0042485A"/>
    <w:rPr>
      <w:color w:val="0000FF" w:themeColor="hyperlink"/>
      <w:u w:val="single"/>
    </w:rPr>
  </w:style>
  <w:style w:type="paragraph" w:styleId="ListParagraph">
    <w:name w:val="List Paragraph"/>
    <w:basedOn w:val="Normal"/>
    <w:uiPriority w:val="34"/>
    <w:qFormat/>
    <w:rsid w:val="008D7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19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onference-news.co.uk/news/icc-wales-and-the-business-of-events-launch-uk-research-to-help-shape-a-more-inclusive-industry/" TargetMode="External"/><Relationship Id="rId18" Type="http://schemas.openxmlformats.org/officeDocument/2006/relationships/hyperlink" Target="https://www.iccwales.com/organisers/case-studies" TargetMode="External"/><Relationship Id="rId26" Type="http://schemas.openxmlformats.org/officeDocument/2006/relationships/hyperlink" Target="https://www.researchgate.net/publication/240535313_The_Conceptualisation_of_Measurement_of_Mega_Sport_Event_Legacies" TargetMode="External"/><Relationship Id="rId3" Type="http://schemas.openxmlformats.org/officeDocument/2006/relationships/numbering" Target="numbering.xml"/><Relationship Id="rId21" Type="http://schemas.openxmlformats.org/officeDocument/2006/relationships/hyperlink" Target="https://www.knightfrank.com/research/article/2025-03-03-uk-hotel-trading-performance-review-and-outlook-for-2025" TargetMode="External"/><Relationship Id="rId34" Type="http://schemas.openxmlformats.org/officeDocument/2006/relationships/hyperlink" Target="https://www.gov.wales/sites/default/files/publications/2022-07/the-national-events-strategy-for-wales-2022-to-2030.pdf" TargetMode="External"/><Relationship Id="rId7" Type="http://schemas.openxmlformats.org/officeDocument/2006/relationships/hyperlink" Target="https://www.google.com/search?q=https://www.perlego.com/book/1006948/event-planning-the-ultimate-guide-to-successful-meetings-corporate-events-fundraising-galas-conferences-conventions-incentives-and-other-special-events" TargetMode="External"/><Relationship Id="rId12" Type="http://schemas.openxmlformats.org/officeDocument/2006/relationships/hyperlink" Target="https://www.christie.com/news-resources/business-outlook-2025/hotels/uk/" TargetMode="External"/><Relationship Id="rId17" Type="http://schemas.openxmlformats.org/officeDocument/2006/relationships/hyperlink" Target="https://www.taylorfrancis.com/books/mono/10.4324/9780429023002/event-studies-stephen-page-donald-getz" TargetMode="External"/><Relationship Id="rId25" Type="http://schemas.openxmlformats.org/officeDocument/2006/relationships/hyperlink" Target="https://www.scribd.com/document/928232208/Ebook-Events-feasibility-and-development-from-strategy-to-operations-by-William-O-Toole-ISBN-9781000478211-9781000478228-9781003172703-10004782" TargetMode="External"/><Relationship Id="rId33" Type="http://schemas.openxmlformats.org/officeDocument/2006/relationships/hyperlink" Target="https://www.gov.wales/written-statement-nato" TargetMode="External"/><Relationship Id="rId2" Type="http://schemas.openxmlformats.org/officeDocument/2006/relationships/customXml" Target="../customXml/item2.xml"/><Relationship Id="rId16" Type="http://schemas.openxmlformats.org/officeDocument/2006/relationships/hyperlink" Target="https://www.europeantour.com/dpworld-tour/news/articles/detail/the-2010-ryder-cup-major-boost-to-welsh-economy/" TargetMode="External"/><Relationship Id="rId20" Type="http://schemas.openxmlformats.org/officeDocument/2006/relationships/hyperlink" Target="https://www.tandfonline.com/toc/rprt20/15/4?nav=tocList" TargetMode="External"/><Relationship Id="rId29" Type="http://schemas.openxmlformats.org/officeDocument/2006/relationships/hyperlink" Target="https://library.atu.edu.kz/files/12586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chapter/10.1057/9781137371188_1" TargetMode="External"/><Relationship Id="rId24" Type="http://schemas.openxmlformats.org/officeDocument/2006/relationships/hyperlink" Target="https://www.google.com/search?q=https://books.google.co.uk/books/about/Project_Management.html%3Fid%3DRFVBEAAAQBAJ%26redir_esc%3Dy" TargetMode="External"/><Relationship Id="rId32" Type="http://schemas.openxmlformats.org/officeDocument/2006/relationships/hyperlink" Target="https://traveltrade.visitwales.com/useful-information/toolkit/year-of-croeso" TargetMode="External"/><Relationship Id="rId5" Type="http://schemas.openxmlformats.org/officeDocument/2006/relationships/settings" Target="settings.xml"/><Relationship Id="rId15" Type="http://schemas.openxmlformats.org/officeDocument/2006/relationships/hyperlink" Target="https://www.eval.fr/wp-content/uploads/2020/01/S.M.A.R.T-Way-Management-Review-eval.fr_.pdf" TargetMode="External"/><Relationship Id="rId23" Type="http://schemas.openxmlformats.org/officeDocument/2006/relationships/hyperlink" Target="https://www.koganpage.com/marketing-communications/event-sponsorship-and-fundraising-9780749480929" TargetMode="External"/><Relationship Id="rId28" Type="http://schemas.openxmlformats.org/officeDocument/2006/relationships/hyperlink" Target="https://www.routledge.com/Conferences-and-Conventions-A-Global-Industry/Rogers-Wynn-Moylan/p/book/9781032288802" TargetMode="External"/><Relationship Id="rId36" Type="http://schemas.openxmlformats.org/officeDocument/2006/relationships/theme" Target="theme/theme1.xml"/><Relationship Id="rId10" Type="http://schemas.openxmlformats.org/officeDocument/2006/relationships/hyperlink" Target="https://www.google.com/search?q=https://books.google.co.uk/books/about/Events_Management.html%3Fid%3D-0Xj_d5XQCIC%26redir_esc%3Dy" TargetMode="External"/><Relationship Id="rId19" Type="http://schemas.openxmlformats.org/officeDocument/2006/relationships/hyperlink" Target="https://www.academia.edu/44504531/EXPLORING_STRATEGY_ELEVENTH_EDITION" TargetMode="External"/><Relationship Id="rId31" Type="http://schemas.openxmlformats.org/officeDocument/2006/relationships/hyperlink" Target="https://www.google.com/search?q=https://www.visitbritain.org/media/3805/download%3Fattachment" TargetMode="External"/><Relationship Id="rId4" Type="http://schemas.openxmlformats.org/officeDocument/2006/relationships/styles" Target="styles.xml"/><Relationship Id="rId9" Type="http://schemas.openxmlformats.org/officeDocument/2006/relationships/hyperlink" Target="https://www.researchgate.net/publication/365396517_Events_Management_An_Introduction" TargetMode="External"/><Relationship Id="rId14" Type="http://schemas.openxmlformats.org/officeDocument/2006/relationships/hyperlink" Target="https://www.routledge.com/Marketing-Destinations-and-Venues-for-Conferences-Conventions-and-Business-Events/Rogers-Davidson/p/book/9781138852150" TargetMode="External"/><Relationship Id="rId22" Type="http://schemas.openxmlformats.org/officeDocument/2006/relationships/hyperlink" Target="https://www.google.com/search?q=https://doi.org/10.4324/9780080481159" TargetMode="External"/><Relationship Id="rId27" Type="http://schemas.openxmlformats.org/officeDocument/2006/relationships/hyperlink" Target="https://www.pwc.co.uk/industries/hospitality-leisure/insights/uk-hotels-forecast.html" TargetMode="External"/><Relationship Id="rId30" Type="http://schemas.openxmlformats.org/officeDocument/2006/relationships/hyperlink" Target="https://www.google.com/search?q=https://www.koganpage.com/product/marketing-communications-9780749483863" TargetMode="External"/><Relationship Id="rId35" Type="http://schemas.openxmlformats.org/officeDocument/2006/relationships/fontTable" Target="fontTable.xml"/><Relationship Id="rId8" Type="http://schemas.openxmlformats.org/officeDocument/2006/relationships/hyperlink" Target="https://www.taylorfrancis.com/books/mono/10.4324/9780080468112/events-design-experience-graham-berri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E589AB-69E0-4441-9A0F-C387DC2C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17</Pages>
  <Words>4384</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Assignment2:Event Strategic Planningand Delivery Considerations for an International Meeting / Event. Report Format (50%)</dc:title>
  <dc:subject>BMIH6007: International Meetings Management for the Hotel Industry Lecturer: Natalie Brailsford                                                                Student name: Florica Anamaria Ciuta                                            Student ID: 2243597</dc:subject>
  <cp:keywords/>
  <dc:description/>
  <cp:revision>26</cp:revision>
  <dcterms:created xsi:type="dcterms:W3CDTF">2025-10-01T16:20:00Z</dcterms:created>
  <dcterms:modified xsi:type="dcterms:W3CDTF">2025-11-06T23:27:00Z</dcterms:modified>
</cp:coreProperties>
</file>