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0013A2" w14:textId="77777777" w:rsidR="009173CF" w:rsidRDefault="00D90823">
      <w:pPr>
        <w:spacing w:line="360" w:lineRule="auto"/>
        <w:jc w:val="both"/>
      </w:pPr>
      <w:r>
        <w:rPr>
          <w:rFonts w:ascii="Arial" w:eastAsia="Arial" w:hAnsi="Arial" w:cs="Arial"/>
        </w:rPr>
        <w:br/>
      </w:r>
      <w:r>
        <w:rPr>
          <w:noProof/>
        </w:rPr>
        <w:drawing>
          <wp:anchor distT="0" distB="0" distL="114300" distR="114300" simplePos="0" relativeHeight="251658240" behindDoc="0" locked="0" layoutInCell="1" hidden="0" allowOverlap="1" wp14:anchorId="7D6518EF" wp14:editId="2A7A8954">
            <wp:simplePos x="0" y="0"/>
            <wp:positionH relativeFrom="column">
              <wp:posOffset>1</wp:posOffset>
            </wp:positionH>
            <wp:positionV relativeFrom="paragraph">
              <wp:posOffset>0</wp:posOffset>
            </wp:positionV>
            <wp:extent cx="2209803" cy="742950"/>
            <wp:effectExtent l="0" t="0" r="0" b="0"/>
            <wp:wrapSquare wrapText="bothSides" distT="0" distB="0" distL="114300" distR="114300"/>
            <wp:docPr id="1" name="image3.png"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png" descr="A close up of a sign&#10;&#10;AI-generated content may be incorrect."/>
                    <pic:cNvPicPr preferRelativeResize="0"/>
                  </pic:nvPicPr>
                  <pic:blipFill>
                    <a:blip r:embed="rId11"/>
                    <a:srcRect/>
                    <a:stretch>
                      <a:fillRect/>
                    </a:stretch>
                  </pic:blipFill>
                  <pic:spPr>
                    <a:xfrm>
                      <a:off x="0" y="0"/>
                      <a:ext cx="2209803" cy="742950"/>
                    </a:xfrm>
                    <a:prstGeom prst="rect">
                      <a:avLst/>
                    </a:prstGeom>
                    <a:ln/>
                  </pic:spPr>
                </pic:pic>
              </a:graphicData>
            </a:graphic>
          </wp:anchor>
        </w:drawing>
      </w:r>
    </w:p>
    <w:p w14:paraId="31FDE9CC" w14:textId="77777777" w:rsidR="009173CF" w:rsidRDefault="009173CF">
      <w:pPr>
        <w:spacing w:line="360" w:lineRule="auto"/>
        <w:jc w:val="both"/>
        <w:rPr>
          <w:rFonts w:ascii="Arial" w:eastAsia="Arial" w:hAnsi="Arial" w:cs="Arial"/>
        </w:rPr>
      </w:pPr>
    </w:p>
    <w:p w14:paraId="74FEF692" w14:textId="77777777" w:rsidR="009173CF" w:rsidRDefault="00D90823">
      <w:pPr>
        <w:spacing w:line="360" w:lineRule="auto"/>
        <w:rPr>
          <w:rFonts w:ascii="Arial" w:eastAsia="Arial" w:hAnsi="Arial" w:cs="Arial"/>
          <w:sz w:val="22"/>
          <w:szCs w:val="22"/>
        </w:rPr>
      </w:pPr>
      <w:r>
        <w:rPr>
          <w:rFonts w:ascii="Arial" w:eastAsia="Arial" w:hAnsi="Arial" w:cs="Arial"/>
          <w:sz w:val="22"/>
          <w:szCs w:val="22"/>
        </w:rPr>
        <w:t>Applied Leadership and Management in the Workplace</w:t>
      </w:r>
      <w:r>
        <w:rPr>
          <w:rFonts w:ascii="Arial" w:eastAsia="Arial" w:hAnsi="Arial" w:cs="Arial"/>
          <w:sz w:val="22"/>
          <w:szCs w:val="22"/>
        </w:rPr>
        <w:br/>
        <w:t xml:space="preserve">Module Assignment Submission </w:t>
      </w:r>
      <w:r>
        <w:rPr>
          <w:rFonts w:ascii="Arial" w:eastAsia="Arial" w:hAnsi="Arial" w:cs="Arial"/>
          <w:sz w:val="22"/>
          <w:szCs w:val="22"/>
        </w:rPr>
        <w:br/>
      </w:r>
      <w:r>
        <w:rPr>
          <w:rFonts w:ascii="Arial" w:eastAsia="Arial" w:hAnsi="Arial" w:cs="Arial"/>
          <w:sz w:val="22"/>
          <w:szCs w:val="22"/>
        </w:rPr>
        <w:br/>
      </w:r>
    </w:p>
    <w:tbl>
      <w:tblPr>
        <w:tblStyle w:val="a"/>
        <w:tblW w:w="8784" w:type="dxa"/>
        <w:tblInd w:w="0" w:type="dxa"/>
        <w:tblLayout w:type="fixed"/>
        <w:tblLook w:val="0000" w:firstRow="0" w:lastRow="0" w:firstColumn="0" w:lastColumn="0" w:noHBand="0" w:noVBand="0"/>
      </w:tblPr>
      <w:tblGrid>
        <w:gridCol w:w="2016"/>
        <w:gridCol w:w="6768"/>
      </w:tblGrid>
      <w:tr w:rsidR="009173CF" w14:paraId="37C6E0CA"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74463978" w14:textId="77777777" w:rsidR="009173CF" w:rsidRDefault="00D90823">
            <w:pPr>
              <w:spacing w:line="360" w:lineRule="auto"/>
              <w:jc w:val="both"/>
              <w:rPr>
                <w:rFonts w:ascii="Arial" w:eastAsia="Arial" w:hAnsi="Arial" w:cs="Arial"/>
              </w:rPr>
            </w:pPr>
            <w:r>
              <w:rPr>
                <w:rFonts w:ascii="Arial" w:eastAsia="Arial" w:hAnsi="Arial" w:cs="Arial"/>
              </w:rPr>
              <w:t>Student Name: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517A94E" w14:textId="77777777" w:rsidR="009173CF" w:rsidRDefault="00D90823">
            <w:pPr>
              <w:spacing w:line="360" w:lineRule="auto"/>
              <w:jc w:val="both"/>
              <w:rPr>
                <w:rFonts w:ascii="Arial" w:eastAsia="Arial" w:hAnsi="Arial" w:cs="Arial"/>
              </w:rPr>
            </w:pPr>
            <w:r>
              <w:rPr>
                <w:rFonts w:ascii="Arial" w:eastAsia="Arial" w:hAnsi="Arial" w:cs="Arial"/>
              </w:rPr>
              <w:t>Kelly Keefe </w:t>
            </w:r>
          </w:p>
        </w:tc>
      </w:tr>
      <w:tr w:rsidR="009173CF" w14:paraId="1CC5E88D"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63AA7BD9" w14:textId="77777777" w:rsidR="009173CF" w:rsidRDefault="00D90823">
            <w:pPr>
              <w:spacing w:line="360" w:lineRule="auto"/>
              <w:jc w:val="both"/>
              <w:rPr>
                <w:rFonts w:ascii="Arial" w:eastAsia="Arial" w:hAnsi="Arial" w:cs="Arial"/>
              </w:rPr>
            </w:pPr>
            <w:r>
              <w:rPr>
                <w:rFonts w:ascii="Arial" w:eastAsia="Arial" w:hAnsi="Arial" w:cs="Arial"/>
              </w:rPr>
              <w:t>Student Number:</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E5E2533" w14:textId="77777777" w:rsidR="009173CF" w:rsidRDefault="00D90823">
            <w:pPr>
              <w:spacing w:line="360" w:lineRule="auto"/>
              <w:jc w:val="both"/>
              <w:rPr>
                <w:rFonts w:ascii="Arial" w:eastAsia="Arial" w:hAnsi="Arial" w:cs="Arial"/>
              </w:rPr>
            </w:pPr>
            <w:r>
              <w:rPr>
                <w:rFonts w:ascii="Arial" w:eastAsia="Arial" w:hAnsi="Arial" w:cs="Arial"/>
              </w:rPr>
              <w:t>2318120</w:t>
            </w:r>
          </w:p>
        </w:tc>
      </w:tr>
      <w:tr w:rsidR="009173CF" w14:paraId="0F65D623"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6F772696" w14:textId="77777777" w:rsidR="009173CF" w:rsidRDefault="00D90823">
            <w:pPr>
              <w:spacing w:line="360" w:lineRule="auto"/>
              <w:jc w:val="both"/>
              <w:rPr>
                <w:rFonts w:ascii="Arial" w:eastAsia="Arial" w:hAnsi="Arial" w:cs="Arial"/>
              </w:rPr>
            </w:pPr>
            <w:r>
              <w:rPr>
                <w:rFonts w:ascii="Arial" w:eastAsia="Arial" w:hAnsi="Arial" w:cs="Arial"/>
              </w:rPr>
              <w:t>Module No:</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9103FA1" w14:textId="77777777" w:rsidR="009173CF" w:rsidRDefault="00D90823">
            <w:pPr>
              <w:spacing w:line="360" w:lineRule="auto"/>
              <w:jc w:val="both"/>
              <w:rPr>
                <w:rFonts w:ascii="Arial" w:eastAsia="Arial" w:hAnsi="Arial" w:cs="Arial"/>
              </w:rPr>
            </w:pPr>
            <w:r>
              <w:rPr>
                <w:rFonts w:ascii="Arial" w:eastAsia="Arial" w:hAnsi="Arial" w:cs="Arial"/>
              </w:rPr>
              <w:t>BMSK6009</w:t>
            </w:r>
          </w:p>
        </w:tc>
      </w:tr>
      <w:tr w:rsidR="009173CF" w14:paraId="57B21AC6" w14:textId="77777777">
        <w:trPr>
          <w:trHeight w:val="649"/>
        </w:trPr>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50D4BD9A" w14:textId="77777777" w:rsidR="009173CF" w:rsidRDefault="00D90823">
            <w:pPr>
              <w:spacing w:line="360" w:lineRule="auto"/>
              <w:jc w:val="both"/>
              <w:rPr>
                <w:rFonts w:ascii="Arial" w:eastAsia="Arial" w:hAnsi="Arial" w:cs="Arial"/>
              </w:rPr>
            </w:pPr>
            <w:r>
              <w:rPr>
                <w:rFonts w:ascii="Arial" w:eastAsia="Arial" w:hAnsi="Arial" w:cs="Arial"/>
              </w:rPr>
              <w:t>Module Title: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C7AA254" w14:textId="77777777" w:rsidR="009173CF" w:rsidRDefault="00D90823">
            <w:pPr>
              <w:spacing w:line="360" w:lineRule="auto"/>
              <w:jc w:val="both"/>
            </w:pPr>
            <w:r>
              <w:rPr>
                <w:rFonts w:ascii="Arial" w:eastAsia="Arial" w:hAnsi="Arial" w:cs="Arial"/>
                <w:b/>
                <w:bCs/>
                <w:color w:val="000000"/>
              </w:rPr>
              <w:t>Emotional Intelligence</w:t>
            </w:r>
          </w:p>
        </w:tc>
      </w:tr>
    </w:tbl>
    <w:p w14:paraId="66BA08DA" w14:textId="77777777" w:rsidR="009173CF" w:rsidRDefault="009173CF">
      <w:pPr>
        <w:spacing w:line="360" w:lineRule="auto"/>
        <w:jc w:val="both"/>
        <w:rPr>
          <w:rFonts w:ascii="Arial" w:eastAsia="Arial" w:hAnsi="Arial" w:cs="Arial"/>
        </w:rPr>
      </w:pPr>
    </w:p>
    <w:p w14:paraId="09F274C1" w14:textId="77777777" w:rsidR="009173CF" w:rsidRDefault="00D90823">
      <w:pPr>
        <w:spacing w:line="360" w:lineRule="auto"/>
        <w:jc w:val="both"/>
      </w:pPr>
      <w:r>
        <w:rPr>
          <w:rFonts w:ascii="Arial" w:eastAsia="Arial" w:hAnsi="Arial" w:cs="Arial"/>
          <w:b/>
          <w:bCs/>
        </w:rPr>
        <w:t>Statement of Confirmation of Authenticity</w:t>
      </w:r>
    </w:p>
    <w:p w14:paraId="3575D69F" w14:textId="77777777" w:rsidR="009173CF" w:rsidRDefault="00D90823">
      <w:pPr>
        <w:spacing w:line="360" w:lineRule="auto"/>
        <w:jc w:val="both"/>
        <w:rPr>
          <w:rFonts w:ascii="Arial" w:eastAsia="Arial" w:hAnsi="Arial" w:cs="Arial"/>
          <w:sz w:val="22"/>
          <w:szCs w:val="22"/>
        </w:rPr>
      </w:pPr>
      <w:r>
        <w:rPr>
          <w:rFonts w:ascii="Arial" w:eastAsia="Arial" w:hAnsi="Arial" w:cs="Arial"/>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4B768AF" w14:textId="77777777" w:rsidR="009173CF" w:rsidRDefault="00D90823">
      <w:pPr>
        <w:spacing w:line="360" w:lineRule="auto"/>
        <w:jc w:val="both"/>
        <w:rPr>
          <w:rFonts w:ascii="Arial" w:eastAsia="Arial" w:hAnsi="Arial" w:cs="Arial"/>
          <w:sz w:val="22"/>
          <w:szCs w:val="22"/>
        </w:rPr>
      </w:pPr>
      <w:r>
        <w:rPr>
          <w:rFonts w:ascii="Arial" w:eastAsia="Arial" w:hAnsi="Arial" w:cs="Arial"/>
          <w:sz w:val="22"/>
          <w:szCs w:val="22"/>
        </w:rPr>
        <w:t>Attention is drawn to the plagiarism and unfair practice policies of both the University and of ILM.</w:t>
      </w:r>
    </w:p>
    <w:p w14:paraId="0B37A9AA" w14:textId="77777777" w:rsidR="009173CF" w:rsidRDefault="00D90823">
      <w:r>
        <w:rPr>
          <w:rFonts w:ascii="Arial" w:eastAsia="Arial" w:hAnsi="Arial" w:cs="Arial"/>
        </w:rPr>
        <w:br/>
      </w:r>
    </w:p>
    <w:p w14:paraId="7174990D" w14:textId="77777777" w:rsidR="009173CF" w:rsidRDefault="009173CF"/>
    <w:p w14:paraId="21206DB4" w14:textId="77777777" w:rsidR="009173CF" w:rsidRDefault="009173CF"/>
    <w:p w14:paraId="741D4E1B" w14:textId="77777777" w:rsidR="009173CF" w:rsidRDefault="009173CF"/>
    <w:p w14:paraId="234A5919" w14:textId="77777777" w:rsidR="009173CF" w:rsidRDefault="009173CF"/>
    <w:p w14:paraId="7648CE26" w14:textId="77777777" w:rsidR="009173CF" w:rsidRDefault="009173CF"/>
    <w:p w14:paraId="62197F3D" w14:textId="77777777" w:rsidR="009173CF" w:rsidRDefault="00D90823">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lastRenderedPageBreak/>
        <w:t>Table of Contents</w:t>
      </w:r>
    </w:p>
    <w:sdt>
      <w:sdtPr>
        <w:id w:val="-1054595253"/>
        <w:docPartObj>
          <w:docPartGallery w:val="Table of Contents"/>
          <w:docPartUnique/>
        </w:docPartObj>
      </w:sdtPr>
      <w:sdtEndPr/>
      <w:sdtContent>
        <w:p w14:paraId="073335AF" w14:textId="77777777" w:rsidR="009173CF" w:rsidRDefault="00D90823">
          <w:pPr>
            <w:pBdr>
              <w:top w:val="nil"/>
              <w:left w:val="nil"/>
              <w:bottom w:val="nil"/>
              <w:right w:val="nil"/>
              <w:between w:val="nil"/>
            </w:pBdr>
            <w:tabs>
              <w:tab w:val="right" w:leader="dot" w:pos="9016"/>
            </w:tabs>
            <w:spacing w:after="100"/>
            <w:rPr>
              <w:color w:val="000000"/>
            </w:rPr>
          </w:pPr>
          <w:r>
            <w:fldChar w:fldCharType="begin"/>
          </w:r>
          <w:r>
            <w:instrText xml:space="preserve"> TOC \h \u \z \t "Heading 1,1,Heading 2,2,Heading 3,3,"</w:instrText>
          </w:r>
          <w:r>
            <w:fldChar w:fldCharType="separate"/>
          </w:r>
          <w:hyperlink w:anchor="_heading=h.g7hqe6pwodah">
            <w:r>
              <w:rPr>
                <w:color w:val="000000"/>
              </w:rPr>
              <w:t>Emotional Intelligence</w:t>
            </w:r>
            <w:r>
              <w:rPr>
                <w:color w:val="000000"/>
              </w:rPr>
              <w:tab/>
              <w:t>3</w:t>
            </w:r>
          </w:hyperlink>
        </w:p>
        <w:p w14:paraId="529F2AFA" w14:textId="77777777" w:rsidR="009173CF" w:rsidRDefault="00D90823">
          <w:pPr>
            <w:pBdr>
              <w:top w:val="nil"/>
              <w:left w:val="nil"/>
              <w:bottom w:val="nil"/>
              <w:right w:val="nil"/>
              <w:between w:val="nil"/>
            </w:pBdr>
            <w:tabs>
              <w:tab w:val="left" w:pos="960"/>
              <w:tab w:val="right" w:leader="dot" w:pos="9016"/>
            </w:tabs>
            <w:spacing w:after="100"/>
            <w:ind w:left="240"/>
            <w:rPr>
              <w:color w:val="000000"/>
            </w:rPr>
          </w:pPr>
          <w:hyperlink w:anchor="_heading=h.fr2pmm5nck8i">
            <w:r>
              <w:rPr>
                <w:color w:val="000000"/>
              </w:rPr>
              <w:t xml:space="preserve">1.0 </w:t>
            </w:r>
            <w:r>
              <w:rPr>
                <w:color w:val="000000"/>
              </w:rPr>
              <w:tab/>
              <w:t>Introduction</w:t>
            </w:r>
            <w:r>
              <w:rPr>
                <w:color w:val="000000"/>
              </w:rPr>
              <w:tab/>
              <w:t>3</w:t>
            </w:r>
          </w:hyperlink>
        </w:p>
        <w:p w14:paraId="3F409FB2" w14:textId="77777777" w:rsidR="009173CF" w:rsidRDefault="00D90823">
          <w:pPr>
            <w:pBdr>
              <w:top w:val="nil"/>
              <w:left w:val="nil"/>
              <w:bottom w:val="nil"/>
              <w:right w:val="nil"/>
              <w:between w:val="nil"/>
            </w:pBdr>
            <w:tabs>
              <w:tab w:val="left" w:pos="960"/>
              <w:tab w:val="right" w:leader="dot" w:pos="9016"/>
            </w:tabs>
            <w:spacing w:after="100"/>
            <w:ind w:left="240"/>
            <w:rPr>
              <w:color w:val="000000"/>
            </w:rPr>
          </w:pPr>
          <w:hyperlink w:anchor="_heading=h.sgz6t3gowtoz">
            <w:r>
              <w:rPr>
                <w:color w:val="000000"/>
              </w:rPr>
              <w:t>2.0</w:t>
            </w:r>
            <w:r>
              <w:rPr>
                <w:color w:val="000000"/>
              </w:rPr>
              <w:tab/>
              <w:t>Concepts and history of Emotional Intelligence</w:t>
            </w:r>
            <w:r>
              <w:rPr>
                <w:color w:val="000000"/>
              </w:rPr>
              <w:tab/>
              <w:t>3</w:t>
            </w:r>
          </w:hyperlink>
        </w:p>
        <w:p w14:paraId="2D3B5891" w14:textId="77777777" w:rsidR="009173CF" w:rsidRDefault="00D90823">
          <w:pPr>
            <w:pBdr>
              <w:top w:val="nil"/>
              <w:left w:val="nil"/>
              <w:bottom w:val="nil"/>
              <w:right w:val="nil"/>
              <w:between w:val="nil"/>
            </w:pBdr>
            <w:tabs>
              <w:tab w:val="left" w:pos="960"/>
              <w:tab w:val="right" w:leader="dot" w:pos="9016"/>
            </w:tabs>
            <w:spacing w:after="100"/>
            <w:ind w:left="240"/>
            <w:rPr>
              <w:color w:val="000000"/>
            </w:rPr>
          </w:pPr>
          <w:hyperlink w:anchor="_heading=h.1x3k67fclp7">
            <w:r>
              <w:rPr>
                <w:color w:val="000000"/>
              </w:rPr>
              <w:t>3.0</w:t>
            </w:r>
            <w:r>
              <w:rPr>
                <w:color w:val="000000"/>
              </w:rPr>
              <w:tab/>
              <w:t>Emotional Intelligence and why Managers behave the way they do</w:t>
            </w:r>
            <w:r>
              <w:rPr>
                <w:color w:val="000000"/>
              </w:rPr>
              <w:tab/>
              <w:t>5</w:t>
            </w:r>
          </w:hyperlink>
        </w:p>
        <w:p w14:paraId="58C1718A" w14:textId="77777777" w:rsidR="009173CF" w:rsidRDefault="00D90823">
          <w:pPr>
            <w:pBdr>
              <w:top w:val="nil"/>
              <w:left w:val="nil"/>
              <w:bottom w:val="nil"/>
              <w:right w:val="nil"/>
              <w:between w:val="nil"/>
            </w:pBdr>
            <w:tabs>
              <w:tab w:val="left" w:pos="960"/>
              <w:tab w:val="right" w:leader="dot" w:pos="9016"/>
            </w:tabs>
            <w:spacing w:after="100"/>
            <w:ind w:left="240"/>
            <w:rPr>
              <w:color w:val="000000"/>
            </w:rPr>
          </w:pPr>
          <w:hyperlink w:anchor="_heading=h.mczssdgd6scc">
            <w:r>
              <w:rPr>
                <w:color w:val="000000"/>
              </w:rPr>
              <w:t>4.0</w:t>
            </w:r>
            <w:r>
              <w:rPr>
                <w:color w:val="000000"/>
              </w:rPr>
              <w:tab/>
              <w:t>EI Workplace Development</w:t>
            </w:r>
            <w:r>
              <w:rPr>
                <w:color w:val="000000"/>
              </w:rPr>
              <w:tab/>
              <w:t>7</w:t>
            </w:r>
          </w:hyperlink>
        </w:p>
        <w:p w14:paraId="102DA42F" w14:textId="77777777" w:rsidR="009173CF" w:rsidRDefault="00D90823">
          <w:pPr>
            <w:pBdr>
              <w:top w:val="nil"/>
              <w:left w:val="nil"/>
              <w:bottom w:val="nil"/>
              <w:right w:val="nil"/>
              <w:between w:val="nil"/>
            </w:pBdr>
            <w:tabs>
              <w:tab w:val="left" w:pos="960"/>
              <w:tab w:val="right" w:leader="dot" w:pos="9016"/>
            </w:tabs>
            <w:spacing w:after="100"/>
            <w:ind w:left="240"/>
            <w:rPr>
              <w:color w:val="000000"/>
            </w:rPr>
          </w:pPr>
          <w:hyperlink w:anchor="_heading=h.pibcek44tz3h">
            <w:r>
              <w:rPr>
                <w:color w:val="000000"/>
              </w:rPr>
              <w:t>5.0</w:t>
            </w:r>
            <w:r>
              <w:rPr>
                <w:color w:val="000000"/>
              </w:rPr>
              <w:tab/>
              <w:t>EI and Business performance in an Aesthetic salon.</w:t>
            </w:r>
            <w:r>
              <w:rPr>
                <w:color w:val="000000"/>
              </w:rPr>
              <w:tab/>
              <w:t>8</w:t>
            </w:r>
          </w:hyperlink>
        </w:p>
        <w:p w14:paraId="42006BE0" w14:textId="77777777" w:rsidR="009173CF" w:rsidRDefault="00D90823">
          <w:pPr>
            <w:pBdr>
              <w:top w:val="nil"/>
              <w:left w:val="nil"/>
              <w:bottom w:val="nil"/>
              <w:right w:val="nil"/>
              <w:between w:val="nil"/>
            </w:pBdr>
            <w:tabs>
              <w:tab w:val="left" w:pos="960"/>
              <w:tab w:val="right" w:leader="dot" w:pos="9016"/>
            </w:tabs>
            <w:spacing w:after="100"/>
            <w:ind w:left="240"/>
            <w:rPr>
              <w:color w:val="000000"/>
            </w:rPr>
          </w:pPr>
          <w:hyperlink w:anchor="_heading=h.6wtqzvw8x2l">
            <w:r>
              <w:rPr>
                <w:color w:val="000000"/>
              </w:rPr>
              <w:t>6.0</w:t>
            </w:r>
            <w:r>
              <w:rPr>
                <w:color w:val="000000"/>
              </w:rPr>
              <w:tab/>
              <w:t>Societal Change, Megatrends and the need for Emotional Intelligent Leaders</w:t>
            </w:r>
            <w:r>
              <w:rPr>
                <w:color w:val="000000"/>
              </w:rPr>
              <w:tab/>
              <w:t>10</w:t>
            </w:r>
          </w:hyperlink>
        </w:p>
        <w:p w14:paraId="2537512F" w14:textId="77777777" w:rsidR="009173CF" w:rsidRDefault="00D90823">
          <w:pPr>
            <w:pBdr>
              <w:top w:val="nil"/>
              <w:left w:val="nil"/>
              <w:bottom w:val="nil"/>
              <w:right w:val="nil"/>
              <w:between w:val="nil"/>
            </w:pBdr>
            <w:tabs>
              <w:tab w:val="left" w:pos="960"/>
              <w:tab w:val="right" w:leader="dot" w:pos="9016"/>
            </w:tabs>
            <w:spacing w:after="100"/>
            <w:ind w:left="240"/>
            <w:rPr>
              <w:color w:val="000000"/>
            </w:rPr>
          </w:pPr>
          <w:hyperlink w:anchor="_heading=h.hghtxw3i0pkz">
            <w:r>
              <w:rPr>
                <w:color w:val="000000"/>
              </w:rPr>
              <w:t>7.0</w:t>
            </w:r>
            <w:r>
              <w:rPr>
                <w:color w:val="000000"/>
              </w:rPr>
              <w:tab/>
              <w:t>Mindfulness: definition, theories and relationship with EI</w:t>
            </w:r>
            <w:r>
              <w:rPr>
                <w:color w:val="000000"/>
              </w:rPr>
              <w:tab/>
              <w:t>11</w:t>
            </w:r>
          </w:hyperlink>
        </w:p>
        <w:p w14:paraId="563245A0" w14:textId="77777777" w:rsidR="009173CF" w:rsidRDefault="00D90823">
          <w:pPr>
            <w:pBdr>
              <w:top w:val="nil"/>
              <w:left w:val="nil"/>
              <w:bottom w:val="nil"/>
              <w:right w:val="nil"/>
              <w:between w:val="nil"/>
            </w:pBdr>
            <w:tabs>
              <w:tab w:val="left" w:pos="960"/>
              <w:tab w:val="right" w:leader="dot" w:pos="9016"/>
            </w:tabs>
            <w:spacing w:after="100"/>
            <w:ind w:left="240"/>
            <w:rPr>
              <w:color w:val="000000"/>
            </w:rPr>
          </w:pPr>
          <w:hyperlink w:anchor="_heading=h.k8b8gtcirnc3">
            <w:r>
              <w:rPr>
                <w:color w:val="000000"/>
              </w:rPr>
              <w:t>8.0</w:t>
            </w:r>
            <w:r>
              <w:rPr>
                <w:color w:val="000000"/>
              </w:rPr>
              <w:tab/>
              <w:t xml:space="preserve">Review of </w:t>
            </w:r>
          </w:hyperlink>
          <w:r>
            <w:fldChar w:fldCharType="begin"/>
          </w:r>
          <w:r>
            <w:instrText xml:space="preserve"> PAGEREF _heading=h.k8b8gtcirnc3 \h </w:instrText>
          </w:r>
          <w:r>
            <w:fldChar w:fldCharType="separate"/>
          </w:r>
          <w:r>
            <w:t>Emotions</w:t>
          </w:r>
          <w:r>
            <w:rPr>
              <w:color w:val="000000"/>
            </w:rPr>
            <w:t xml:space="preserve"> and workplace performance</w:t>
          </w:r>
          <w:r>
            <w:rPr>
              <w:color w:val="000000"/>
            </w:rPr>
            <w:tab/>
            <w:t>13</w:t>
          </w:r>
          <w:r>
            <w:fldChar w:fldCharType="end"/>
          </w:r>
        </w:p>
        <w:p w14:paraId="61A5E4E3" w14:textId="77777777" w:rsidR="009173CF" w:rsidRDefault="00D90823">
          <w:pPr>
            <w:pBdr>
              <w:top w:val="nil"/>
              <w:left w:val="nil"/>
              <w:bottom w:val="nil"/>
              <w:right w:val="nil"/>
              <w:between w:val="nil"/>
            </w:pBdr>
            <w:tabs>
              <w:tab w:val="left" w:pos="960"/>
              <w:tab w:val="right" w:leader="dot" w:pos="9016"/>
            </w:tabs>
            <w:spacing w:after="100"/>
            <w:ind w:left="240"/>
            <w:rPr>
              <w:color w:val="000000"/>
            </w:rPr>
          </w:pPr>
          <w:hyperlink w:anchor="_heading=h.o4v9kgdjijw2">
            <w:r>
              <w:rPr>
                <w:color w:val="000000"/>
              </w:rPr>
              <w:t>9.0</w:t>
            </w:r>
            <w:r>
              <w:rPr>
                <w:color w:val="000000"/>
              </w:rPr>
              <w:tab/>
              <w:t>Organisational evidence: Transport for London and critical analysis</w:t>
            </w:r>
            <w:r>
              <w:rPr>
                <w:color w:val="000000"/>
              </w:rPr>
              <w:tab/>
              <w:t>14</w:t>
            </w:r>
          </w:hyperlink>
        </w:p>
        <w:p w14:paraId="344AC988" w14:textId="77777777" w:rsidR="009173CF" w:rsidRDefault="00D90823">
          <w:pPr>
            <w:pBdr>
              <w:top w:val="nil"/>
              <w:left w:val="nil"/>
              <w:bottom w:val="nil"/>
              <w:right w:val="nil"/>
              <w:between w:val="nil"/>
            </w:pBdr>
            <w:tabs>
              <w:tab w:val="left" w:pos="1200"/>
              <w:tab w:val="right" w:leader="dot" w:pos="9016"/>
            </w:tabs>
            <w:spacing w:after="100"/>
            <w:ind w:left="240"/>
            <w:rPr>
              <w:color w:val="000000"/>
            </w:rPr>
          </w:pPr>
          <w:hyperlink w:anchor="_heading=h.pyv3jdh2u65l">
            <w:r>
              <w:rPr>
                <w:color w:val="000000"/>
              </w:rPr>
              <w:t xml:space="preserve">10.0 </w:t>
            </w:r>
            <w:r>
              <w:rPr>
                <w:color w:val="000000"/>
              </w:rPr>
              <w:tab/>
              <w:t>Recommendations</w:t>
            </w:r>
            <w:r>
              <w:rPr>
                <w:color w:val="000000"/>
              </w:rPr>
              <w:tab/>
              <w:t>14</w:t>
            </w:r>
          </w:hyperlink>
        </w:p>
        <w:p w14:paraId="342243EB" w14:textId="77777777" w:rsidR="009173CF" w:rsidRDefault="00D90823">
          <w:pPr>
            <w:pBdr>
              <w:top w:val="nil"/>
              <w:left w:val="nil"/>
              <w:bottom w:val="nil"/>
              <w:right w:val="nil"/>
              <w:between w:val="nil"/>
            </w:pBdr>
            <w:tabs>
              <w:tab w:val="left" w:pos="1200"/>
              <w:tab w:val="right" w:leader="dot" w:pos="9016"/>
            </w:tabs>
            <w:spacing w:after="100"/>
            <w:ind w:left="240"/>
            <w:rPr>
              <w:color w:val="000000"/>
            </w:rPr>
          </w:pPr>
          <w:hyperlink w:anchor="_heading=h.b41xdmhc2bz1">
            <w:r>
              <w:rPr>
                <w:color w:val="000000"/>
              </w:rPr>
              <w:t xml:space="preserve">11.0 </w:t>
            </w:r>
            <w:r>
              <w:rPr>
                <w:color w:val="000000"/>
              </w:rPr>
              <w:tab/>
              <w:t>Conclusion</w:t>
            </w:r>
            <w:r>
              <w:rPr>
                <w:color w:val="000000"/>
              </w:rPr>
              <w:tab/>
              <w:t>15</w:t>
            </w:r>
          </w:hyperlink>
        </w:p>
        <w:p w14:paraId="21945C39" w14:textId="77777777" w:rsidR="009173CF" w:rsidRDefault="00D90823">
          <w:pPr>
            <w:pBdr>
              <w:top w:val="nil"/>
              <w:left w:val="nil"/>
              <w:bottom w:val="nil"/>
              <w:right w:val="nil"/>
              <w:between w:val="nil"/>
            </w:pBdr>
            <w:tabs>
              <w:tab w:val="right" w:leader="dot" w:pos="9016"/>
            </w:tabs>
            <w:spacing w:after="100"/>
            <w:ind w:left="240"/>
            <w:rPr>
              <w:color w:val="000000"/>
            </w:rPr>
          </w:pPr>
          <w:hyperlink w:anchor="_heading=h.sxsu805slrx6">
            <w:r>
              <w:rPr>
                <w:color w:val="000000"/>
              </w:rPr>
              <w:t>References</w:t>
            </w:r>
            <w:r>
              <w:rPr>
                <w:color w:val="000000"/>
              </w:rPr>
              <w:tab/>
              <w:t>15</w:t>
            </w:r>
          </w:hyperlink>
        </w:p>
        <w:p w14:paraId="53A2C5FB" w14:textId="77777777" w:rsidR="009173CF" w:rsidRDefault="00D90823">
          <w:r>
            <w:fldChar w:fldCharType="end"/>
          </w:r>
        </w:p>
      </w:sdtContent>
    </w:sdt>
    <w:p w14:paraId="26920EC5" w14:textId="77777777" w:rsidR="009173CF" w:rsidRDefault="009173CF"/>
    <w:p w14:paraId="4C4D5436" w14:textId="77777777" w:rsidR="009173CF" w:rsidRDefault="009173CF"/>
    <w:p w14:paraId="4DA481BE" w14:textId="77777777" w:rsidR="009173CF" w:rsidRDefault="009173CF"/>
    <w:p w14:paraId="3B1245F8" w14:textId="77777777" w:rsidR="009173CF" w:rsidRDefault="009173CF"/>
    <w:p w14:paraId="4712FCCE" w14:textId="77777777" w:rsidR="009173CF" w:rsidRDefault="009173CF"/>
    <w:p w14:paraId="3E795024" w14:textId="77777777" w:rsidR="009173CF" w:rsidRDefault="009173CF"/>
    <w:p w14:paraId="4F043EBB" w14:textId="77777777" w:rsidR="009173CF" w:rsidRDefault="009173CF"/>
    <w:p w14:paraId="70E77AFA" w14:textId="77777777" w:rsidR="009173CF" w:rsidRDefault="009173CF"/>
    <w:p w14:paraId="7B65AA00" w14:textId="77777777" w:rsidR="009173CF" w:rsidRDefault="009173CF"/>
    <w:p w14:paraId="0637B279" w14:textId="77777777" w:rsidR="009173CF" w:rsidRDefault="009173CF"/>
    <w:p w14:paraId="21C671CC" w14:textId="77777777" w:rsidR="009173CF" w:rsidRDefault="009173CF"/>
    <w:p w14:paraId="55086E88" w14:textId="77777777" w:rsidR="009173CF" w:rsidRDefault="009173CF"/>
    <w:p w14:paraId="3F8545ED" w14:textId="77777777" w:rsidR="009173CF" w:rsidRDefault="009173CF"/>
    <w:p w14:paraId="76D86BDD" w14:textId="77777777" w:rsidR="009173CF" w:rsidRDefault="00D90823">
      <w:pPr>
        <w:pStyle w:val="Heading1"/>
        <w:jc w:val="center"/>
      </w:pPr>
      <w:bookmarkStart w:id="0" w:name="_heading=h.g7hqe6pwodah" w:colFirst="0" w:colLast="0"/>
      <w:bookmarkEnd w:id="0"/>
      <w:r>
        <w:lastRenderedPageBreak/>
        <w:t>Emotional Intelligence</w:t>
      </w:r>
    </w:p>
    <w:p w14:paraId="67AEE429" w14:textId="77777777" w:rsidR="009173CF" w:rsidRDefault="00D90823">
      <w:pPr>
        <w:pStyle w:val="Heading2"/>
        <w:spacing w:line="360" w:lineRule="auto"/>
        <w:ind w:firstLine="720"/>
      </w:pPr>
      <w:bookmarkStart w:id="1" w:name="_heading=h.fr2pmm5nck8i" w:colFirst="0" w:colLast="0"/>
      <w:bookmarkEnd w:id="1"/>
      <w:r>
        <w:t xml:space="preserve">1.0 </w:t>
      </w:r>
      <w:r>
        <w:tab/>
        <w:t>Introduction</w:t>
      </w:r>
    </w:p>
    <w:p w14:paraId="3B73E1DF" w14:textId="77777777" w:rsidR="009173CF" w:rsidRDefault="00D90823">
      <w:pPr>
        <w:spacing w:line="360" w:lineRule="auto"/>
        <w:jc w:val="both"/>
      </w:pPr>
      <w:r>
        <w:t>Emotional intelligence (EI) has become a relevant subject in the workplace because skills on its own do not provide effective leadership, employee development or customer retention. In an aesthetic salon, treatments are intimate and can create the feeling of being anxious and heavily depend on trust; therefore, emotional signals from the practitioner can influence the clients feeling of safety and might affect retention. EI can be defined as the ability to see, understand and manage the emotions in the work</w:t>
      </w:r>
      <w:r>
        <w:t>place (Mayer et al., 2016). This definition is useful because it treats emotions as information rather than weakness, but recent reviews still show differences to whether EI is understood as traits or learned through experiences (Coronado-Maldonado &amp; Benitez-Marquez, 2023).</w:t>
      </w:r>
    </w:p>
    <w:p w14:paraId="67ACEDD8" w14:textId="77777777" w:rsidR="009173CF" w:rsidRDefault="00D90823">
      <w:pPr>
        <w:spacing w:line="360" w:lineRule="auto"/>
        <w:jc w:val="both"/>
      </w:pPr>
      <w:r>
        <w:t>Workplace achievement is based on staff development; organisations offer or have skills and the behaviours needed for improved performance. Staff supply and demand is how CIPD (2025) defines workforce planning, identifying business performance and implementing solutions to meet strategic goals, which is where learning and development is similarly described as the way businesses develop staff capabilities, skills and competencies. In a small salon, its staff development has a small, if any, HR department, so</w:t>
      </w:r>
      <w:r>
        <w:t xml:space="preserve"> its daily coaching, competency standards, calm feedback and safe practice aim to develop employees to be able to deal with clients professionally on their own. </w:t>
      </w:r>
    </w:p>
    <w:p w14:paraId="702D5C65" w14:textId="77777777" w:rsidR="009173CF" w:rsidRDefault="00D90823">
      <w:pPr>
        <w:spacing w:line="360" w:lineRule="auto"/>
        <w:jc w:val="both"/>
      </w:pPr>
      <w:r>
        <w:t xml:space="preserve">This assignment aims to evaluate EI theories and link them to organisational development and business performance, looking at EI, mindfulness and affects to review emotions that affect workplace performance in an aesthetic salon. It also incorporates societal change, individualism, demographic change, well-being expectations and customer personalisation, as these megatrends increase the need for emotionally intelligent leadership (World Economic Forum, 2025; OECD, 2025). </w:t>
      </w:r>
    </w:p>
    <w:p w14:paraId="173E823C" w14:textId="77777777" w:rsidR="009173CF" w:rsidRDefault="00D90823">
      <w:pPr>
        <w:pStyle w:val="Heading2"/>
        <w:numPr>
          <w:ilvl w:val="0"/>
          <w:numId w:val="2"/>
        </w:numPr>
        <w:spacing w:line="360" w:lineRule="auto"/>
      </w:pPr>
      <w:bookmarkStart w:id="2" w:name="_heading=h.sgz6t3gowtoz" w:colFirst="0" w:colLast="0"/>
      <w:bookmarkEnd w:id="2"/>
      <w:r>
        <w:lastRenderedPageBreak/>
        <w:t>Concepts and history of Emotional Intelligence</w:t>
      </w:r>
    </w:p>
    <w:p w14:paraId="5416EEDE" w14:textId="77777777" w:rsidR="009173CF" w:rsidRDefault="00D90823">
      <w:pPr>
        <w:spacing w:line="360" w:lineRule="auto"/>
        <w:jc w:val="both"/>
      </w:pPr>
      <w:r>
        <w:t xml:space="preserve">Although emotion and reason have historically been different, modern EI theory challenges ideas of good management. Goleman and Cherniss (2024) popularised the concept of EI in leadership by arguing that self-awareness, self-regulation, motivation and Empathy falls under social influence at work. Bar-On developed an emotional social intelligence model, measured through the EQI, and Petrides positioned trait EI as emotional self-perceptions within personality (Bar-On, 2006; Petrides </w:t>
      </w:r>
      <w:r>
        <w:rPr>
          <w:i/>
          <w:iCs/>
        </w:rPr>
        <w:t>et al</w:t>
      </w:r>
      <w:r>
        <w:t xml:space="preserve">., 2007). Current reviews continue to separate ability, trait and mixed EI streams, which is important because each stream makes different claims about assessment, development and performance impacts (Coronado-Maldonado &amp; Benitez-Marquez, 2023; Powell </w:t>
      </w:r>
      <w:r>
        <w:rPr>
          <w:i/>
          <w:iCs/>
        </w:rPr>
        <w:t>et al.,</w:t>
      </w:r>
      <w:r>
        <w:t xml:space="preserve"> 2024). </w:t>
      </w:r>
    </w:p>
    <w:p w14:paraId="0ED6A7E6" w14:textId="77777777" w:rsidR="009173CF" w:rsidRDefault="00D90823">
      <w:pPr>
        <w:spacing w:line="360" w:lineRule="auto"/>
        <w:jc w:val="both"/>
      </w:pPr>
      <w:r>
        <w:t xml:space="preserve">The history is important because each model leads to different management decisions, such as if EI is an ability, then assessment should evaluate emotional reasoning. If EI is a trait, it could be seen as more stable and linked to personality; however, if EI is a competency, then it could be coached through feedback and reflection. For a salon owner, this difference can be practical, as the practitioner may be able to understand if a client is anxious but still fail to regulate their tone. Another example: </w:t>
      </w:r>
      <w:r>
        <w:t xml:space="preserve">should the practitioner be warm with their clients but avoid difficult feedback with colleagues? Therefore, the most useful approach is not to choose one model but to apply the model that fits the problem in real-time. The table below demonstrates this. </w:t>
      </w:r>
    </w:p>
    <w:p w14:paraId="5BF3CF96" w14:textId="77777777" w:rsidR="009173CF" w:rsidRDefault="00D90823">
      <w:pPr>
        <w:spacing w:line="360" w:lineRule="auto"/>
        <w:rPr>
          <w:i/>
          <w:iCs/>
        </w:rPr>
      </w:pPr>
      <w:r>
        <w:rPr>
          <w:b/>
          <w:bCs/>
        </w:rPr>
        <w:t>Table 1</w:t>
      </w:r>
      <w:r>
        <w:t xml:space="preserve">. </w:t>
      </w:r>
      <w:r>
        <w:rPr>
          <w:i/>
          <w:iCs/>
        </w:rPr>
        <w:t xml:space="preserve">Critical comparison of Emotional Intelligence Models </w:t>
      </w:r>
    </w:p>
    <w:tbl>
      <w:tblPr>
        <w:tblStyle w:val="a0"/>
        <w:tblW w:w="9016" w:type="dxa"/>
        <w:tblInd w:w="0" w:type="dxa"/>
        <w:tblLayout w:type="fixed"/>
        <w:tblLook w:val="0000" w:firstRow="0" w:lastRow="0" w:firstColumn="0" w:lastColumn="0" w:noHBand="0" w:noVBand="0"/>
      </w:tblPr>
      <w:tblGrid>
        <w:gridCol w:w="3005"/>
        <w:gridCol w:w="3005"/>
        <w:gridCol w:w="3006"/>
      </w:tblGrid>
      <w:tr w:rsidR="009173CF" w14:paraId="187AE980" w14:textId="77777777">
        <w:tc>
          <w:tcPr>
            <w:tcW w:w="3005" w:type="dxa"/>
            <w:tcBorders>
              <w:top w:val="single" w:sz="4" w:space="0" w:color="000000"/>
              <w:left w:val="single" w:sz="4" w:space="0" w:color="000000"/>
              <w:bottom w:val="single" w:sz="4" w:space="0" w:color="000000"/>
              <w:right w:val="single" w:sz="4" w:space="0" w:color="000000"/>
            </w:tcBorders>
            <w:shd w:val="clear" w:color="auto" w:fill="D4D4D4"/>
            <w:tcMar>
              <w:top w:w="0" w:type="dxa"/>
              <w:left w:w="108" w:type="dxa"/>
              <w:bottom w:w="0" w:type="dxa"/>
              <w:right w:w="108" w:type="dxa"/>
            </w:tcMar>
          </w:tcPr>
          <w:p w14:paraId="336F8DB4" w14:textId="77777777" w:rsidR="009173CF" w:rsidRDefault="00D90823">
            <w:pPr>
              <w:spacing w:after="0" w:line="360" w:lineRule="auto"/>
              <w:rPr>
                <w:b/>
                <w:bCs/>
              </w:rPr>
            </w:pPr>
            <w:r>
              <w:rPr>
                <w:b/>
                <w:bCs/>
              </w:rPr>
              <w:t xml:space="preserve">Model Theorist </w:t>
            </w:r>
          </w:p>
        </w:tc>
        <w:tc>
          <w:tcPr>
            <w:tcW w:w="3005" w:type="dxa"/>
            <w:tcBorders>
              <w:top w:val="single" w:sz="4" w:space="0" w:color="000000"/>
              <w:left w:val="single" w:sz="4" w:space="0" w:color="000000"/>
              <w:bottom w:val="single" w:sz="4" w:space="0" w:color="000000"/>
              <w:right w:val="single" w:sz="4" w:space="0" w:color="000000"/>
            </w:tcBorders>
            <w:shd w:val="clear" w:color="auto" w:fill="D4D4D4"/>
            <w:tcMar>
              <w:top w:w="0" w:type="dxa"/>
              <w:left w:w="108" w:type="dxa"/>
              <w:bottom w:w="0" w:type="dxa"/>
              <w:right w:w="108" w:type="dxa"/>
            </w:tcMar>
          </w:tcPr>
          <w:p w14:paraId="599BEE8F" w14:textId="77777777" w:rsidR="009173CF" w:rsidRDefault="00D90823">
            <w:pPr>
              <w:spacing w:after="0" w:line="360" w:lineRule="auto"/>
              <w:rPr>
                <w:b/>
                <w:bCs/>
              </w:rPr>
            </w:pPr>
            <w:r>
              <w:rPr>
                <w:b/>
                <w:bCs/>
              </w:rPr>
              <w:t xml:space="preserve">Main Idea </w:t>
            </w:r>
          </w:p>
        </w:tc>
        <w:tc>
          <w:tcPr>
            <w:tcW w:w="3006" w:type="dxa"/>
            <w:tcBorders>
              <w:top w:val="single" w:sz="4" w:space="0" w:color="000000"/>
              <w:left w:val="single" w:sz="4" w:space="0" w:color="000000"/>
              <w:bottom w:val="single" w:sz="4" w:space="0" w:color="000000"/>
              <w:right w:val="single" w:sz="4" w:space="0" w:color="000000"/>
            </w:tcBorders>
            <w:shd w:val="clear" w:color="auto" w:fill="D4D4D4"/>
            <w:tcMar>
              <w:top w:w="0" w:type="dxa"/>
              <w:left w:w="108" w:type="dxa"/>
              <w:bottom w:w="0" w:type="dxa"/>
              <w:right w:w="108" w:type="dxa"/>
            </w:tcMar>
          </w:tcPr>
          <w:p w14:paraId="4E1BB851" w14:textId="77777777" w:rsidR="009173CF" w:rsidRDefault="00D90823">
            <w:pPr>
              <w:spacing w:after="0" w:line="360" w:lineRule="auto"/>
              <w:rPr>
                <w:b/>
                <w:bCs/>
              </w:rPr>
            </w:pPr>
            <w:r>
              <w:rPr>
                <w:b/>
                <w:bCs/>
              </w:rPr>
              <w:t xml:space="preserve">Critical evaluation </w:t>
            </w:r>
          </w:p>
        </w:tc>
      </w:tr>
      <w:tr w:rsidR="009173CF" w14:paraId="308DECFE"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5C8075" w14:textId="77777777" w:rsidR="009173CF" w:rsidRDefault="00D90823">
            <w:pPr>
              <w:spacing w:after="0" w:line="360" w:lineRule="auto"/>
              <w:rPr>
                <w:sz w:val="20"/>
                <w:szCs w:val="20"/>
              </w:rPr>
            </w:pPr>
            <w:r>
              <w:rPr>
                <w:sz w:val="20"/>
                <w:szCs w:val="20"/>
              </w:rPr>
              <w:t>Mayer, Salovey and Caruso: four-branch ability model (2016)</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DB8E1BD" w14:textId="77777777" w:rsidR="009173CF" w:rsidRDefault="00D90823">
            <w:pPr>
              <w:spacing w:after="0" w:line="360" w:lineRule="auto"/>
              <w:rPr>
                <w:sz w:val="20"/>
                <w:szCs w:val="20"/>
              </w:rPr>
            </w:pPr>
            <w:r>
              <w:rPr>
                <w:sz w:val="20"/>
                <w:szCs w:val="20"/>
              </w:rPr>
              <w:t xml:space="preserve">EI is the ability to see emotions to facilitate thinking, understand emotional meaning and manage emotion. </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8B91CAD" w14:textId="77777777" w:rsidR="009173CF" w:rsidRDefault="00D90823">
            <w:pPr>
              <w:spacing w:after="0" w:line="360" w:lineRule="auto"/>
              <w:rPr>
                <w:sz w:val="20"/>
                <w:szCs w:val="20"/>
              </w:rPr>
            </w:pPr>
            <w:r>
              <w:rPr>
                <w:sz w:val="20"/>
                <w:szCs w:val="20"/>
              </w:rPr>
              <w:t xml:space="preserve">Shows strong academics because it treats EI as mental ability and separates EI from personality. Less easy to apply daily unless translated into behaviours. Useful in consultations: being able to identify fear within clients and understanding it; being able to </w:t>
            </w:r>
            <w:r>
              <w:rPr>
                <w:sz w:val="20"/>
                <w:szCs w:val="20"/>
              </w:rPr>
              <w:lastRenderedPageBreak/>
              <w:t xml:space="preserve">explain clearly and calmly the risks. </w:t>
            </w:r>
          </w:p>
        </w:tc>
      </w:tr>
      <w:tr w:rsidR="009173CF" w14:paraId="171C5058"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C9A570" w14:textId="77777777" w:rsidR="009173CF" w:rsidRDefault="00D90823">
            <w:pPr>
              <w:spacing w:after="0" w:line="360" w:lineRule="auto"/>
              <w:rPr>
                <w:sz w:val="20"/>
                <w:szCs w:val="20"/>
              </w:rPr>
            </w:pPr>
            <w:r>
              <w:rPr>
                <w:sz w:val="20"/>
                <w:szCs w:val="20"/>
              </w:rPr>
              <w:lastRenderedPageBreak/>
              <w:t xml:space="preserve">Goleman: Five components and competency model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DC9960" w14:textId="77777777" w:rsidR="009173CF" w:rsidRDefault="00D90823">
            <w:pPr>
              <w:spacing w:after="0" w:line="360" w:lineRule="auto"/>
              <w:rPr>
                <w:sz w:val="20"/>
                <w:szCs w:val="20"/>
              </w:rPr>
            </w:pPr>
            <w:r>
              <w:rPr>
                <w:sz w:val="20"/>
                <w:szCs w:val="20"/>
              </w:rPr>
              <w:t>EI is expressed through self-awareness, self-management, social awareness and relationship management.</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F4A9A0" w14:textId="77777777" w:rsidR="009173CF" w:rsidRDefault="00D90823">
            <w:pPr>
              <w:spacing w:after="0" w:line="360" w:lineRule="auto"/>
              <w:rPr>
                <w:sz w:val="20"/>
                <w:szCs w:val="20"/>
              </w:rPr>
            </w:pPr>
            <w:r>
              <w:rPr>
                <w:sz w:val="20"/>
                <w:szCs w:val="20"/>
              </w:rPr>
              <w:t xml:space="preserve">Very practical for leadership and workplace development because it turns EI into trainable workplace behaviours. Criticism is that Mixed competency models can become too broad and overlap with personality or leadership style. Best fit for the salon because it supports feedback, client care and team standards. </w:t>
            </w:r>
          </w:p>
        </w:tc>
      </w:tr>
      <w:tr w:rsidR="009173CF" w14:paraId="32FCFCAE"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430521" w14:textId="77777777" w:rsidR="009173CF" w:rsidRDefault="00D90823">
            <w:pPr>
              <w:spacing w:after="0" w:line="360" w:lineRule="auto"/>
              <w:rPr>
                <w:sz w:val="20"/>
                <w:szCs w:val="20"/>
              </w:rPr>
            </w:pPr>
            <w:r>
              <w:rPr>
                <w:sz w:val="20"/>
                <w:szCs w:val="20"/>
              </w:rPr>
              <w:t>Bar-On: emotional-social intelligence model</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288F92" w14:textId="77777777" w:rsidR="009173CF" w:rsidRDefault="00D90823">
            <w:pPr>
              <w:spacing w:after="0" w:line="360" w:lineRule="auto"/>
              <w:rPr>
                <w:sz w:val="20"/>
                <w:szCs w:val="20"/>
              </w:rPr>
            </w:pPr>
            <w:r>
              <w:rPr>
                <w:sz w:val="20"/>
                <w:szCs w:val="20"/>
              </w:rPr>
              <w:t xml:space="preserve">EI is a set of emotional and social skills influencing coping, relationships, decision-making and well-being. </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187994" w14:textId="77777777" w:rsidR="009173CF" w:rsidRDefault="00D90823">
            <w:pPr>
              <w:spacing w:after="0" w:line="360" w:lineRule="auto"/>
              <w:rPr>
                <w:sz w:val="20"/>
                <w:szCs w:val="20"/>
              </w:rPr>
            </w:pPr>
            <w:r>
              <w:rPr>
                <w:sz w:val="20"/>
                <w:szCs w:val="20"/>
              </w:rPr>
              <w:t xml:space="preserve">This appears useful because it includes stress management and adaptability, which are important in high-pressure service settings. However, self-reflection tools can be biased, as people may rate themselves more favourably. </w:t>
            </w:r>
          </w:p>
        </w:tc>
      </w:tr>
      <w:tr w:rsidR="009173CF" w14:paraId="7A01BD9B"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7677DA" w14:textId="77777777" w:rsidR="009173CF" w:rsidRDefault="00D90823">
            <w:pPr>
              <w:spacing w:after="0" w:line="360" w:lineRule="auto"/>
              <w:rPr>
                <w:sz w:val="20"/>
                <w:szCs w:val="20"/>
              </w:rPr>
            </w:pPr>
            <w:r>
              <w:rPr>
                <w:sz w:val="20"/>
                <w:szCs w:val="20"/>
              </w:rPr>
              <w:t>Petrides: Trait EI</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E0BB78" w14:textId="77777777" w:rsidR="009173CF" w:rsidRDefault="00D90823">
            <w:pPr>
              <w:spacing w:after="0" w:line="360" w:lineRule="auto"/>
              <w:rPr>
                <w:sz w:val="20"/>
                <w:szCs w:val="20"/>
              </w:rPr>
            </w:pPr>
            <w:r>
              <w:rPr>
                <w:sz w:val="20"/>
                <w:szCs w:val="20"/>
              </w:rPr>
              <w:t xml:space="preserve">EI is an emotional self-efficiency located within personality. </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8492D4" w14:textId="77777777" w:rsidR="009173CF" w:rsidRDefault="00D90823">
            <w:pPr>
              <w:spacing w:after="0" w:line="360" w:lineRule="auto"/>
              <w:rPr>
                <w:sz w:val="20"/>
                <w:szCs w:val="20"/>
              </w:rPr>
            </w:pPr>
            <w:r>
              <w:rPr>
                <w:sz w:val="20"/>
                <w:szCs w:val="20"/>
              </w:rPr>
              <w:t xml:space="preserve">This may be good for understanding why employees differ in confidence, resilience and emotional expression. It is less useful as a direct training tool, as it may review more stable traits. </w:t>
            </w:r>
          </w:p>
        </w:tc>
      </w:tr>
      <w:tr w:rsidR="009173CF" w14:paraId="11CEB9BF"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FD3E769" w14:textId="77777777" w:rsidR="009173CF" w:rsidRDefault="00D90823">
            <w:pPr>
              <w:spacing w:after="0" w:line="360" w:lineRule="auto"/>
              <w:rPr>
                <w:sz w:val="20"/>
                <w:szCs w:val="20"/>
              </w:rPr>
            </w:pPr>
            <w:r>
              <w:rPr>
                <w:sz w:val="20"/>
                <w:szCs w:val="20"/>
              </w:rPr>
              <w:t xml:space="preserve">Plutchik's wheel of emotions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61639C" w14:textId="77777777" w:rsidR="009173CF" w:rsidRDefault="00D90823">
            <w:pPr>
              <w:spacing w:after="0" w:line="360" w:lineRule="auto"/>
              <w:rPr>
                <w:sz w:val="20"/>
                <w:szCs w:val="20"/>
              </w:rPr>
            </w:pPr>
            <w:r>
              <w:rPr>
                <w:sz w:val="20"/>
                <w:szCs w:val="20"/>
              </w:rPr>
              <w:t xml:space="preserve">Eight primary emotions combine and vary in intensity. </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3747EB" w14:textId="77777777" w:rsidR="009173CF" w:rsidRDefault="00D90823">
            <w:pPr>
              <w:spacing w:after="0" w:line="360" w:lineRule="auto"/>
              <w:rPr>
                <w:sz w:val="20"/>
                <w:szCs w:val="20"/>
              </w:rPr>
            </w:pPr>
            <w:r>
              <w:rPr>
                <w:sz w:val="20"/>
                <w:szCs w:val="20"/>
              </w:rPr>
              <w:t xml:space="preserve">Not an EI model but useful for emotional literacy. It helps practitioners move beyond vague words such as 'stress' and identify anger, fear, and sadness, which improves communication and self-regulation. </w:t>
            </w:r>
          </w:p>
        </w:tc>
      </w:tr>
    </w:tbl>
    <w:p w14:paraId="42B890C7" w14:textId="77777777" w:rsidR="009173CF" w:rsidRDefault="009173CF">
      <w:pPr>
        <w:spacing w:line="360" w:lineRule="auto"/>
      </w:pPr>
    </w:p>
    <w:p w14:paraId="3D970B91" w14:textId="77777777" w:rsidR="009173CF" w:rsidRDefault="00D90823">
      <w:pPr>
        <w:spacing w:line="360" w:lineRule="auto"/>
      </w:pPr>
      <w:r>
        <w:rPr>
          <w:i/>
          <w:iCs/>
        </w:rPr>
        <w:lastRenderedPageBreak/>
        <w:t>Note.</w:t>
      </w:r>
      <w:r>
        <w:t xml:space="preserve"> Created by Keefe (2026).</w:t>
      </w:r>
    </w:p>
    <w:p w14:paraId="66A39B61" w14:textId="2EA895C6" w:rsidR="009173CF" w:rsidRDefault="00D90823">
      <w:pPr>
        <w:spacing w:line="360" w:lineRule="auto"/>
        <w:jc w:val="both"/>
      </w:pPr>
      <w:r>
        <w:t>Table 3 illustrates 5 different models used to compare the idea and critically evaluate its effect for the aesthetic salon, which identifies which model best fits the salon, such as Goleman, as it supports feedback, client care and team standards, compared to Plutchik, which only aims towards emotional literacy. Although this is beneficial for the manager and their employees, the main attraction would be to retain their current clientele, as this would be more cost-effective. Mayer proves useful for thoroug</w:t>
      </w:r>
      <w:r>
        <w:t xml:space="preserve">h consultations, which can be justified as future-proofing the client’s treatment; however, Bar-on included stress management, which has been documented as important for both staff and employees when running a business (Singh, 2025). When focusing on leadership, Goleman still demonstrates practical use being the favoured choice, covering more than one function; however, </w:t>
      </w:r>
      <w:r w:rsidR="000C60E9">
        <w:t>all models</w:t>
      </w:r>
      <w:r>
        <w:t xml:space="preserve"> would be useful, depending on the owner’s current situation and end goal. </w:t>
      </w:r>
    </w:p>
    <w:p w14:paraId="2D8CD30C" w14:textId="77777777" w:rsidR="009173CF" w:rsidRDefault="00D90823">
      <w:pPr>
        <w:pStyle w:val="Heading2"/>
        <w:numPr>
          <w:ilvl w:val="0"/>
          <w:numId w:val="3"/>
        </w:numPr>
        <w:spacing w:line="360" w:lineRule="auto"/>
      </w:pPr>
      <w:bookmarkStart w:id="3" w:name="_heading=h.1x3k67fclp7" w:colFirst="0" w:colLast="0"/>
      <w:bookmarkEnd w:id="3"/>
      <w:r>
        <w:t>Emotional Intelligence and why Managers behave the way they do</w:t>
      </w:r>
    </w:p>
    <w:p w14:paraId="0E89420A" w14:textId="77777777" w:rsidR="009173CF" w:rsidRDefault="00D90823">
      <w:pPr>
        <w:spacing w:line="360" w:lineRule="auto"/>
        <w:jc w:val="both"/>
      </w:pPr>
      <w:r>
        <w:t>Behaviour in the workplace is never useably random due to it being shaped by emotion; learning within the workplace, amongst other traits; power; values; pressure; and the manager's interpretation of the situation. Plutchik’s wheel (1980) is helpful because it shows one’s emotional levels, such as anger sitting opposite fear, trust opposite disgust and joy opposite sadness. In salon practice, a client challenging a price, questioning a result or complaining publicly online may trigger fear of reputational d</w:t>
      </w:r>
      <w:r>
        <w:t xml:space="preserve">amage, anger at unfairness as it appears, or embarrassment. If the manager does not name the emotion, the behaviour may become reactive. Without understanding the correct emotion, it can be triggered repeatedly and not addressed, such as being defensive, rather than accepting feedback, whether good or bad, and learning from it. Similarly for their employees, this can cause repeated behaviour issues and project incompetence, staff, therefore, resulting in clients leaving and seeking treatments elsewhere. </w:t>
      </w:r>
    </w:p>
    <w:p w14:paraId="42B72278" w14:textId="77777777" w:rsidR="009173CF" w:rsidRDefault="00D90823">
      <w:pPr>
        <w:spacing w:line="360" w:lineRule="auto"/>
        <w:jc w:val="both"/>
      </w:pPr>
      <w:r>
        <w:t xml:space="preserve">The physiology of performance helps explain that acute stress activates the sympathetic nervous system and HPA axis, which releases stress hormones and prepares the body for short-term action, which is useful because genuine danger can limit thinking and </w:t>
      </w:r>
      <w:r>
        <w:lastRenderedPageBreak/>
        <w:t xml:space="preserve">instant decisions (Chu </w:t>
      </w:r>
      <w:r>
        <w:rPr>
          <w:i/>
          <w:iCs/>
        </w:rPr>
        <w:t>et al</w:t>
      </w:r>
      <w:r>
        <w:t xml:space="preserve">., 2024; Sarmiento </w:t>
      </w:r>
      <w:r>
        <w:rPr>
          <w:i/>
          <w:iCs/>
        </w:rPr>
        <w:t>et al</w:t>
      </w:r>
      <w:r>
        <w:t>., 2024). The amygdala is the part of the brain that detects threats, while the prefrontal cortex supports flexible thinking and decision-making, and the insula is associated with interpretation and views body sensations. In a salon, the manager may feel put on the spot yet remain calm externally; however, they may feel they did not answer at their best, having little time to think about what they wish to say. It could be argued that a manager is able to m</w:t>
      </w:r>
      <w:r>
        <w:t xml:space="preserve">anage this stress level due to their competency within the role, such as having been a manager in the same role for over 3 years, then they may have great competency to deal with any situation; however, if they are new to their post, then they will learn to manage this as they progress in the role. Decision-making evidence supports this point by showing that acute stress can impair decision-making if the problem becomes more complex (Doroc </w:t>
      </w:r>
      <w:r>
        <w:rPr>
          <w:i/>
          <w:iCs/>
        </w:rPr>
        <w:t>et al.,</w:t>
      </w:r>
      <w:r>
        <w:t xml:space="preserve"> 2025).</w:t>
      </w:r>
    </w:p>
    <w:p w14:paraId="06B22F36" w14:textId="37D2F844" w:rsidR="009173CF" w:rsidRDefault="00D90823">
      <w:pPr>
        <w:spacing w:line="360" w:lineRule="auto"/>
        <w:jc w:val="both"/>
      </w:pPr>
      <w:r>
        <w:t>Transactional analysis may suggest that communication can come from a critical or nurturing parent, a rational adult, or an adapted, free child (</w:t>
      </w:r>
      <w:r w:rsidR="000C60E9">
        <w:t>Duncan</w:t>
      </w:r>
      <w:r>
        <w:t>, 19</w:t>
      </w:r>
      <w:r w:rsidR="000C60E9">
        <w:t>88</w:t>
      </w:r>
      <w:r>
        <w:t>). In a salon, a stern manager may look to unintentionally communicate from a critical parent when giving standards, which may cause employees to respond from an adapted child through silence or being defensive. Adult-to-adult communication is more effective because it looks at the facts, expectations and solutions, such as if the consultation notes are not completed correctly, then an offer of advice and support is given before the next client. This supports the salon's standards and the practitioner’s psy</w:t>
      </w:r>
      <w:r>
        <w:t xml:space="preserve">chological safety. </w:t>
      </w:r>
    </w:p>
    <w:p w14:paraId="7CC9E761" w14:textId="77777777" w:rsidR="009173CF" w:rsidRDefault="00D90823">
      <w:pPr>
        <w:spacing w:line="360" w:lineRule="auto"/>
        <w:jc w:val="both"/>
      </w:pPr>
      <w:r>
        <w:t xml:space="preserve">The drama triangle is also relevant: in a small team where the owner may become the rescuer by solving every client or staff issue, the employee may become the victim by saying they cannot manage difficult clients. The owner may then change to the persecutor when frustrated (Karpman, 1968). The empowerment dynamic reviews this as the creator, coach and challenger roles (Sara </w:t>
      </w:r>
      <w:r>
        <w:rPr>
          <w:i/>
          <w:iCs/>
        </w:rPr>
        <w:t>et al.,</w:t>
      </w:r>
      <w:r>
        <w:t xml:space="preserve"> 2023). This is important for workplace development, as rescuing staff might feel kind; however, long-term it can prevent individuals from developing in their role. Coaching questions might be useful to support them in developing confidence, rather than the owner taking over. Figure 1 demonstrates the emotion-to-performance pathway, highlighting which trigger can lead to emotion and how the body responds, creating behaviour and finally, performance. </w:t>
      </w:r>
    </w:p>
    <w:p w14:paraId="68BE805A" w14:textId="77777777" w:rsidR="009173CF" w:rsidRDefault="00D90823">
      <w:pPr>
        <w:spacing w:line="360" w:lineRule="auto"/>
      </w:pPr>
      <w:r>
        <w:rPr>
          <w:b/>
          <w:bCs/>
          <w:i/>
          <w:iCs/>
        </w:rPr>
        <w:t>Figure 1</w:t>
      </w:r>
      <w:r>
        <w:t>. Emotion-to-performance pathway</w:t>
      </w:r>
    </w:p>
    <w:p w14:paraId="6F4EF04F" w14:textId="77777777" w:rsidR="009173CF" w:rsidRDefault="00D90823">
      <w:pPr>
        <w:spacing w:line="360" w:lineRule="auto"/>
      </w:pPr>
      <w:r>
        <w:rPr>
          <w:noProof/>
        </w:rPr>
        <w:lastRenderedPageBreak/>
        <w:drawing>
          <wp:inline distT="0" distB="0" distL="0" distR="0" wp14:anchorId="39F322C6" wp14:editId="3F89D5CE">
            <wp:extent cx="5731514" cy="2444748"/>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514" cy="2444748"/>
                    </a:xfrm>
                    <a:prstGeom prst="rect">
                      <a:avLst/>
                    </a:prstGeom>
                    <a:ln/>
                  </pic:spPr>
                </pic:pic>
              </a:graphicData>
            </a:graphic>
          </wp:inline>
        </w:drawing>
      </w:r>
    </w:p>
    <w:p w14:paraId="4265EAF4" w14:textId="77777777" w:rsidR="009173CF" w:rsidRDefault="00D90823">
      <w:pPr>
        <w:spacing w:line="360" w:lineRule="auto"/>
      </w:pPr>
      <w:r>
        <w:rPr>
          <w:i/>
          <w:iCs/>
        </w:rPr>
        <w:t>Note.</w:t>
      </w:r>
      <w:r>
        <w:t xml:space="preserve"> Created by Keefe (2026).</w:t>
      </w:r>
    </w:p>
    <w:p w14:paraId="5AF36DFA" w14:textId="77777777" w:rsidR="009173CF" w:rsidRDefault="00D90823">
      <w:pPr>
        <w:pStyle w:val="Heading2"/>
        <w:numPr>
          <w:ilvl w:val="0"/>
          <w:numId w:val="4"/>
        </w:numPr>
        <w:spacing w:line="360" w:lineRule="auto"/>
      </w:pPr>
      <w:bookmarkStart w:id="4" w:name="_heading=h.mczssdgd6scc" w:colFirst="0" w:colLast="0"/>
      <w:bookmarkEnd w:id="4"/>
      <w:r>
        <w:t xml:space="preserve">EI Workplace Development </w:t>
      </w:r>
    </w:p>
    <w:p w14:paraId="47CEF9C5" w14:textId="77777777" w:rsidR="009173CF" w:rsidRDefault="00D90823">
      <w:pPr>
        <w:spacing w:line="360" w:lineRule="auto"/>
        <w:jc w:val="both"/>
      </w:pPr>
      <w:r>
        <w:t xml:space="preserve">Workplace development in the salon means developing the knowledge, skills, behaviour and emotional intelligence needed to deliver safe, consistent and profitable services. EI is important because learning is not only technical, but employees should also receive feedback, manage mistakes, manage demanding clients and maintain boundaries when communicating. Goleman’s model is effective because self-awareness helps the manager and their employees notice tone and triggers, self-management improves coaching and </w:t>
      </w:r>
      <w:r>
        <w:t xml:space="preserve">helps to deal with conflicts. This theory is practical and supported by current reviews that link EI with leadership, teamwork, commitment and trainable workplace capability. But evidence is stronger where EI is clearly defined and measured (Coronado-Maldonado &amp; Benítez-Márquez, 2023; Doğru, 2022; Pulido-Martos </w:t>
      </w:r>
      <w:r>
        <w:rPr>
          <w:i/>
          <w:iCs/>
        </w:rPr>
        <w:t>et al</w:t>
      </w:r>
      <w:r>
        <w:t xml:space="preserve">., 2024; Powell </w:t>
      </w:r>
      <w:r>
        <w:rPr>
          <w:i/>
          <w:iCs/>
        </w:rPr>
        <w:t>et al</w:t>
      </w:r>
      <w:r>
        <w:t xml:space="preserve">., 2024). However, a high EI leader is more than “nice.” In aesthetics, too much accommodation can result in safety hazards, weak boundaries or inconsistent standards. Good </w:t>
      </w:r>
      <w:r>
        <w:t>EI is about being warm and boundary-setting at the same time. For example, if an employee consistently forgets to complete client records, a low EI response may be irritation, avoidance, or sarcasm. A high-EI response would be firm, clear and developmental, such as identifying the risk, explaining why documentation protects the client and business, demonstrating the correct process and a review performance after one week. EI demonstrates that it is directly associated with workforce development as it suppor</w:t>
      </w:r>
      <w:r>
        <w:t>ts better teaching.</w:t>
      </w:r>
    </w:p>
    <w:p w14:paraId="6A50CE42" w14:textId="77777777" w:rsidR="009173CF" w:rsidRDefault="00D90823">
      <w:pPr>
        <w:spacing w:line="360" w:lineRule="auto"/>
        <w:jc w:val="both"/>
      </w:pPr>
      <w:r>
        <w:lastRenderedPageBreak/>
        <w:t xml:space="preserve">This can be supported with the 70:20:10 learning model, if it is not taken as a precise, evidence-based ratio. The model suggests that learning at work is experiential and social, and a small amount is formal training (Johnson </w:t>
      </w:r>
      <w:r>
        <w:rPr>
          <w:i/>
          <w:iCs/>
        </w:rPr>
        <w:t>et al</w:t>
      </w:r>
      <w:r>
        <w:t>., 2018). Critics say the ratio is overused and not strongly scientific, but it is useful as a design principle when paired with reflection and performance metrics. In the salon, 70% could be supervised practice and reflection following real consultations, 20% could be peer observation and mentoring, and 10% could be formal CPD. This is supported by Kolb’s learning cycle, which needs concrete experience, reflective observation, abstract learning and active experimentation (Kolb, 1984). This approach al</w:t>
      </w:r>
      <w:r>
        <w:t xml:space="preserve">so aligns with current thinking in workforce development, where CIPD puts learning needs analysis, performance support and future capability at the centre of L&amp;D strategy (CIPD, 2023, 2025b). Table 2 shows the EI against the workplace development and performance link, highlighting how the development leads to improved performance. </w:t>
      </w:r>
    </w:p>
    <w:p w14:paraId="3905B60F" w14:textId="77777777" w:rsidR="009173CF" w:rsidRDefault="00D90823">
      <w:pPr>
        <w:spacing w:line="360" w:lineRule="auto"/>
        <w:rPr>
          <w:i/>
          <w:iCs/>
        </w:rPr>
      </w:pPr>
      <w:r>
        <w:rPr>
          <w:b/>
          <w:bCs/>
        </w:rPr>
        <w:t>Table 2</w:t>
      </w:r>
      <w:r>
        <w:t xml:space="preserve">. </w:t>
      </w:r>
      <w:r>
        <w:rPr>
          <w:i/>
          <w:iCs/>
        </w:rPr>
        <w:t>Applying EI to workplace development and performance</w:t>
      </w:r>
    </w:p>
    <w:tbl>
      <w:tblPr>
        <w:tblStyle w:val="a1"/>
        <w:tblW w:w="9016" w:type="dxa"/>
        <w:tblInd w:w="0" w:type="dxa"/>
        <w:tblLayout w:type="fixed"/>
        <w:tblLook w:val="0000" w:firstRow="0" w:lastRow="0" w:firstColumn="0" w:lastColumn="0" w:noHBand="0" w:noVBand="0"/>
      </w:tblPr>
      <w:tblGrid>
        <w:gridCol w:w="3005"/>
        <w:gridCol w:w="3005"/>
        <w:gridCol w:w="3006"/>
      </w:tblGrid>
      <w:tr w:rsidR="009173CF" w14:paraId="3C1B8B09" w14:textId="77777777">
        <w:tc>
          <w:tcPr>
            <w:tcW w:w="3005" w:type="dxa"/>
            <w:tcBorders>
              <w:top w:val="single" w:sz="4" w:space="0" w:color="000000"/>
              <w:left w:val="single" w:sz="4" w:space="0" w:color="000000"/>
              <w:bottom w:val="single" w:sz="4" w:space="0" w:color="000000"/>
              <w:right w:val="single" w:sz="4" w:space="0" w:color="000000"/>
            </w:tcBorders>
            <w:shd w:val="clear" w:color="auto" w:fill="D4D4D4"/>
            <w:tcMar>
              <w:top w:w="0" w:type="dxa"/>
              <w:left w:w="108" w:type="dxa"/>
              <w:bottom w:w="0" w:type="dxa"/>
              <w:right w:w="108" w:type="dxa"/>
            </w:tcMar>
          </w:tcPr>
          <w:p w14:paraId="2B262F7F" w14:textId="77777777" w:rsidR="009173CF" w:rsidRDefault="00D90823">
            <w:pPr>
              <w:spacing w:after="0" w:line="360" w:lineRule="auto"/>
              <w:rPr>
                <w:b/>
                <w:bCs/>
                <w:sz w:val="20"/>
                <w:szCs w:val="20"/>
              </w:rPr>
            </w:pPr>
            <w:r>
              <w:rPr>
                <w:b/>
                <w:bCs/>
                <w:sz w:val="20"/>
                <w:szCs w:val="20"/>
              </w:rPr>
              <w:t>EI</w:t>
            </w:r>
          </w:p>
        </w:tc>
        <w:tc>
          <w:tcPr>
            <w:tcW w:w="3005" w:type="dxa"/>
            <w:tcBorders>
              <w:top w:val="single" w:sz="4" w:space="0" w:color="000000"/>
              <w:left w:val="single" w:sz="4" w:space="0" w:color="000000"/>
              <w:bottom w:val="single" w:sz="4" w:space="0" w:color="000000"/>
              <w:right w:val="single" w:sz="4" w:space="0" w:color="000000"/>
            </w:tcBorders>
            <w:shd w:val="clear" w:color="auto" w:fill="D4D4D4"/>
            <w:tcMar>
              <w:top w:w="0" w:type="dxa"/>
              <w:left w:w="108" w:type="dxa"/>
              <w:bottom w:w="0" w:type="dxa"/>
              <w:right w:w="108" w:type="dxa"/>
            </w:tcMar>
          </w:tcPr>
          <w:p w14:paraId="72F8F100" w14:textId="77777777" w:rsidR="009173CF" w:rsidRDefault="00D90823">
            <w:pPr>
              <w:spacing w:after="0" w:line="360" w:lineRule="auto"/>
              <w:rPr>
                <w:b/>
                <w:bCs/>
                <w:sz w:val="20"/>
                <w:szCs w:val="20"/>
              </w:rPr>
            </w:pPr>
            <w:r>
              <w:rPr>
                <w:b/>
                <w:bCs/>
                <w:sz w:val="20"/>
                <w:szCs w:val="20"/>
              </w:rPr>
              <w:t>Workplace development example</w:t>
            </w:r>
          </w:p>
        </w:tc>
        <w:tc>
          <w:tcPr>
            <w:tcW w:w="3006" w:type="dxa"/>
            <w:tcBorders>
              <w:top w:val="single" w:sz="4" w:space="0" w:color="000000"/>
              <w:left w:val="single" w:sz="4" w:space="0" w:color="000000"/>
              <w:bottom w:val="single" w:sz="4" w:space="0" w:color="000000"/>
              <w:right w:val="single" w:sz="4" w:space="0" w:color="000000"/>
            </w:tcBorders>
            <w:shd w:val="clear" w:color="auto" w:fill="D4D4D4"/>
            <w:tcMar>
              <w:top w:w="0" w:type="dxa"/>
              <w:left w:w="108" w:type="dxa"/>
              <w:bottom w:w="0" w:type="dxa"/>
              <w:right w:w="108" w:type="dxa"/>
            </w:tcMar>
          </w:tcPr>
          <w:p w14:paraId="53429358" w14:textId="77777777" w:rsidR="009173CF" w:rsidRDefault="00D90823">
            <w:pPr>
              <w:spacing w:after="0" w:line="360" w:lineRule="auto"/>
              <w:rPr>
                <w:b/>
                <w:bCs/>
                <w:sz w:val="20"/>
                <w:szCs w:val="20"/>
              </w:rPr>
            </w:pPr>
            <w:r>
              <w:rPr>
                <w:b/>
                <w:bCs/>
                <w:sz w:val="20"/>
                <w:szCs w:val="20"/>
              </w:rPr>
              <w:t>Business performance link</w:t>
            </w:r>
          </w:p>
        </w:tc>
      </w:tr>
      <w:tr w:rsidR="009173CF" w14:paraId="366523D8"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7B1999C" w14:textId="77777777" w:rsidR="009173CF" w:rsidRDefault="00D90823">
            <w:pPr>
              <w:spacing w:after="0" w:line="360" w:lineRule="auto"/>
              <w:rPr>
                <w:sz w:val="20"/>
                <w:szCs w:val="20"/>
              </w:rPr>
            </w:pPr>
            <w:r>
              <w:rPr>
                <w:sz w:val="20"/>
                <w:szCs w:val="20"/>
              </w:rPr>
              <w:t>Self-awareness</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5EB822" w14:textId="77777777" w:rsidR="009173CF" w:rsidRDefault="00D90823">
            <w:pPr>
              <w:spacing w:after="0" w:line="360" w:lineRule="auto"/>
              <w:rPr>
                <w:sz w:val="20"/>
                <w:szCs w:val="20"/>
              </w:rPr>
            </w:pPr>
            <w:r>
              <w:rPr>
                <w:sz w:val="20"/>
                <w:szCs w:val="20"/>
              </w:rPr>
              <w:t>The manager notices staff who are defensive when challenged and pauses before responding.</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CACE9D" w14:textId="77777777" w:rsidR="009173CF" w:rsidRDefault="00D90823">
            <w:pPr>
              <w:spacing w:after="0" w:line="360" w:lineRule="auto"/>
              <w:rPr>
                <w:sz w:val="20"/>
                <w:szCs w:val="20"/>
              </w:rPr>
            </w:pPr>
            <w:r>
              <w:rPr>
                <w:sz w:val="20"/>
                <w:szCs w:val="20"/>
              </w:rPr>
              <w:t xml:space="preserve">Reduces conflict before it escalates, therefore improving complaint handling. </w:t>
            </w:r>
          </w:p>
        </w:tc>
      </w:tr>
      <w:tr w:rsidR="009173CF" w14:paraId="7A748BD8"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1CE1E5" w14:textId="77777777" w:rsidR="009173CF" w:rsidRDefault="00D90823">
            <w:pPr>
              <w:spacing w:after="0" w:line="360" w:lineRule="auto"/>
              <w:rPr>
                <w:sz w:val="20"/>
                <w:szCs w:val="20"/>
              </w:rPr>
            </w:pPr>
            <w:r>
              <w:rPr>
                <w:sz w:val="20"/>
                <w:szCs w:val="20"/>
              </w:rPr>
              <w:t xml:space="preserve">Self-management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12F286" w14:textId="77777777" w:rsidR="009173CF" w:rsidRDefault="00D90823">
            <w:pPr>
              <w:spacing w:after="0" w:line="360" w:lineRule="auto"/>
              <w:rPr>
                <w:sz w:val="20"/>
                <w:szCs w:val="20"/>
              </w:rPr>
            </w:pPr>
            <w:r>
              <w:rPr>
                <w:sz w:val="20"/>
                <w:szCs w:val="20"/>
              </w:rPr>
              <w:t xml:space="preserve">The team uses a short breathing space before dealing with difficult consultations. </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EEBA78" w14:textId="77777777" w:rsidR="009173CF" w:rsidRDefault="00D90823">
            <w:pPr>
              <w:spacing w:after="0" w:line="360" w:lineRule="auto"/>
              <w:rPr>
                <w:sz w:val="20"/>
                <w:szCs w:val="20"/>
              </w:rPr>
            </w:pPr>
            <w:r>
              <w:rPr>
                <w:sz w:val="20"/>
                <w:szCs w:val="20"/>
              </w:rPr>
              <w:t xml:space="preserve">Improves clinic decisions and can help to protect the reputation. </w:t>
            </w:r>
          </w:p>
        </w:tc>
      </w:tr>
      <w:tr w:rsidR="009173CF" w14:paraId="034600C0"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25E037" w14:textId="77777777" w:rsidR="009173CF" w:rsidRDefault="00D90823">
            <w:pPr>
              <w:spacing w:after="0" w:line="360" w:lineRule="auto"/>
              <w:rPr>
                <w:sz w:val="20"/>
                <w:szCs w:val="20"/>
              </w:rPr>
            </w:pPr>
            <w:r>
              <w:rPr>
                <w:sz w:val="20"/>
                <w:szCs w:val="20"/>
              </w:rPr>
              <w:t xml:space="preserve">Empathy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C179CD6" w14:textId="77777777" w:rsidR="009173CF" w:rsidRDefault="00D90823">
            <w:pPr>
              <w:spacing w:after="0" w:line="360" w:lineRule="auto"/>
              <w:rPr>
                <w:sz w:val="20"/>
                <w:szCs w:val="20"/>
              </w:rPr>
            </w:pPr>
            <w:r>
              <w:rPr>
                <w:sz w:val="20"/>
                <w:szCs w:val="20"/>
              </w:rPr>
              <w:t xml:space="preserve">The practitioner recognises that a filler client may feel anxious about appearance and cost. </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E88513" w14:textId="77777777" w:rsidR="009173CF" w:rsidRDefault="00D90823">
            <w:pPr>
              <w:spacing w:after="0" w:line="360" w:lineRule="auto"/>
              <w:rPr>
                <w:sz w:val="20"/>
                <w:szCs w:val="20"/>
              </w:rPr>
            </w:pPr>
            <w:r>
              <w:rPr>
                <w:sz w:val="20"/>
                <w:szCs w:val="20"/>
              </w:rPr>
              <w:t xml:space="preserve">Improves trust, gains informed consent and rebooking. </w:t>
            </w:r>
          </w:p>
        </w:tc>
      </w:tr>
      <w:tr w:rsidR="009173CF" w14:paraId="190FA05B"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F9766DF" w14:textId="77777777" w:rsidR="009173CF" w:rsidRDefault="00D90823">
            <w:pPr>
              <w:spacing w:after="0" w:line="360" w:lineRule="auto"/>
              <w:rPr>
                <w:sz w:val="20"/>
                <w:szCs w:val="20"/>
              </w:rPr>
            </w:pPr>
            <w:r>
              <w:rPr>
                <w:sz w:val="20"/>
                <w:szCs w:val="20"/>
              </w:rPr>
              <w:t xml:space="preserve">Relationship Management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2376E" w14:textId="77777777" w:rsidR="009173CF" w:rsidRDefault="00D90823">
            <w:pPr>
              <w:spacing w:after="0" w:line="360" w:lineRule="auto"/>
              <w:rPr>
                <w:sz w:val="20"/>
                <w:szCs w:val="20"/>
              </w:rPr>
            </w:pPr>
            <w:r>
              <w:rPr>
                <w:sz w:val="20"/>
                <w:szCs w:val="20"/>
              </w:rPr>
              <w:t xml:space="preserve">Feedback is delivered as coaching rather than blame. </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3254D35" w14:textId="77777777" w:rsidR="009173CF" w:rsidRDefault="00D90823">
            <w:pPr>
              <w:spacing w:after="0" w:line="360" w:lineRule="auto"/>
              <w:rPr>
                <w:sz w:val="20"/>
                <w:szCs w:val="20"/>
              </w:rPr>
            </w:pPr>
            <w:r>
              <w:rPr>
                <w:sz w:val="20"/>
                <w:szCs w:val="20"/>
              </w:rPr>
              <w:t xml:space="preserve">This improves staff capability, retention and consistency. </w:t>
            </w:r>
          </w:p>
        </w:tc>
      </w:tr>
      <w:tr w:rsidR="009173CF" w14:paraId="6367C35B"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7877C15" w14:textId="77777777" w:rsidR="009173CF" w:rsidRDefault="00D90823">
            <w:pPr>
              <w:spacing w:after="0" w:line="360" w:lineRule="auto"/>
              <w:rPr>
                <w:sz w:val="20"/>
                <w:szCs w:val="20"/>
              </w:rPr>
            </w:pPr>
            <w:r>
              <w:rPr>
                <w:sz w:val="20"/>
                <w:szCs w:val="20"/>
              </w:rPr>
              <w:t xml:space="preserve">Motivation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AFEDDE" w14:textId="77777777" w:rsidR="009173CF" w:rsidRDefault="00D90823">
            <w:pPr>
              <w:spacing w:after="0" w:line="360" w:lineRule="auto"/>
              <w:rPr>
                <w:sz w:val="20"/>
                <w:szCs w:val="20"/>
              </w:rPr>
            </w:pPr>
            <w:r>
              <w:rPr>
                <w:sz w:val="20"/>
                <w:szCs w:val="20"/>
              </w:rPr>
              <w:t>The team connects standards to client safety and premium service</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F455F5A" w14:textId="77777777" w:rsidR="009173CF" w:rsidRDefault="00D90823">
            <w:pPr>
              <w:spacing w:after="0" w:line="360" w:lineRule="auto"/>
              <w:rPr>
                <w:sz w:val="20"/>
                <w:szCs w:val="20"/>
              </w:rPr>
            </w:pPr>
            <w:r>
              <w:rPr>
                <w:sz w:val="20"/>
                <w:szCs w:val="20"/>
              </w:rPr>
              <w:t xml:space="preserve">This supports the quality of service and upselling ethically. </w:t>
            </w:r>
          </w:p>
        </w:tc>
      </w:tr>
    </w:tbl>
    <w:p w14:paraId="1EBE54B9" w14:textId="77777777" w:rsidR="009173CF" w:rsidRDefault="009173CF">
      <w:pPr>
        <w:spacing w:line="360" w:lineRule="auto"/>
      </w:pPr>
    </w:p>
    <w:p w14:paraId="06C50ECF" w14:textId="77777777" w:rsidR="009173CF" w:rsidRDefault="00D90823">
      <w:pPr>
        <w:spacing w:line="360" w:lineRule="auto"/>
      </w:pPr>
      <w:r>
        <w:rPr>
          <w:i/>
          <w:iCs/>
        </w:rPr>
        <w:t>Note.</w:t>
      </w:r>
      <w:r>
        <w:t xml:space="preserve"> Created by Keefe (2026).</w:t>
      </w:r>
    </w:p>
    <w:p w14:paraId="50D5C742" w14:textId="77777777" w:rsidR="009173CF" w:rsidRDefault="00D90823">
      <w:pPr>
        <w:spacing w:line="360" w:lineRule="auto"/>
        <w:jc w:val="both"/>
      </w:pPr>
      <w:r>
        <w:lastRenderedPageBreak/>
        <w:t xml:space="preserve">Table 2 identifies the link between EI and workplace performance by demonstrating examples within the salon. As such, when a client feels anxious and the practitioner recognises this feeling, this may improve trust. Further examples may include self-management, taking time, prepare, and control breathing, can help improve decisions, trust, and protect the reputation of the salon (Tindall-Ford &amp; Lipscombe, 2025). </w:t>
      </w:r>
    </w:p>
    <w:p w14:paraId="344A0153" w14:textId="77777777" w:rsidR="009173CF" w:rsidRDefault="00D90823">
      <w:pPr>
        <w:pStyle w:val="Heading2"/>
        <w:numPr>
          <w:ilvl w:val="0"/>
          <w:numId w:val="5"/>
        </w:numPr>
      </w:pPr>
      <w:bookmarkStart w:id="5" w:name="_heading=h.pibcek44tz3h" w:colFirst="0" w:colLast="0"/>
      <w:bookmarkEnd w:id="5"/>
      <w:r>
        <w:t xml:space="preserve">EI and Business performance in an Aesthetic salon. </w:t>
      </w:r>
    </w:p>
    <w:p w14:paraId="16219888" w14:textId="77777777" w:rsidR="009173CF" w:rsidRDefault="00D90823">
      <w:pPr>
        <w:spacing w:line="360" w:lineRule="auto"/>
        <w:jc w:val="both"/>
      </w:pPr>
      <w:r>
        <w:t>Business performance is impacted through client retention, complaint rates, quality of service, staff productivity, clinical safety, reputation, referrals and financial results. Results indicate a positive association between EI and job performance, job satisfaction, organisational commitment and citizenship behaviour and a negative relationship with job stress (Doğru, 2022). A hybrid literature review also showed a strong link between EI and leadership and team outcomes, but the literature remains methodol</w:t>
      </w:r>
      <w:r>
        <w:t xml:space="preserve">ogically diverse and often relies on self-report data (Coronado-Maldonado &amp; Benítez-Márquez, 2023). More recent healthcare and leadership evidence also supports a positive relationship between EI and work performance, while showing that context, competence and leadership style influence how strongly EI translates into measurable outcomes (Mehralian </w:t>
      </w:r>
      <w:r>
        <w:rPr>
          <w:i/>
          <w:iCs/>
        </w:rPr>
        <w:t>et al</w:t>
      </w:r>
      <w:r>
        <w:t xml:space="preserve">., 2025; Pulido-Martos </w:t>
      </w:r>
      <w:r>
        <w:rPr>
          <w:i/>
          <w:iCs/>
        </w:rPr>
        <w:t>et al</w:t>
      </w:r>
      <w:r>
        <w:t xml:space="preserve">., 2024; Powell </w:t>
      </w:r>
      <w:r>
        <w:rPr>
          <w:i/>
          <w:iCs/>
        </w:rPr>
        <w:t>et al</w:t>
      </w:r>
      <w:r>
        <w:t xml:space="preserve">., 2024). For example, linking the emotion to the workplace performance can help to identify models needed </w:t>
      </w:r>
      <w:r>
        <w:t xml:space="preserve">to address and learn from, to prevent these emotions from resurfacing. </w:t>
      </w:r>
    </w:p>
    <w:p w14:paraId="21E568E8" w14:textId="77777777" w:rsidR="009173CF" w:rsidRDefault="00D90823">
      <w:pPr>
        <w:spacing w:line="360" w:lineRule="auto"/>
        <w:jc w:val="both"/>
      </w:pPr>
      <w:r>
        <w:t xml:space="preserve">In a small salon, the effect can be stronger than in transactional businesses, because clients buy trust as much as they buy a treatment. Emotional staff is part of the service, but staff must be professional even if the client is nervous, late, dissatisfied or indecisive. One study indicates that emotional employees can influence customer repurchase intention and customer behaviour (Yang </w:t>
      </w:r>
      <w:r>
        <w:rPr>
          <w:i/>
          <w:iCs/>
        </w:rPr>
        <w:t>et al</w:t>
      </w:r>
      <w:r>
        <w:t xml:space="preserve">., 2023). In the beauty industry, the emotional service and service quality are associated with satisfaction and loyalty (Choi, 2023; Kravchuk &amp; Krupskyi, 2025; Tambayong </w:t>
      </w:r>
      <w:r>
        <w:rPr>
          <w:i/>
          <w:iCs/>
        </w:rPr>
        <w:t>et al</w:t>
      </w:r>
      <w:r>
        <w:t xml:space="preserve">., 2022). Research in hair and beauty also indicates informal emotional support as part of salon work, which can increase burnout risk where boundaries and support are weak (Page </w:t>
      </w:r>
      <w:r>
        <w:rPr>
          <w:i/>
          <w:iCs/>
        </w:rPr>
        <w:t>et al</w:t>
      </w:r>
      <w:r>
        <w:t>., 2024). On the contrary, low EI can create visible business costs, through complaints, staff stress, bad atmosphere, defensive communication, cli</w:t>
      </w:r>
      <w:r>
        <w:t>ent hesitation, reduced rebooking and reputation damage.</w:t>
      </w:r>
    </w:p>
    <w:p w14:paraId="78F65B67" w14:textId="77777777" w:rsidR="009173CF" w:rsidRDefault="00D90823">
      <w:pPr>
        <w:spacing w:line="360" w:lineRule="auto"/>
        <w:jc w:val="both"/>
      </w:pPr>
      <w:r>
        <w:lastRenderedPageBreak/>
        <w:t>If a manager snaps at an employee, the employee might lose confidence, stop asking questions and make mistakes that could have been avoided. If a practitioner should rush a treatment on a client, the client may feel unsafe and refuse a treatment or go to another clinic. Being defensive in dealing with complaints can cost you one client and potentially future referrals through a bad reputation. On the other hand, high EI can help with premium positioning because clients often pay more when they feel heard, u</w:t>
      </w:r>
      <w:r>
        <w:t xml:space="preserve">nderstood and safe. Figure 2 shows the indicative impact of EI capabilities, highlighting that client complaint recovery and client trust have the most effect. A defensive response may reflect an aggressive or passive-aggressive communication style as it focuses on blame or denial. An assertive communication style will acknowledge the clients’ feelings and remain professional (Maloney &amp; Moore, 2020). </w:t>
      </w:r>
    </w:p>
    <w:p w14:paraId="1E1D776E" w14:textId="77777777" w:rsidR="009173CF" w:rsidRDefault="00D90823">
      <w:pPr>
        <w:spacing w:line="360" w:lineRule="auto"/>
        <w:jc w:val="both"/>
      </w:pPr>
      <w:r>
        <w:br/>
      </w:r>
      <w:r>
        <w:rPr>
          <w:b/>
          <w:bCs/>
          <w:i/>
          <w:iCs/>
        </w:rPr>
        <w:t>Figure 2:</w:t>
      </w:r>
      <w:r>
        <w:t xml:space="preserve"> The indicative impact of EI capabilities. </w:t>
      </w:r>
    </w:p>
    <w:p w14:paraId="6B7B77EC" w14:textId="77777777" w:rsidR="009173CF" w:rsidRDefault="00D90823">
      <w:r>
        <w:rPr>
          <w:noProof/>
        </w:rPr>
        <w:drawing>
          <wp:inline distT="0" distB="0" distL="0" distR="0" wp14:anchorId="25DC0B71" wp14:editId="05AFAC18">
            <wp:extent cx="4979146" cy="312951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979146" cy="3129513"/>
                    </a:xfrm>
                    <a:prstGeom prst="rect">
                      <a:avLst/>
                    </a:prstGeom>
                    <a:ln/>
                  </pic:spPr>
                </pic:pic>
              </a:graphicData>
            </a:graphic>
          </wp:inline>
        </w:drawing>
      </w:r>
    </w:p>
    <w:p w14:paraId="7AB48514" w14:textId="77777777" w:rsidR="009173CF" w:rsidRDefault="00D90823">
      <w:pPr>
        <w:spacing w:line="360" w:lineRule="auto"/>
        <w:jc w:val="both"/>
      </w:pPr>
      <w:r>
        <w:rPr>
          <w:i/>
          <w:iCs/>
        </w:rPr>
        <w:t>Note.</w:t>
      </w:r>
      <w:r>
        <w:t xml:space="preserve"> Created by Keefe (2026).</w:t>
      </w:r>
    </w:p>
    <w:p w14:paraId="7A624347" w14:textId="77777777" w:rsidR="009173CF" w:rsidRDefault="00D90823">
      <w:pPr>
        <w:spacing w:line="360" w:lineRule="auto"/>
        <w:jc w:val="both"/>
      </w:pPr>
      <w:r>
        <w:t xml:space="preserve">Figure 2 shows the different emotions and their impact on capabilities in the aesthetic sector, which demonstrates that client trust and complaint recovery have the highest impact on the salon. This information is not exact, and it is used for illustrative purposes only, based on real-life salon data. I am unable to attach it for general data protection (GDPR) rules. (Sarabdeen &amp; Ishak, 2025). </w:t>
      </w:r>
    </w:p>
    <w:p w14:paraId="26BBF41B" w14:textId="77777777" w:rsidR="009173CF" w:rsidRDefault="00D90823">
      <w:pPr>
        <w:pStyle w:val="Heading2"/>
        <w:numPr>
          <w:ilvl w:val="0"/>
          <w:numId w:val="6"/>
        </w:numPr>
      </w:pPr>
      <w:bookmarkStart w:id="6" w:name="_heading=h.6wtqzvw8x2l" w:colFirst="0" w:colLast="0"/>
      <w:bookmarkEnd w:id="6"/>
      <w:r>
        <w:lastRenderedPageBreak/>
        <w:t>Societal Change, Megatrends and the need for Emotionally Intelligent Leaders</w:t>
      </w:r>
    </w:p>
    <w:p w14:paraId="13906649" w14:textId="77777777" w:rsidR="009173CF" w:rsidRDefault="00D90823">
      <w:pPr>
        <w:spacing w:line="360" w:lineRule="auto"/>
        <w:jc w:val="both"/>
      </w:pPr>
      <w:r>
        <w:t>There is an increasing need for EI due to social change, where key drivers of the labour market to 2030 were to include technological change, economic uncertainty, geoeconomic fragmentation, demographic shifts and the green transition (World Economic Forum, 2025). The OECD points to a similar fact: “labour markets are moving towards skills-first approaches to work as the demographic, digital and green transitions challenge traditional education and recruitment models” (OECD, 2025). In a salon this means cli</w:t>
      </w:r>
      <w:r>
        <w:t>ents and employees want more personal communication, flexible development, visible values and emotional safety.</w:t>
      </w:r>
    </w:p>
    <w:p w14:paraId="25B0B405" w14:textId="77777777" w:rsidR="009173CF" w:rsidRDefault="00D90823">
      <w:pPr>
        <w:spacing w:line="360" w:lineRule="auto"/>
        <w:jc w:val="both"/>
      </w:pPr>
      <w:r>
        <w:t>Two megatrends are of relevance: individualism, which means that clients are increasingly demanding a personalised service, autonomy and treatments that match their identity and not a one-size-fits-all approach; and demographic change, which means different generations are introduced to the workplace with different communication norms, feedback expectations and wellbeing priorities. These trends have created five practical reinforcers: personalisation, transparency, psychological safety, adaptability and co</w:t>
      </w:r>
      <w:r>
        <w:t>ntinuous learning. Leaders with EI are better equipped to respond because they can read emotional cues, explain decisions, adapt communication, and maintain boundaries without losing warmth.</w:t>
      </w:r>
    </w:p>
    <w:p w14:paraId="06F6F1D2" w14:textId="77777777" w:rsidR="009173CF" w:rsidRDefault="00D90823">
      <w:pPr>
        <w:spacing w:line="360" w:lineRule="auto"/>
        <w:jc w:val="both"/>
      </w:pPr>
      <w:r>
        <w:t xml:space="preserve">But this should be critically evaluated. EI cannot fix structural problems such as low pay, unrealistic workloads, unclear policies or weak systems. If leaders expect employees to regulate emotions without addressing the cause of stress, it can even be exploited. This caution is echoed by current workplace wellbeing evidence, which suggests that individual-level wellbeing interventions may have limited impact if organisational causes of stress are ignored (Fleming, 2024; WHO, 2024). So, EI must go together </w:t>
      </w:r>
      <w:r>
        <w:t>with fair policies, training, clear procedures and workload management. The EFQM model is of use here, as it links leadership, culture, stakeholder engagement, sustainable value, performance and results (</w:t>
      </w:r>
      <w:r>
        <w:t xml:space="preserve">Nabitz </w:t>
      </w:r>
      <w:r>
        <w:rPr>
          <w:i/>
          <w:iCs/>
        </w:rPr>
        <w:t>et al</w:t>
      </w:r>
      <w:r>
        <w:t>.</w:t>
      </w:r>
      <w:r>
        <w:t>, 2000). In the salon, EI should be measured by practical results such as staff confidence, client reviews, repeat bookings, consultation quality and complaint recovery, not just by how emotionally aware the owner feels.</w:t>
      </w:r>
    </w:p>
    <w:p w14:paraId="4AA7BC23" w14:textId="77777777" w:rsidR="009173CF" w:rsidRDefault="00D90823">
      <w:pPr>
        <w:pStyle w:val="Heading2"/>
        <w:numPr>
          <w:ilvl w:val="0"/>
          <w:numId w:val="7"/>
        </w:numPr>
      </w:pPr>
      <w:bookmarkStart w:id="7" w:name="_heading=h.hghtxw3i0pkz" w:colFirst="0" w:colLast="0"/>
      <w:bookmarkEnd w:id="7"/>
      <w:r>
        <w:lastRenderedPageBreak/>
        <w:t>Mindfulness: definition, theories and relationship with EI</w:t>
      </w:r>
    </w:p>
    <w:p w14:paraId="1FE9630F" w14:textId="77777777" w:rsidR="009173CF" w:rsidRDefault="00D90823">
      <w:pPr>
        <w:spacing w:line="360" w:lineRule="auto"/>
        <w:jc w:val="both"/>
      </w:pPr>
      <w:r>
        <w:t xml:space="preserve">Mindfulness is often defined as paying attention, on purpose, in the present moment and non-judgementally (Kabat-Zinn, 2003). A recent review of definitions supports the idea that mindfulness contains present-moment awareness, attentional regulation and a particular attitude towards experience, but warns that definitions can become too broad if not used carefully (Chems-Maarif </w:t>
      </w:r>
      <w:r>
        <w:rPr>
          <w:i/>
          <w:iCs/>
        </w:rPr>
        <w:t>et al</w:t>
      </w:r>
      <w:r>
        <w:t>., 2025). MBSR is an 8-week programme developed by Jon Kabat-Zinn using practices such as body scan, sitting meditation and mindful movement. MBCT was later developed by Woody (2020) by combining mindfulness with cognitive therapy to prevent relapse in depression. Mindfulness is important in the workplace because it strengthens attention, awareness of body signals and the ability to notice thoughts and emotions without rushing to respond.</w:t>
      </w:r>
    </w:p>
    <w:p w14:paraId="5789EFD8" w14:textId="77777777" w:rsidR="009173CF" w:rsidRDefault="00D90823">
      <w:pPr>
        <w:spacing w:line="360" w:lineRule="auto"/>
        <w:jc w:val="both"/>
      </w:pPr>
      <w:r>
        <w:t xml:space="preserve">Mindfulness is a good fit with EI because EI requires awareness and regulation, and mindfulness trains the pause that makes regulation possible. It is the reverse of automatic pilot: behaviours occur automatically and without conscious choice. In a salon, autopilot might be racing through consultations, defending yourself when challenged or taking on your employees’ problems because it seems faster. Mindfulness breaks this up by bringing attention to breath, body, tone and the task. A simple example is the </w:t>
      </w:r>
      <w:r>
        <w:t>five senses exercise: Notice five things you see, four you feel, three you hear, two you smell, and one you taste. This can prime attention before a tough conversation, and broader evidence shows that mindfulness can support attention, working memory and cognitive functioning, although effects vary by intervention design and participant context (Zainal &amp; Newman, 2024).</w:t>
      </w:r>
    </w:p>
    <w:p w14:paraId="61C3108D" w14:textId="77777777" w:rsidR="009173CF" w:rsidRDefault="00D90823">
      <w:pPr>
        <w:spacing w:line="360" w:lineRule="auto"/>
        <w:jc w:val="both"/>
      </w:pPr>
      <w:r>
        <w:t xml:space="preserve">Evidence supports that workplace mindfulness interventions found significant improvements in stress, mental health, wellbeing and work-related outcomes, but also revealed heterogeneity and the need to consider context (Michaelsen </w:t>
      </w:r>
      <w:r>
        <w:rPr>
          <w:i/>
          <w:iCs/>
        </w:rPr>
        <w:t>et al</w:t>
      </w:r>
      <w:r>
        <w:t xml:space="preserve">., 2023). A systematic review in 2025 found that mindfulness-based programmes led to improvements in task, adaptive and contextual performance outcomes, but confidence in the evidence was exceptionally low in places, especially when compared with active controls (Vainre </w:t>
      </w:r>
      <w:r>
        <w:rPr>
          <w:i/>
          <w:iCs/>
        </w:rPr>
        <w:t>et al.,</w:t>
      </w:r>
      <w:r>
        <w:t xml:space="preserve"> 2025). This suggests mindfulness can improve performance, but it should not be marketed as a sure-fire productivity solution. Fleming’s UK evidence on </w:t>
      </w:r>
      <w:r>
        <w:lastRenderedPageBreak/>
        <w:t>individual-level wellbeing interventions further supports the crucial argumen</w:t>
      </w:r>
      <w:r>
        <w:t>t that mindfulness is more plausible when combined with workload, role clarity and management improvements rather than as a substitute for better work design (Fleming, 2024).</w:t>
      </w:r>
    </w:p>
    <w:p w14:paraId="135EDE52" w14:textId="77777777" w:rsidR="009173CF" w:rsidRDefault="00D90823">
      <w:pPr>
        <w:rPr>
          <w:i/>
          <w:iCs/>
        </w:rPr>
      </w:pPr>
      <w:r>
        <w:rPr>
          <w:b/>
          <w:bCs/>
        </w:rPr>
        <w:t>Table 3.</w:t>
      </w:r>
      <w:r>
        <w:t xml:space="preserve"> </w:t>
      </w:r>
      <w:r>
        <w:rPr>
          <w:i/>
          <w:iCs/>
        </w:rPr>
        <w:t>Mindfulness tools and critical application in the salon.</w:t>
      </w:r>
    </w:p>
    <w:p w14:paraId="3983B540" w14:textId="77777777" w:rsidR="009173CF" w:rsidRDefault="009173CF">
      <w:pPr>
        <w:rPr>
          <w:i/>
          <w:iCs/>
        </w:rPr>
      </w:pPr>
    </w:p>
    <w:tbl>
      <w:tblPr>
        <w:tblStyle w:val="a2"/>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5"/>
        <w:gridCol w:w="3005"/>
        <w:gridCol w:w="3006"/>
      </w:tblGrid>
      <w:tr w:rsidR="009173CF" w14:paraId="2CC6DDC6" w14:textId="77777777">
        <w:tc>
          <w:tcPr>
            <w:tcW w:w="3005" w:type="dxa"/>
            <w:shd w:val="clear" w:color="auto" w:fill="A6A6A6"/>
          </w:tcPr>
          <w:p w14:paraId="0CCD1A57" w14:textId="77777777" w:rsidR="009173CF" w:rsidRDefault="00D90823">
            <w:pPr>
              <w:rPr>
                <w:b/>
                <w:bCs/>
                <w:sz w:val="20"/>
                <w:szCs w:val="20"/>
              </w:rPr>
            </w:pPr>
            <w:r>
              <w:rPr>
                <w:b/>
                <w:bCs/>
                <w:sz w:val="20"/>
                <w:szCs w:val="20"/>
              </w:rPr>
              <w:t xml:space="preserve">Tool </w:t>
            </w:r>
          </w:p>
        </w:tc>
        <w:tc>
          <w:tcPr>
            <w:tcW w:w="3005" w:type="dxa"/>
            <w:shd w:val="clear" w:color="auto" w:fill="A6A6A6"/>
          </w:tcPr>
          <w:p w14:paraId="33783706" w14:textId="77777777" w:rsidR="009173CF" w:rsidRDefault="00D90823">
            <w:pPr>
              <w:rPr>
                <w:b/>
                <w:bCs/>
                <w:sz w:val="20"/>
                <w:szCs w:val="20"/>
              </w:rPr>
            </w:pPr>
            <w:r>
              <w:rPr>
                <w:b/>
                <w:bCs/>
                <w:sz w:val="20"/>
                <w:szCs w:val="20"/>
              </w:rPr>
              <w:t xml:space="preserve">Workplace </w:t>
            </w:r>
          </w:p>
        </w:tc>
        <w:tc>
          <w:tcPr>
            <w:tcW w:w="3006" w:type="dxa"/>
            <w:shd w:val="clear" w:color="auto" w:fill="A6A6A6"/>
          </w:tcPr>
          <w:p w14:paraId="25E3BC98" w14:textId="77777777" w:rsidR="009173CF" w:rsidRDefault="00D90823">
            <w:pPr>
              <w:rPr>
                <w:b/>
                <w:bCs/>
                <w:sz w:val="20"/>
                <w:szCs w:val="20"/>
              </w:rPr>
            </w:pPr>
            <w:r>
              <w:rPr>
                <w:b/>
                <w:bCs/>
                <w:sz w:val="20"/>
                <w:szCs w:val="20"/>
              </w:rPr>
              <w:t>Critical point</w:t>
            </w:r>
          </w:p>
        </w:tc>
      </w:tr>
      <w:tr w:rsidR="009173CF" w14:paraId="015141AC" w14:textId="77777777">
        <w:tc>
          <w:tcPr>
            <w:tcW w:w="3005" w:type="dxa"/>
          </w:tcPr>
          <w:p w14:paraId="6436C480" w14:textId="77777777" w:rsidR="009173CF" w:rsidRDefault="00D90823">
            <w:pPr>
              <w:rPr>
                <w:sz w:val="20"/>
                <w:szCs w:val="20"/>
              </w:rPr>
            </w:pPr>
            <w:r>
              <w:rPr>
                <w:sz w:val="20"/>
                <w:szCs w:val="20"/>
              </w:rPr>
              <w:t xml:space="preserve">MBSR principles </w:t>
            </w:r>
          </w:p>
        </w:tc>
        <w:tc>
          <w:tcPr>
            <w:tcW w:w="3005" w:type="dxa"/>
          </w:tcPr>
          <w:p w14:paraId="241D5EF5" w14:textId="77777777" w:rsidR="009173CF" w:rsidRDefault="00D90823">
            <w:pPr>
              <w:rPr>
                <w:sz w:val="20"/>
                <w:szCs w:val="20"/>
              </w:rPr>
            </w:pPr>
            <w:r>
              <w:rPr>
                <w:sz w:val="20"/>
                <w:szCs w:val="20"/>
              </w:rPr>
              <w:t xml:space="preserve">With planned stress reduction through breathing, the body can practise awareness. </w:t>
            </w:r>
          </w:p>
        </w:tc>
        <w:tc>
          <w:tcPr>
            <w:tcW w:w="3006" w:type="dxa"/>
          </w:tcPr>
          <w:p w14:paraId="15D0AB88" w14:textId="77777777" w:rsidR="009173CF" w:rsidRDefault="00D90823">
            <w:pPr>
              <w:rPr>
                <w:sz w:val="20"/>
                <w:szCs w:val="20"/>
              </w:rPr>
            </w:pPr>
            <w:r>
              <w:rPr>
                <w:sz w:val="20"/>
                <w:szCs w:val="20"/>
              </w:rPr>
              <w:t>Useful tools for stress management, but the full eight-week programme may be unrealistic for a small salon.</w:t>
            </w:r>
          </w:p>
        </w:tc>
      </w:tr>
      <w:tr w:rsidR="009173CF" w14:paraId="4213A040" w14:textId="77777777">
        <w:tc>
          <w:tcPr>
            <w:tcW w:w="3005" w:type="dxa"/>
          </w:tcPr>
          <w:p w14:paraId="25511EFB" w14:textId="77777777" w:rsidR="009173CF" w:rsidRDefault="00D90823">
            <w:pPr>
              <w:rPr>
                <w:sz w:val="20"/>
                <w:szCs w:val="20"/>
              </w:rPr>
            </w:pPr>
            <w:r>
              <w:rPr>
                <w:sz w:val="20"/>
                <w:szCs w:val="20"/>
              </w:rPr>
              <w:t xml:space="preserve">MBCT principles </w:t>
            </w:r>
          </w:p>
        </w:tc>
        <w:tc>
          <w:tcPr>
            <w:tcW w:w="3005" w:type="dxa"/>
          </w:tcPr>
          <w:p w14:paraId="341E3F34" w14:textId="77777777" w:rsidR="009173CF" w:rsidRDefault="00D90823">
            <w:pPr>
              <w:rPr>
                <w:sz w:val="20"/>
                <w:szCs w:val="20"/>
              </w:rPr>
            </w:pPr>
            <w:r>
              <w:rPr>
                <w:sz w:val="20"/>
                <w:szCs w:val="20"/>
              </w:rPr>
              <w:t xml:space="preserve">Being aware of negative thinking patterns and returning to the present experience. </w:t>
            </w:r>
          </w:p>
        </w:tc>
        <w:tc>
          <w:tcPr>
            <w:tcW w:w="3006" w:type="dxa"/>
          </w:tcPr>
          <w:p w14:paraId="076B7FD4" w14:textId="77777777" w:rsidR="009173CF" w:rsidRDefault="00D90823">
            <w:pPr>
              <w:rPr>
                <w:sz w:val="20"/>
                <w:szCs w:val="20"/>
              </w:rPr>
            </w:pPr>
            <w:r>
              <w:rPr>
                <w:sz w:val="20"/>
                <w:szCs w:val="20"/>
              </w:rPr>
              <w:t xml:space="preserve">It is helpful for defensive thinking, but it is not a clinical model and should not be used informally to treat staff mental health. </w:t>
            </w:r>
          </w:p>
        </w:tc>
      </w:tr>
      <w:tr w:rsidR="009173CF" w14:paraId="6268298D" w14:textId="77777777">
        <w:tc>
          <w:tcPr>
            <w:tcW w:w="3005" w:type="dxa"/>
          </w:tcPr>
          <w:p w14:paraId="05F78A3D" w14:textId="77777777" w:rsidR="009173CF" w:rsidRDefault="00D90823">
            <w:pPr>
              <w:rPr>
                <w:sz w:val="20"/>
                <w:szCs w:val="20"/>
              </w:rPr>
            </w:pPr>
            <w:r>
              <w:rPr>
                <w:sz w:val="20"/>
                <w:szCs w:val="20"/>
              </w:rPr>
              <w:t>Three-minute breathing space</w:t>
            </w:r>
          </w:p>
        </w:tc>
        <w:tc>
          <w:tcPr>
            <w:tcW w:w="3005" w:type="dxa"/>
          </w:tcPr>
          <w:p w14:paraId="047EECD4" w14:textId="77777777" w:rsidR="009173CF" w:rsidRDefault="00D90823">
            <w:pPr>
              <w:rPr>
                <w:sz w:val="20"/>
                <w:szCs w:val="20"/>
              </w:rPr>
            </w:pPr>
            <w:r>
              <w:rPr>
                <w:sz w:val="20"/>
                <w:szCs w:val="20"/>
              </w:rPr>
              <w:t xml:space="preserve">Pause before replying to a complaint or correcting an employee. </w:t>
            </w:r>
          </w:p>
        </w:tc>
        <w:tc>
          <w:tcPr>
            <w:tcW w:w="3006" w:type="dxa"/>
          </w:tcPr>
          <w:p w14:paraId="14502A01" w14:textId="77777777" w:rsidR="009173CF" w:rsidRDefault="00D90823">
            <w:pPr>
              <w:rPr>
                <w:sz w:val="20"/>
                <w:szCs w:val="20"/>
              </w:rPr>
            </w:pPr>
            <w:r>
              <w:rPr>
                <w:sz w:val="20"/>
                <w:szCs w:val="20"/>
              </w:rPr>
              <w:t xml:space="preserve">Very practical and low cost but depends on if it is practised regularly. </w:t>
            </w:r>
          </w:p>
        </w:tc>
      </w:tr>
      <w:tr w:rsidR="009173CF" w14:paraId="25E07EC1" w14:textId="77777777">
        <w:tc>
          <w:tcPr>
            <w:tcW w:w="3005" w:type="dxa"/>
          </w:tcPr>
          <w:p w14:paraId="510EE11C" w14:textId="77777777" w:rsidR="009173CF" w:rsidRDefault="00D90823">
            <w:pPr>
              <w:rPr>
                <w:sz w:val="20"/>
                <w:szCs w:val="20"/>
              </w:rPr>
            </w:pPr>
            <w:r>
              <w:rPr>
                <w:sz w:val="20"/>
                <w:szCs w:val="20"/>
              </w:rPr>
              <w:t xml:space="preserve">Five senses exercise </w:t>
            </w:r>
          </w:p>
        </w:tc>
        <w:tc>
          <w:tcPr>
            <w:tcW w:w="3005" w:type="dxa"/>
          </w:tcPr>
          <w:p w14:paraId="42DED5AD" w14:textId="77777777" w:rsidR="009173CF" w:rsidRDefault="00D90823">
            <w:pPr>
              <w:rPr>
                <w:sz w:val="20"/>
                <w:szCs w:val="20"/>
              </w:rPr>
            </w:pPr>
            <w:r>
              <w:rPr>
                <w:sz w:val="20"/>
                <w:szCs w:val="20"/>
              </w:rPr>
              <w:t>Grounding before the consultation process.</w:t>
            </w:r>
          </w:p>
        </w:tc>
        <w:tc>
          <w:tcPr>
            <w:tcW w:w="3006" w:type="dxa"/>
          </w:tcPr>
          <w:p w14:paraId="79B813E7" w14:textId="77777777" w:rsidR="009173CF" w:rsidRDefault="00D90823">
            <w:pPr>
              <w:rPr>
                <w:sz w:val="20"/>
                <w:szCs w:val="20"/>
              </w:rPr>
            </w:pPr>
            <w:r>
              <w:rPr>
                <w:sz w:val="20"/>
                <w:szCs w:val="20"/>
              </w:rPr>
              <w:t xml:space="preserve">This is good for immediate attention but should not be linked to reflective reviews. </w:t>
            </w:r>
          </w:p>
        </w:tc>
      </w:tr>
      <w:tr w:rsidR="009173CF" w14:paraId="50C1940C" w14:textId="77777777">
        <w:tc>
          <w:tcPr>
            <w:tcW w:w="3005" w:type="dxa"/>
          </w:tcPr>
          <w:p w14:paraId="306B7314" w14:textId="77777777" w:rsidR="009173CF" w:rsidRDefault="00D90823">
            <w:pPr>
              <w:rPr>
                <w:sz w:val="20"/>
                <w:szCs w:val="20"/>
              </w:rPr>
            </w:pPr>
            <w:r>
              <w:rPr>
                <w:sz w:val="20"/>
                <w:szCs w:val="20"/>
              </w:rPr>
              <w:t>Mindful debrief</w:t>
            </w:r>
          </w:p>
        </w:tc>
        <w:tc>
          <w:tcPr>
            <w:tcW w:w="3005" w:type="dxa"/>
          </w:tcPr>
          <w:p w14:paraId="252A8C40" w14:textId="77777777" w:rsidR="009173CF" w:rsidRDefault="00D90823">
            <w:pPr>
              <w:rPr>
                <w:sz w:val="20"/>
                <w:szCs w:val="20"/>
              </w:rPr>
            </w:pPr>
            <w:r>
              <w:rPr>
                <w:sz w:val="20"/>
                <w:szCs w:val="20"/>
              </w:rPr>
              <w:t xml:space="preserve">After a difficult client, ask what happened. Why did I feel? What did I choose? What will I do next? </w:t>
            </w:r>
          </w:p>
        </w:tc>
        <w:tc>
          <w:tcPr>
            <w:tcW w:w="3006" w:type="dxa"/>
          </w:tcPr>
          <w:p w14:paraId="6C533FC0" w14:textId="77777777" w:rsidR="009173CF" w:rsidRDefault="00D90823">
            <w:pPr>
              <w:rPr>
                <w:sz w:val="20"/>
                <w:szCs w:val="20"/>
              </w:rPr>
            </w:pPr>
            <w:r>
              <w:rPr>
                <w:sz w:val="20"/>
                <w:szCs w:val="20"/>
              </w:rPr>
              <w:t xml:space="preserve">A wonderful way to turn emotion into learning. This may help to prevent blame culture. </w:t>
            </w:r>
          </w:p>
        </w:tc>
      </w:tr>
    </w:tbl>
    <w:p w14:paraId="2D596E65" w14:textId="77777777" w:rsidR="009173CF" w:rsidRDefault="009173CF"/>
    <w:p w14:paraId="5AECF0F5" w14:textId="77777777" w:rsidR="009173CF" w:rsidRDefault="00D90823">
      <w:pPr>
        <w:spacing w:line="360" w:lineRule="auto"/>
        <w:jc w:val="both"/>
      </w:pPr>
      <w:r>
        <w:rPr>
          <w:i/>
          <w:iCs/>
        </w:rPr>
        <w:t>Note.</w:t>
      </w:r>
      <w:r>
        <w:t xml:space="preserve"> Created by Keefe (2026).</w:t>
      </w:r>
    </w:p>
    <w:p w14:paraId="4EE4BFCB" w14:textId="4D2161A3" w:rsidR="009173CF" w:rsidRDefault="00D90823">
      <w:pPr>
        <w:spacing w:line="360" w:lineRule="auto"/>
        <w:jc w:val="both"/>
      </w:pPr>
      <w:r>
        <w:t xml:space="preserve">Table 3 provides critical evaluation of mindfulness tools and applications in the salon. MBSR principles appear to </w:t>
      </w:r>
      <w:r w:rsidR="000C60E9">
        <w:t>accept</w:t>
      </w:r>
      <w:r>
        <w:t xml:space="preserve"> too much of the salon owner's </w:t>
      </w:r>
      <w:r w:rsidR="000C60E9">
        <w:t>time;</w:t>
      </w:r>
      <w:r>
        <w:t xml:space="preserve"> however useful they are with stress management. This would be useful if the owner were stressed. MBCT principles illustrate its use particularly around defensive thinking; however, the owner should tread lightly, as there can be a fine line between dealing with mental health and coaching, plus they need to consider HR law. The three-minute breathing space is low cost, supporting the budget, but should be encouraged and can only be effective if practised regularly. The five senses exercise could be </w:t>
      </w:r>
      <w:r w:rsidR="000C60E9">
        <w:t>an effective way</w:t>
      </w:r>
      <w:r>
        <w:t xml:space="preserve"> to encourage self-reflection; however, the owner needs to be careful that this </w:t>
      </w:r>
      <w:r w:rsidR="000C60E9">
        <w:t>does not</w:t>
      </w:r>
      <w:r>
        <w:t xml:space="preserve"> reflect the employees’ monthly reviews</w:t>
      </w:r>
      <w:r w:rsidR="000C60E9">
        <w:t xml:space="preserve">. </w:t>
      </w:r>
      <w:r>
        <w:t xml:space="preserve">The mindful debrief, like self-reflection, where the employee or manager reflects on how they dealt with any situation and a chance to turn </w:t>
      </w:r>
      <w:r>
        <w:lastRenderedPageBreak/>
        <w:t xml:space="preserve">emotion into learning. This can also help to regulate emotion, as self-control can be balanced as the employee gains competence within </w:t>
      </w:r>
      <w:r w:rsidR="000C60E9">
        <w:t>demanding situations</w:t>
      </w:r>
      <w:r>
        <w:t xml:space="preserve"> (Melnikov </w:t>
      </w:r>
      <w:r>
        <w:rPr>
          <w:i/>
          <w:iCs/>
        </w:rPr>
        <w:t>et al</w:t>
      </w:r>
      <w:r>
        <w:t xml:space="preserve">., 2018). </w:t>
      </w:r>
    </w:p>
    <w:p w14:paraId="389EB1F4" w14:textId="77777777" w:rsidR="009173CF" w:rsidRDefault="00D90823">
      <w:pPr>
        <w:spacing w:line="360" w:lineRule="auto"/>
        <w:jc w:val="both"/>
      </w:pPr>
      <w:r>
        <w:t xml:space="preserve">Recent research shows that EI and mindfulness are linked through the Leader Mindfulness in Communication Model. Suggesting managers that can communicate mindfully are more likely to listen and avoid judgement. This supports EI leadership because it can help to improve trust and workplace relationships with both clients and employees. In contrast, managers who lack EI may be defensive, and employees may become dissatisfied (Du and Xie, 2025). </w:t>
      </w:r>
    </w:p>
    <w:p w14:paraId="3B1DA400" w14:textId="77777777" w:rsidR="009173CF" w:rsidRDefault="00D90823">
      <w:pPr>
        <w:pStyle w:val="Heading2"/>
        <w:numPr>
          <w:ilvl w:val="0"/>
          <w:numId w:val="8"/>
        </w:numPr>
      </w:pPr>
      <w:bookmarkStart w:id="8" w:name="_heading=h.k8b8gtcirnc3" w:colFirst="0" w:colLast="0"/>
      <w:bookmarkEnd w:id="8"/>
      <w:r>
        <w:t xml:space="preserve">Review of Emotions and workplace performance </w:t>
      </w:r>
    </w:p>
    <w:p w14:paraId="7B295CFA" w14:textId="77777777" w:rsidR="009173CF" w:rsidRDefault="00D90823">
      <w:pPr>
        <w:spacing w:line="360" w:lineRule="auto"/>
        <w:jc w:val="both"/>
      </w:pPr>
      <w:r>
        <w:t>Self-reflecting can indicate that the owner is able to remain calm in tricky situations but may not always respond in the preferred way when placed on the spot. This may suggest that professional self-control is present, but cognitive flexibility and verbal response are under pressure. Using Goleman’s model, this is a self-management tool to develop tricky situations in the salon and help with relationship management. The defensive response is understandable because criticism in small, reputation-led busine</w:t>
      </w:r>
      <w:r>
        <w:t xml:space="preserve">sses can feel personal, but defensiveness may reduce listening and make other people feel dismissed. </w:t>
      </w:r>
    </w:p>
    <w:p w14:paraId="7CE0DFDF" w14:textId="77777777" w:rsidR="009173CF" w:rsidRDefault="00D90823">
      <w:pPr>
        <w:spacing w:line="360" w:lineRule="auto"/>
        <w:jc w:val="both"/>
      </w:pPr>
      <w:r>
        <w:t>The circle of concern and circle of influence model is useful here (Covey, 2020). Online opinions, client moods, competitor pricing and social trends may sit in the circle of concern. Clear policies, tone response, consultation quality, staff coaching and compliant processes sit in the circle of influence. This focuses on the influence which supports decision-making better and reduces negative emotions. There are attitude labels, such as 'martyr', 'moaner', 'bully', 'sufferer', ‘do-gooder' or ‘no-hoper', wh</w:t>
      </w:r>
      <w:r>
        <w:t xml:space="preserve">ich can help to identify common patterns, but they should be used carefully because labels can become judgemental. A better approach would be to identify behaviour and need underneath it and move from drama to empowerment. </w:t>
      </w:r>
    </w:p>
    <w:p w14:paraId="59F9745B" w14:textId="77777777" w:rsidR="009173CF" w:rsidRDefault="00D90823">
      <w:pPr>
        <w:spacing w:line="360" w:lineRule="auto"/>
        <w:jc w:val="both"/>
      </w:pPr>
      <w:r>
        <w:t xml:space="preserve">An example within the salon is an employee repeatedly asking the owner to step into difficult client conversations. A drama response may be resentment, rescue or criticism, whereas an empowerment response would be to coach the employee using a script, </w:t>
      </w:r>
      <w:r>
        <w:lastRenderedPageBreak/>
        <w:t xml:space="preserve">observe them over time and debrief Kolb’s cycle. This helps to develop them, be mindful of the client’s experience and supports reducing the owner’s overload. </w:t>
      </w:r>
    </w:p>
    <w:p w14:paraId="51F1BB1F" w14:textId="77777777" w:rsidR="009173CF" w:rsidRDefault="00D90823">
      <w:r>
        <w:rPr>
          <w:b/>
          <w:bCs/>
        </w:rPr>
        <w:t>Table 4.</w:t>
      </w:r>
      <w:r>
        <w:t xml:space="preserve"> </w:t>
      </w:r>
      <w:r>
        <w:rPr>
          <w:i/>
          <w:iCs/>
        </w:rPr>
        <w:t>Self-assessment review</w:t>
      </w:r>
      <w:r>
        <w:t xml:space="preserve"> </w:t>
      </w:r>
    </w:p>
    <w:tbl>
      <w:tblPr>
        <w:tblStyle w:val="a3"/>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5"/>
        <w:gridCol w:w="3005"/>
        <w:gridCol w:w="3006"/>
      </w:tblGrid>
      <w:tr w:rsidR="009173CF" w14:paraId="6DFBA79E" w14:textId="77777777">
        <w:tc>
          <w:tcPr>
            <w:tcW w:w="3005" w:type="dxa"/>
            <w:shd w:val="clear" w:color="auto" w:fill="A6A6A6"/>
          </w:tcPr>
          <w:p w14:paraId="41A47BF6" w14:textId="77777777" w:rsidR="009173CF" w:rsidRDefault="00D90823">
            <w:pPr>
              <w:rPr>
                <w:b/>
                <w:bCs/>
                <w:sz w:val="20"/>
                <w:szCs w:val="20"/>
              </w:rPr>
            </w:pPr>
            <w:r>
              <w:rPr>
                <w:b/>
                <w:bCs/>
                <w:sz w:val="20"/>
                <w:szCs w:val="20"/>
              </w:rPr>
              <w:t>Area</w:t>
            </w:r>
          </w:p>
        </w:tc>
        <w:tc>
          <w:tcPr>
            <w:tcW w:w="3005" w:type="dxa"/>
            <w:shd w:val="clear" w:color="auto" w:fill="A6A6A6"/>
          </w:tcPr>
          <w:p w14:paraId="5E347531" w14:textId="77777777" w:rsidR="009173CF" w:rsidRDefault="00D90823">
            <w:pPr>
              <w:rPr>
                <w:b/>
                <w:bCs/>
                <w:sz w:val="20"/>
                <w:szCs w:val="20"/>
              </w:rPr>
            </w:pPr>
            <w:r>
              <w:rPr>
                <w:b/>
                <w:bCs/>
                <w:sz w:val="20"/>
                <w:szCs w:val="20"/>
              </w:rPr>
              <w:t xml:space="preserve">Current Indication </w:t>
            </w:r>
          </w:p>
        </w:tc>
        <w:tc>
          <w:tcPr>
            <w:tcW w:w="3006" w:type="dxa"/>
            <w:shd w:val="clear" w:color="auto" w:fill="A6A6A6"/>
          </w:tcPr>
          <w:p w14:paraId="1D80B710" w14:textId="77777777" w:rsidR="009173CF" w:rsidRDefault="00D90823">
            <w:pPr>
              <w:rPr>
                <w:b/>
                <w:bCs/>
                <w:sz w:val="20"/>
                <w:szCs w:val="20"/>
              </w:rPr>
            </w:pPr>
            <w:r>
              <w:rPr>
                <w:b/>
                <w:bCs/>
                <w:sz w:val="20"/>
                <w:szCs w:val="20"/>
              </w:rPr>
              <w:t>KPI</w:t>
            </w:r>
          </w:p>
        </w:tc>
      </w:tr>
      <w:tr w:rsidR="009173CF" w14:paraId="6FBB324F" w14:textId="77777777">
        <w:tc>
          <w:tcPr>
            <w:tcW w:w="3005" w:type="dxa"/>
          </w:tcPr>
          <w:p w14:paraId="6A5A4B30" w14:textId="77777777" w:rsidR="009173CF" w:rsidRDefault="00D90823">
            <w:pPr>
              <w:rPr>
                <w:sz w:val="20"/>
                <w:szCs w:val="20"/>
              </w:rPr>
            </w:pPr>
            <w:r>
              <w:rPr>
                <w:sz w:val="20"/>
                <w:szCs w:val="20"/>
              </w:rPr>
              <w:t>Self-awareness</w:t>
            </w:r>
          </w:p>
        </w:tc>
        <w:tc>
          <w:tcPr>
            <w:tcW w:w="3005" w:type="dxa"/>
          </w:tcPr>
          <w:p w14:paraId="250354C5" w14:textId="46FDBF18" w:rsidR="009173CF" w:rsidRDefault="00D90823">
            <w:pPr>
              <w:rPr>
                <w:sz w:val="20"/>
                <w:szCs w:val="20"/>
              </w:rPr>
            </w:pPr>
            <w:r>
              <w:rPr>
                <w:sz w:val="20"/>
                <w:szCs w:val="20"/>
              </w:rPr>
              <w:t xml:space="preserve">Being </w:t>
            </w:r>
            <w:r w:rsidR="000C60E9">
              <w:rPr>
                <w:sz w:val="20"/>
                <w:szCs w:val="20"/>
              </w:rPr>
              <w:t>calm but</w:t>
            </w:r>
            <w:r>
              <w:rPr>
                <w:sz w:val="20"/>
                <w:szCs w:val="20"/>
              </w:rPr>
              <w:t xml:space="preserve"> needs to reflect on better wording. </w:t>
            </w:r>
          </w:p>
        </w:tc>
        <w:tc>
          <w:tcPr>
            <w:tcW w:w="3006" w:type="dxa"/>
          </w:tcPr>
          <w:p w14:paraId="0BD7C55D" w14:textId="77777777" w:rsidR="009173CF" w:rsidRDefault="00D90823">
            <w:pPr>
              <w:rPr>
                <w:sz w:val="20"/>
                <w:szCs w:val="20"/>
              </w:rPr>
            </w:pPr>
            <w:r>
              <w:rPr>
                <w:sz w:val="20"/>
                <w:szCs w:val="20"/>
              </w:rPr>
              <w:t xml:space="preserve">Keep a log of what triggers conversations, KPI-less issues and clear follow up notes. </w:t>
            </w:r>
          </w:p>
        </w:tc>
      </w:tr>
      <w:tr w:rsidR="009173CF" w14:paraId="6FBDEEAC" w14:textId="77777777">
        <w:tc>
          <w:tcPr>
            <w:tcW w:w="3005" w:type="dxa"/>
          </w:tcPr>
          <w:p w14:paraId="7B86035F" w14:textId="77777777" w:rsidR="009173CF" w:rsidRDefault="00D90823">
            <w:pPr>
              <w:rPr>
                <w:sz w:val="20"/>
                <w:szCs w:val="20"/>
              </w:rPr>
            </w:pPr>
            <w:r>
              <w:rPr>
                <w:sz w:val="20"/>
                <w:szCs w:val="20"/>
              </w:rPr>
              <w:t>Self-management</w:t>
            </w:r>
          </w:p>
        </w:tc>
        <w:tc>
          <w:tcPr>
            <w:tcW w:w="3005" w:type="dxa"/>
          </w:tcPr>
          <w:p w14:paraId="5F3C4B52" w14:textId="77777777" w:rsidR="009173CF" w:rsidRDefault="00D90823">
            <w:pPr>
              <w:rPr>
                <w:sz w:val="20"/>
                <w:szCs w:val="20"/>
              </w:rPr>
            </w:pPr>
            <w:r>
              <w:rPr>
                <w:sz w:val="20"/>
                <w:szCs w:val="20"/>
              </w:rPr>
              <w:t>Can stay calm and professional, but defensiveness may show.</w:t>
            </w:r>
          </w:p>
        </w:tc>
        <w:tc>
          <w:tcPr>
            <w:tcW w:w="3006" w:type="dxa"/>
          </w:tcPr>
          <w:p w14:paraId="272273B7" w14:textId="77777777" w:rsidR="009173CF" w:rsidRDefault="00D90823">
            <w:pPr>
              <w:rPr>
                <w:sz w:val="20"/>
                <w:szCs w:val="20"/>
              </w:rPr>
            </w:pPr>
            <w:r>
              <w:rPr>
                <w:sz w:val="20"/>
                <w:szCs w:val="20"/>
              </w:rPr>
              <w:t>Use three-breath pause and five-senses reset before responding. KPI lower the number of complaints</w:t>
            </w:r>
          </w:p>
        </w:tc>
      </w:tr>
      <w:tr w:rsidR="009173CF" w14:paraId="2C67809E" w14:textId="77777777">
        <w:tc>
          <w:tcPr>
            <w:tcW w:w="3005" w:type="dxa"/>
          </w:tcPr>
          <w:p w14:paraId="647A295A" w14:textId="77777777" w:rsidR="009173CF" w:rsidRDefault="00D90823">
            <w:pPr>
              <w:rPr>
                <w:sz w:val="20"/>
                <w:szCs w:val="20"/>
              </w:rPr>
            </w:pPr>
            <w:r>
              <w:rPr>
                <w:sz w:val="20"/>
                <w:szCs w:val="20"/>
              </w:rPr>
              <w:t>Social Awareness</w:t>
            </w:r>
          </w:p>
        </w:tc>
        <w:tc>
          <w:tcPr>
            <w:tcW w:w="3005" w:type="dxa"/>
          </w:tcPr>
          <w:p w14:paraId="3D915F0D" w14:textId="77777777" w:rsidR="009173CF" w:rsidRDefault="00D90823">
            <w:pPr>
              <w:rPr>
                <w:sz w:val="20"/>
                <w:szCs w:val="20"/>
              </w:rPr>
            </w:pPr>
            <w:r>
              <w:rPr>
                <w:sz w:val="20"/>
                <w:szCs w:val="20"/>
              </w:rPr>
              <w:t>Strong focus on the client and professional standards.</w:t>
            </w:r>
          </w:p>
        </w:tc>
        <w:tc>
          <w:tcPr>
            <w:tcW w:w="3006" w:type="dxa"/>
          </w:tcPr>
          <w:p w14:paraId="0CF84B25" w14:textId="77777777" w:rsidR="009173CF" w:rsidRDefault="00D90823">
            <w:pPr>
              <w:rPr>
                <w:sz w:val="20"/>
                <w:szCs w:val="20"/>
              </w:rPr>
            </w:pPr>
            <w:r>
              <w:rPr>
                <w:sz w:val="20"/>
                <w:szCs w:val="20"/>
              </w:rPr>
              <w:t xml:space="preserve">Ask one clear question before explaining. KPI improves the consultation process and feedback. </w:t>
            </w:r>
          </w:p>
        </w:tc>
      </w:tr>
      <w:tr w:rsidR="009173CF" w14:paraId="2DF9F1D7" w14:textId="77777777">
        <w:tc>
          <w:tcPr>
            <w:tcW w:w="3005" w:type="dxa"/>
          </w:tcPr>
          <w:p w14:paraId="19BDED64" w14:textId="77777777" w:rsidR="009173CF" w:rsidRDefault="00D90823">
            <w:pPr>
              <w:rPr>
                <w:sz w:val="20"/>
                <w:szCs w:val="20"/>
              </w:rPr>
            </w:pPr>
            <w:r>
              <w:rPr>
                <w:sz w:val="20"/>
                <w:szCs w:val="20"/>
              </w:rPr>
              <w:t>Relationship Management</w:t>
            </w:r>
          </w:p>
        </w:tc>
        <w:tc>
          <w:tcPr>
            <w:tcW w:w="3005" w:type="dxa"/>
          </w:tcPr>
          <w:p w14:paraId="2648CD74" w14:textId="77777777" w:rsidR="009173CF" w:rsidRDefault="00D90823">
            <w:pPr>
              <w:rPr>
                <w:sz w:val="20"/>
                <w:szCs w:val="20"/>
              </w:rPr>
            </w:pPr>
            <w:r>
              <w:rPr>
                <w:sz w:val="20"/>
                <w:szCs w:val="20"/>
              </w:rPr>
              <w:t xml:space="preserve">Can be stern if needed but protects their professional standards. </w:t>
            </w:r>
          </w:p>
        </w:tc>
        <w:tc>
          <w:tcPr>
            <w:tcW w:w="3006" w:type="dxa"/>
          </w:tcPr>
          <w:p w14:paraId="51FE907D" w14:textId="77777777" w:rsidR="009173CF" w:rsidRDefault="00D90823">
            <w:pPr>
              <w:rPr>
                <w:sz w:val="20"/>
                <w:szCs w:val="20"/>
              </w:rPr>
            </w:pPr>
            <w:r>
              <w:rPr>
                <w:sz w:val="20"/>
                <w:szCs w:val="20"/>
              </w:rPr>
              <w:t xml:space="preserve">Use valuable feedback scripts. KPI: Boost employee confidence and less need for the owner. </w:t>
            </w:r>
          </w:p>
        </w:tc>
      </w:tr>
      <w:tr w:rsidR="009173CF" w14:paraId="56228DF0" w14:textId="77777777">
        <w:tc>
          <w:tcPr>
            <w:tcW w:w="3005" w:type="dxa"/>
          </w:tcPr>
          <w:p w14:paraId="68BF8431" w14:textId="77777777" w:rsidR="009173CF" w:rsidRDefault="00D90823">
            <w:pPr>
              <w:rPr>
                <w:sz w:val="20"/>
                <w:szCs w:val="20"/>
              </w:rPr>
            </w:pPr>
            <w:r>
              <w:rPr>
                <w:sz w:val="20"/>
                <w:szCs w:val="20"/>
              </w:rPr>
              <w:t>Mindfulness</w:t>
            </w:r>
          </w:p>
        </w:tc>
        <w:tc>
          <w:tcPr>
            <w:tcW w:w="3005" w:type="dxa"/>
          </w:tcPr>
          <w:p w14:paraId="163F49C2" w14:textId="77777777" w:rsidR="009173CF" w:rsidRDefault="00D90823">
            <w:pPr>
              <w:rPr>
                <w:sz w:val="20"/>
                <w:szCs w:val="20"/>
              </w:rPr>
            </w:pPr>
            <w:r>
              <w:rPr>
                <w:sz w:val="20"/>
                <w:szCs w:val="20"/>
              </w:rPr>
              <w:t xml:space="preserve">This is useful for automatic pilots. </w:t>
            </w:r>
          </w:p>
        </w:tc>
        <w:tc>
          <w:tcPr>
            <w:tcW w:w="3006" w:type="dxa"/>
          </w:tcPr>
          <w:p w14:paraId="14FD57EB" w14:textId="77777777" w:rsidR="009173CF" w:rsidRDefault="00D90823">
            <w:pPr>
              <w:rPr>
                <w:sz w:val="20"/>
                <w:szCs w:val="20"/>
              </w:rPr>
            </w:pPr>
            <w:r>
              <w:rPr>
                <w:sz w:val="20"/>
                <w:szCs w:val="20"/>
              </w:rPr>
              <w:t xml:space="preserve">Two-minute reset before reviews and treatments. KPI, better decision-making and emotional recovery. </w:t>
            </w:r>
          </w:p>
        </w:tc>
      </w:tr>
    </w:tbl>
    <w:p w14:paraId="06AC198A" w14:textId="77777777" w:rsidR="009173CF" w:rsidRDefault="009173CF"/>
    <w:p w14:paraId="135C8573" w14:textId="77777777" w:rsidR="009173CF" w:rsidRDefault="00D90823">
      <w:pPr>
        <w:spacing w:line="360" w:lineRule="auto"/>
        <w:jc w:val="both"/>
      </w:pPr>
      <w:r>
        <w:t xml:space="preserve">Note: Created by (Keefe, 2026). </w:t>
      </w:r>
    </w:p>
    <w:p w14:paraId="5F7836BC" w14:textId="77777777" w:rsidR="009173CF" w:rsidRDefault="00D90823">
      <w:pPr>
        <w:spacing w:line="360" w:lineRule="auto"/>
        <w:jc w:val="both"/>
      </w:pPr>
      <w:r>
        <w:t xml:space="preserve">Table 4 identifies the area of EI against its current indication and KPI. Self-management can be achieved through remaining calm and professional, despite the current situation. The KPI would be to lower the number of complaints, for example. </w:t>
      </w:r>
    </w:p>
    <w:p w14:paraId="21D8BFB6" w14:textId="77777777" w:rsidR="009173CF" w:rsidRDefault="00D90823">
      <w:pPr>
        <w:pStyle w:val="Heading2"/>
        <w:numPr>
          <w:ilvl w:val="0"/>
          <w:numId w:val="1"/>
        </w:numPr>
      </w:pPr>
      <w:bookmarkStart w:id="9" w:name="_heading=h.o4v9kgdjijw2" w:colFirst="0" w:colLast="0"/>
      <w:bookmarkEnd w:id="9"/>
      <w:r>
        <w:t>Organisational evidence: Transport for London and critical analysis</w:t>
      </w:r>
    </w:p>
    <w:p w14:paraId="133F74CC" w14:textId="77777777" w:rsidR="009173CF" w:rsidRDefault="00D90823">
      <w:pPr>
        <w:spacing w:line="360" w:lineRule="auto"/>
        <w:jc w:val="both"/>
      </w:pPr>
      <w:r>
        <w:t>Transport for London (TFL) is a useful organisational comparison because it has used well-being and conversation-based leadership interventions. There is published case material that describes people’s initiatives focused on active listening, empathy, inclusion and feedback through “Conversation Matters” (Business Culture Awards, 2023). The strength of this example is that it links emotional capability to measure organisational needs such as stress, trust, absence, safety and performance. It also fits curre</w:t>
      </w:r>
      <w:r>
        <w:t xml:space="preserve">nt UK concerns about work-related stress, as the Health and Safety Executive (HSE) reported 964,000 workers suffering from work-related stress, depression and anxiety in the UK in 2024/2025 (HSE, 2025). </w:t>
      </w:r>
    </w:p>
    <w:p w14:paraId="04707B1F" w14:textId="77777777" w:rsidR="009173CF" w:rsidRDefault="00D90823">
      <w:pPr>
        <w:spacing w:line="360" w:lineRule="auto"/>
        <w:jc w:val="both"/>
      </w:pPr>
      <w:r>
        <w:lastRenderedPageBreak/>
        <w:t>However, the limitation is that case studies are different from independent academic evaluation, as they often highlight success and may not report all failures. For this assignment, TFL supports the idea that EI and mindfulness interventions can be scaled and aligned to organisational strategy, but it does not prove that all interventions will work in a small salon. The lesson for the salon is to avoid copying the programme and instead copy the logic, which is to identify any performance issues, train bett</w:t>
      </w:r>
      <w:r>
        <w:t xml:space="preserve">er behaviour, support practice and measure outcomes. </w:t>
      </w:r>
    </w:p>
    <w:p w14:paraId="6A3012E6" w14:textId="77777777" w:rsidR="009173CF" w:rsidRDefault="00D90823">
      <w:pPr>
        <w:pStyle w:val="Heading2"/>
        <w:ind w:firstLine="720"/>
      </w:pPr>
      <w:bookmarkStart w:id="10" w:name="_heading=h.pyv3jdh2u65l" w:colFirst="0" w:colLast="0"/>
      <w:bookmarkEnd w:id="10"/>
      <w:r>
        <w:t xml:space="preserve">10.0 </w:t>
      </w:r>
      <w:r>
        <w:tab/>
        <w:t xml:space="preserve">Recommendations </w:t>
      </w:r>
    </w:p>
    <w:p w14:paraId="5151FC10" w14:textId="7681D264" w:rsidR="009173CF" w:rsidRDefault="00D90823">
      <w:pPr>
        <w:spacing w:line="360" w:lineRule="auto"/>
        <w:jc w:val="both"/>
      </w:pPr>
      <w:r>
        <w:t xml:space="preserve">The chance to introduce a simple EI </w:t>
      </w:r>
      <w:r w:rsidR="000C60E9">
        <w:t>self-using</w:t>
      </w:r>
      <w:r>
        <w:t xml:space="preserve"> Goleman’s four domains and repeat it every three months. Use scripts to support staff when dealing with difficult clients and observe their performance and feedback when appropriate. Apply 70:20:10 development approach with supervised consultations, observation and short formal CPD sessions on communication, complaints and emotional behaviour. Create a two-minute mindfulness routine before high-pressure consultations or difficult conversations such as breathing exercises. Measure business impact through KP</w:t>
      </w:r>
      <w:r>
        <w:t>Is which include client retention, complaint rate, documentation quality, customer feedback and employee independence.</w:t>
      </w:r>
    </w:p>
    <w:p w14:paraId="513FCAFA" w14:textId="77777777" w:rsidR="009173CF" w:rsidRDefault="00D90823">
      <w:pPr>
        <w:pStyle w:val="Heading2"/>
        <w:ind w:firstLine="720"/>
      </w:pPr>
      <w:bookmarkStart w:id="11" w:name="_heading=h.b41xdmhc2bz1" w:colFirst="0" w:colLast="0"/>
      <w:bookmarkEnd w:id="11"/>
      <w:r>
        <w:t xml:space="preserve">11.0 </w:t>
      </w:r>
      <w:r>
        <w:tab/>
        <w:t xml:space="preserve">Conclusion </w:t>
      </w:r>
    </w:p>
    <w:p w14:paraId="175AB882" w14:textId="77777777" w:rsidR="009173CF" w:rsidRDefault="00D90823">
      <w:pPr>
        <w:spacing w:line="360" w:lineRule="auto"/>
        <w:jc w:val="both"/>
      </w:pPr>
      <w:r>
        <w:t>EI is relevant to workplace development and performance because emotions influence how we deal with difficulties, such as learning, communicating, decision-making and experiencing service. The strongest model reviewed is the Mayer-Salovey-Caruso ability model (2016), while the most practical leadership model for the salon was Goleman’s competency framework. Bar-On adds value by including stress tolerance and adaptability, and Plutchik (1980) supports emotional literacy by helping staff name emotions more ac</w:t>
      </w:r>
      <w:r>
        <w:t xml:space="preserve">curately. Mindfulness tools complement EI, as it creates a pause needed to move from the autopilot to the behaviour of choice. </w:t>
      </w:r>
    </w:p>
    <w:p w14:paraId="0E6504FB" w14:textId="77777777" w:rsidR="009173CF" w:rsidRDefault="00D90823">
      <w:pPr>
        <w:spacing w:line="360" w:lineRule="auto"/>
        <w:jc w:val="both"/>
      </w:pPr>
      <w:r>
        <w:t xml:space="preserve">Critically, EI and mindfulness are not magic solutions, and they do not come naturally for certain people, depending on background and experiences, and they must link to systems, standards and measurable outcomes; otherwise, they become vague. In a salon setting, emotionally intelligent leadership can improve staff development, client </w:t>
      </w:r>
      <w:r>
        <w:lastRenderedPageBreak/>
        <w:t xml:space="preserve">trust, complaint handling and the service provided, but only when combined with clear policies, safe practice, and consistent feedback. The overall review exposes a useful development point: calmness is already a strength; the next stage would be to respond with clarity and reduce defensiveness. Reflection tools prove to be useful in developing the owner and their staff. </w:t>
      </w:r>
    </w:p>
    <w:p w14:paraId="547CDC09" w14:textId="77777777" w:rsidR="009173CF" w:rsidRDefault="00D90823">
      <w:pPr>
        <w:pStyle w:val="Heading2"/>
        <w:ind w:firstLine="360"/>
      </w:pPr>
      <w:bookmarkStart w:id="12" w:name="_heading=h.sxsu805slrx6" w:colFirst="0" w:colLast="0"/>
      <w:bookmarkEnd w:id="12"/>
      <w:r>
        <w:t>References</w:t>
      </w:r>
    </w:p>
    <w:p w14:paraId="551230B7" w14:textId="77777777" w:rsidR="009173CF" w:rsidRDefault="00D90823">
      <w:pPr>
        <w:spacing w:after="60"/>
        <w:ind w:left="360" w:hanging="720"/>
      </w:pPr>
      <w:r>
        <w:t>Bar-On, R. (2006). The Bar-On model of emotional-social intelligence. Psicothema, 18(Suppl), 13-25.</w:t>
      </w:r>
    </w:p>
    <w:p w14:paraId="7E8DDA29" w14:textId="3C17E41E" w:rsidR="009173CF" w:rsidRDefault="00D90823">
      <w:pPr>
        <w:spacing w:after="60"/>
        <w:ind w:left="360" w:hanging="720"/>
      </w:pPr>
      <w:r>
        <w:t>Business Culture Awards. (2023). Coaching through conversation and empathy shifts talent and performance management at Transport for London. Business Culture Awards.</w:t>
      </w:r>
      <w:r w:rsidR="00000E85">
        <w:t xml:space="preserve"> </w:t>
      </w:r>
      <w:hyperlink r:id="rId14" w:history="1">
        <w:r w:rsidR="00000E85" w:rsidRPr="000C60E9">
          <w:rPr>
            <w:rStyle w:val="Hyperlink"/>
            <w:color w:val="0070C0"/>
          </w:rPr>
          <w:t>https://</w:t>
        </w:r>
        <w:r w:rsidR="00000E85" w:rsidRPr="000C60E9">
          <w:rPr>
            <w:rStyle w:val="Hyperlink"/>
            <w:color w:val="0070C0"/>
          </w:rPr>
          <w:t>businesscultureawards.com/business-culture-case-studies/coaching-through-conversation-and-empathy-shifts-talent-and-performance-management-at-transport-for-london/</w:t>
        </w:r>
      </w:hyperlink>
      <w:r w:rsidR="00000E85" w:rsidRPr="000C60E9">
        <w:rPr>
          <w:color w:val="0070C0"/>
        </w:rPr>
        <w:t xml:space="preserve"> </w:t>
      </w:r>
    </w:p>
    <w:p w14:paraId="22F756CD" w14:textId="77777777" w:rsidR="009173CF" w:rsidRPr="00000E85" w:rsidRDefault="00D90823">
      <w:pPr>
        <w:spacing w:after="60"/>
        <w:ind w:left="360" w:hanging="720"/>
        <w:rPr>
          <w:color w:val="0070C0"/>
        </w:rPr>
      </w:pPr>
      <w:r>
        <w:t xml:space="preserve">Caruso, D. R., Salovey, P., Brackett, M. A., &amp; Mayer, J. D. (2015). The ability model of emotional intelligence. In S. Joseph (Ed.), </w:t>
      </w:r>
      <w:r>
        <w:rPr>
          <w:i/>
          <w:iCs/>
        </w:rPr>
        <w:t>Positive psychology in practice</w:t>
      </w:r>
      <w:r>
        <w:t xml:space="preserve"> (2nd ed., pp. 543–558). Wiley. </w:t>
      </w:r>
      <w:hyperlink r:id="rId15">
        <w:r w:rsidRPr="00000E85">
          <w:rPr>
            <w:color w:val="0070C0"/>
            <w:u w:val="single"/>
          </w:rPr>
          <w:t>https://doi.org/10.1002/9781118996874.ch32</w:t>
        </w:r>
      </w:hyperlink>
    </w:p>
    <w:p w14:paraId="05C9AC5A" w14:textId="77777777" w:rsidR="009173CF" w:rsidRDefault="00D90823">
      <w:pPr>
        <w:spacing w:after="60"/>
        <w:ind w:left="360" w:hanging="720"/>
      </w:pPr>
      <w:r>
        <w:t xml:space="preserve">Charness, G., Le Bihan, Y., &amp; Villeval, M. C. (2024). Mindfulness training, cognitive performance and stress reduction. Journal of Economic </w:t>
      </w:r>
      <w:r>
        <w:t>Behaviour</w:t>
      </w:r>
      <w:r>
        <w:t xml:space="preserve"> &amp; Organization, 217, 207-226. </w:t>
      </w:r>
      <w:hyperlink r:id="rId16">
        <w:r>
          <w:rPr>
            <w:color w:val="467886"/>
            <w:u w:val="single"/>
          </w:rPr>
          <w:t>https://doi.org/10.1016/j.jebo.2023.10.027</w:t>
        </w:r>
      </w:hyperlink>
      <w:r>
        <w:t xml:space="preserve"> </w:t>
      </w:r>
    </w:p>
    <w:p w14:paraId="24E59CD0" w14:textId="77777777" w:rsidR="009173CF" w:rsidRDefault="00D90823">
      <w:pPr>
        <w:spacing w:after="60"/>
        <w:ind w:left="360" w:hanging="720"/>
      </w:pPr>
      <w:r>
        <w:t xml:space="preserve">Chems-Maarif, R., Cavanagh, K., Baer, R., Gu, J., &amp; Strauss, C. (2025). Defining mindfulness: A review of existing definitions and suggested refinements. Mindfulness, 16, 1-20. </w:t>
      </w:r>
      <w:hyperlink r:id="rId17">
        <w:r>
          <w:rPr>
            <w:color w:val="467886"/>
            <w:u w:val="single"/>
          </w:rPr>
          <w:t>https://doi.org/10.1007/s12671-024-02507-2</w:t>
        </w:r>
      </w:hyperlink>
      <w:r>
        <w:t xml:space="preserve"> </w:t>
      </w:r>
    </w:p>
    <w:p w14:paraId="17BDA02C" w14:textId="77777777" w:rsidR="009173CF" w:rsidRDefault="00D90823">
      <w:pPr>
        <w:spacing w:after="60"/>
        <w:ind w:left="360" w:hanging="720"/>
      </w:pPr>
      <w:r>
        <w:t xml:space="preserve">Choi, H. K. (2023). Perceived justice and customer loyalty in the situation of service recovery in the beauty service industry. SAGE Open, 13(4), 21582440231217729. </w:t>
      </w:r>
      <w:hyperlink r:id="rId18">
        <w:r>
          <w:rPr>
            <w:color w:val="467886"/>
            <w:u w:val="single"/>
          </w:rPr>
          <w:t>https://doi.org/10.1177/21582440231217729</w:t>
        </w:r>
      </w:hyperlink>
      <w:r>
        <w:t xml:space="preserve"> </w:t>
      </w:r>
    </w:p>
    <w:p w14:paraId="60B66BD5" w14:textId="77777777" w:rsidR="009173CF" w:rsidRDefault="00D90823">
      <w:pPr>
        <w:spacing w:after="60"/>
        <w:ind w:left="360" w:hanging="720"/>
      </w:pPr>
      <w:r>
        <w:t xml:space="preserve">Chu, B., Marwaha, K., Sanvictores, T., Awosika, A. O., &amp; Ayers, D. (2024). Physiology, stress reaction. In </w:t>
      </w:r>
      <w:r>
        <w:rPr>
          <w:i/>
          <w:iCs/>
        </w:rPr>
        <w:t>StatPearls</w:t>
      </w:r>
      <w:r>
        <w:t xml:space="preserve">. StatPearls Publishing. </w:t>
      </w:r>
      <w:hyperlink r:id="rId19">
        <w:r w:rsidRPr="00000E85">
          <w:rPr>
            <w:color w:val="0070C0"/>
            <w:u w:val="single"/>
          </w:rPr>
          <w:t>https://www.ncbi.nlm.nih.gov/books/NBK541120/</w:t>
        </w:r>
      </w:hyperlink>
    </w:p>
    <w:p w14:paraId="5153BEE4" w14:textId="77777777" w:rsidR="009173CF" w:rsidRPr="00000E85" w:rsidRDefault="00D90823">
      <w:pPr>
        <w:spacing w:after="60"/>
        <w:ind w:left="360" w:hanging="720"/>
        <w:rPr>
          <w:color w:val="0070C0"/>
        </w:rPr>
      </w:pPr>
      <w:r>
        <w:t>CIPD. (2023). Learning at work 2023: Survey report. Chartered Institute of Personnel and Development.</w:t>
      </w:r>
      <w:r>
        <w:t xml:space="preserve"> </w:t>
      </w:r>
      <w:hyperlink r:id="rId20">
        <w:r w:rsidRPr="00000E85">
          <w:rPr>
            <w:color w:val="0070C0"/>
            <w:u w:val="single"/>
          </w:rPr>
          <w:t>https://www.cipd.org/globalassets/media/knowledge/knowledge-hub/reports/2023-pdfs/2023-learning-at-work-survey-report-8378.pdf</w:t>
        </w:r>
      </w:hyperlink>
      <w:r w:rsidRPr="00000E85">
        <w:rPr>
          <w:color w:val="0070C0"/>
        </w:rPr>
        <w:t xml:space="preserve"> </w:t>
      </w:r>
    </w:p>
    <w:p w14:paraId="14CF1BFB" w14:textId="77777777" w:rsidR="009173CF" w:rsidRDefault="00D90823">
      <w:pPr>
        <w:spacing w:after="60"/>
        <w:ind w:left="360" w:hanging="720"/>
      </w:pPr>
      <w:r>
        <w:t xml:space="preserve">CIPD. (2025a). Workforce planning factsheet. Chartered Institute of Personnel and Development. </w:t>
      </w:r>
      <w:hyperlink r:id="rId21">
        <w:r w:rsidRPr="00000E85">
          <w:rPr>
            <w:color w:val="0070C0"/>
            <w:u w:val="single"/>
          </w:rPr>
          <w:t>https://www.cipd.org/uk/knowledge/factsheets/workforce-planning-factsheet/</w:t>
        </w:r>
      </w:hyperlink>
      <w:r w:rsidRPr="00000E85">
        <w:rPr>
          <w:color w:val="0070C0"/>
        </w:rPr>
        <w:t xml:space="preserve"> </w:t>
      </w:r>
    </w:p>
    <w:p w14:paraId="687115EB" w14:textId="77777777" w:rsidR="009173CF" w:rsidRDefault="00D90823">
      <w:pPr>
        <w:spacing w:after="60"/>
        <w:ind w:left="360" w:hanging="720"/>
      </w:pPr>
      <w:r>
        <w:t xml:space="preserve">CIPD. (2025b). Learning and development strategy and policy factsheet. Chartered Institute of Personnel and Development. </w:t>
      </w:r>
      <w:hyperlink r:id="rId22">
        <w:r w:rsidRPr="00000E85">
          <w:rPr>
            <w:color w:val="0070C0"/>
            <w:u w:val="single"/>
          </w:rPr>
          <w:t>https://www.cipd.org/uk/knowledge/factsheets/strategy-development-factsheet/</w:t>
        </w:r>
      </w:hyperlink>
      <w:r w:rsidRPr="00000E85">
        <w:rPr>
          <w:color w:val="0070C0"/>
        </w:rPr>
        <w:t xml:space="preserve"> </w:t>
      </w:r>
    </w:p>
    <w:p w14:paraId="5562B8E1" w14:textId="77777777" w:rsidR="009173CF" w:rsidRPr="00000E85" w:rsidRDefault="00D90823">
      <w:pPr>
        <w:spacing w:after="60"/>
        <w:ind w:left="360" w:hanging="720"/>
        <w:rPr>
          <w:color w:val="0070C0"/>
        </w:rPr>
      </w:pPr>
      <w:r>
        <w:lastRenderedPageBreak/>
        <w:t xml:space="preserve">Coronado-Maldonado, I., &amp; Benítez-Márquez, M. D. (2023). Emotional intelligence, leadership, and work teams: A hybrid literature review. Heliyon, 9(10), Article e20356. </w:t>
      </w:r>
      <w:hyperlink r:id="rId23">
        <w:r w:rsidRPr="00000E85">
          <w:rPr>
            <w:color w:val="0070C0"/>
            <w:u w:val="single"/>
          </w:rPr>
          <w:t>https://doi.org/10.1016/j.heliyon.2023.e20356</w:t>
        </w:r>
      </w:hyperlink>
      <w:r w:rsidRPr="00000E85">
        <w:rPr>
          <w:color w:val="0070C0"/>
        </w:rPr>
        <w:t xml:space="preserve"> </w:t>
      </w:r>
    </w:p>
    <w:p w14:paraId="475B67C7" w14:textId="77777777" w:rsidR="009173CF" w:rsidRPr="00000E85" w:rsidRDefault="00D90823">
      <w:pPr>
        <w:spacing w:after="60"/>
        <w:ind w:left="360" w:hanging="720"/>
        <w:rPr>
          <w:rFonts w:cstheme="majorHAnsi"/>
        </w:rPr>
      </w:pPr>
      <w:r w:rsidRPr="00000E85">
        <w:rPr>
          <w:rFonts w:eastAsia="Arial" w:cstheme="majorHAnsi"/>
          <w:highlight w:val="white"/>
        </w:rPr>
        <w:t xml:space="preserve">Covey, S. R. (2020). </w:t>
      </w:r>
      <w:r w:rsidRPr="00000E85">
        <w:rPr>
          <w:rFonts w:eastAsia="Arial" w:cstheme="majorHAnsi"/>
          <w:i/>
          <w:iCs/>
          <w:highlight w:val="white"/>
        </w:rPr>
        <w:t>The 7 habits of highly effective people</w:t>
      </w:r>
      <w:r w:rsidRPr="00000E85">
        <w:rPr>
          <w:rFonts w:ascii="Arial" w:eastAsia="Arial" w:hAnsi="Arial" w:cs="Arial"/>
          <w:i/>
          <w:iCs/>
          <w:highlight w:val="white"/>
        </w:rPr>
        <w:t> </w:t>
      </w:r>
      <w:r w:rsidRPr="00000E85">
        <w:rPr>
          <w:rFonts w:eastAsia="Arial" w:cstheme="majorHAnsi"/>
          <w:i/>
          <w:iCs/>
          <w:highlight w:val="white"/>
        </w:rPr>
        <w:t>: powerful lessons in personal change</w:t>
      </w:r>
      <w:r w:rsidRPr="00000E85">
        <w:rPr>
          <w:rFonts w:eastAsia="Arial" w:cstheme="majorHAnsi"/>
          <w:highlight w:val="white"/>
        </w:rPr>
        <w:t xml:space="preserve"> (J. Collins, Ill.). Simon &amp; Schuster.</w:t>
      </w:r>
      <w:r w:rsidRPr="00000E85">
        <w:rPr>
          <w:rFonts w:cstheme="majorHAnsi"/>
        </w:rPr>
        <w:t xml:space="preserve"> </w:t>
      </w:r>
    </w:p>
    <w:p w14:paraId="18A9278B" w14:textId="77777777" w:rsidR="009173CF" w:rsidRDefault="00D90823">
      <w:pPr>
        <w:spacing w:after="60"/>
        <w:ind w:left="360" w:hanging="720"/>
      </w:pPr>
      <w:r>
        <w:t xml:space="preserve">Doğru, Ç. (2022). A meta-analysis of the relationships between emotional intelligence and employee outcomes. Frontiers in Psychology, 13, Article 611348. </w:t>
      </w:r>
      <w:hyperlink r:id="rId24">
        <w:r w:rsidRPr="00000E85">
          <w:rPr>
            <w:color w:val="0070C0"/>
            <w:u w:val="single"/>
          </w:rPr>
          <w:t>https://doi.org/10.3389/fpsyg.2022.611348</w:t>
        </w:r>
      </w:hyperlink>
      <w:r>
        <w:t xml:space="preserve"> </w:t>
      </w:r>
    </w:p>
    <w:p w14:paraId="2C5EC8B4" w14:textId="77777777" w:rsidR="009173CF" w:rsidRDefault="00D90823">
      <w:pPr>
        <w:spacing w:after="60"/>
        <w:ind w:left="360" w:hanging="720"/>
      </w:pPr>
      <w:r>
        <w:t xml:space="preserve">Doroc, K., Yadav, N., &amp; Murawski, C. (2025). Acute stress impairs decision-making at varying levels of decision complexity. Communications Psychology, 3, Article 179. </w:t>
      </w:r>
      <w:hyperlink r:id="rId25">
        <w:r w:rsidRPr="00000E85">
          <w:rPr>
            <w:color w:val="0070C0"/>
            <w:u w:val="single"/>
          </w:rPr>
          <w:t>https://doi.org/10.1038/s44271-025-00355-x</w:t>
        </w:r>
      </w:hyperlink>
      <w:r w:rsidRPr="00000E85">
        <w:rPr>
          <w:color w:val="0070C0"/>
        </w:rPr>
        <w:t xml:space="preserve"> </w:t>
      </w:r>
    </w:p>
    <w:p w14:paraId="4B4666A0" w14:textId="77777777" w:rsidR="009173CF" w:rsidRDefault="00D90823">
      <w:pPr>
        <w:spacing w:after="60"/>
        <w:ind w:left="360" w:hanging="720"/>
        <w:rPr>
          <w:rFonts w:ascii="Arial" w:eastAsia="Arial" w:hAnsi="Arial" w:cs="Arial"/>
          <w:color w:val="3A3A3A"/>
          <w:sz w:val="23"/>
          <w:szCs w:val="23"/>
        </w:rPr>
      </w:pPr>
      <w:r>
        <w:t xml:space="preserve">Du, S., &amp; Xie, W. (2025) The impact of leader mindfulness in communication on employees' psychological safety. </w:t>
      </w:r>
      <w:r>
        <w:rPr>
          <w:rFonts w:ascii="Arial" w:eastAsia="Arial" w:hAnsi="Arial" w:cs="Arial"/>
          <w:i/>
          <w:iCs/>
          <w:color w:val="3A3A3A"/>
          <w:sz w:val="23"/>
          <w:szCs w:val="23"/>
        </w:rPr>
        <w:t>Frontiers in Psychology</w:t>
      </w:r>
      <w:r>
        <w:rPr>
          <w:rFonts w:ascii="Arial" w:eastAsia="Arial" w:hAnsi="Arial" w:cs="Arial"/>
          <w:color w:val="3A3A3A"/>
          <w:sz w:val="23"/>
          <w:szCs w:val="23"/>
        </w:rPr>
        <w:t xml:space="preserve">, </w:t>
      </w:r>
      <w:r>
        <w:rPr>
          <w:rFonts w:ascii="Arial" w:eastAsia="Arial" w:hAnsi="Arial" w:cs="Arial"/>
          <w:i/>
          <w:iCs/>
          <w:color w:val="3A3A3A"/>
          <w:sz w:val="23"/>
          <w:szCs w:val="23"/>
        </w:rPr>
        <w:t>16</w:t>
      </w:r>
      <w:r>
        <w:rPr>
          <w:rFonts w:ascii="Arial" w:eastAsia="Arial" w:hAnsi="Arial" w:cs="Arial"/>
          <w:color w:val="3A3A3A"/>
          <w:sz w:val="23"/>
          <w:szCs w:val="23"/>
        </w:rPr>
        <w:t xml:space="preserve">, 1540820. </w:t>
      </w:r>
      <w:hyperlink r:id="rId26">
        <w:r>
          <w:rPr>
            <w:rFonts w:ascii="Arial" w:eastAsia="Arial" w:hAnsi="Arial" w:cs="Arial"/>
            <w:color w:val="1155CC"/>
            <w:sz w:val="23"/>
            <w:szCs w:val="23"/>
            <w:u w:val="single"/>
          </w:rPr>
          <w:t>https://doi.org/10.3389/fpsyg.2025.1540820</w:t>
        </w:r>
      </w:hyperlink>
      <w:r>
        <w:rPr>
          <w:rFonts w:ascii="Arial" w:eastAsia="Arial" w:hAnsi="Arial" w:cs="Arial"/>
          <w:color w:val="3A3A3A"/>
          <w:sz w:val="23"/>
          <w:szCs w:val="23"/>
        </w:rPr>
        <w:t xml:space="preserve"> </w:t>
      </w:r>
    </w:p>
    <w:p w14:paraId="34F2B3AA" w14:textId="6F0C6E07" w:rsidR="000C60E9" w:rsidRDefault="000C60E9">
      <w:pPr>
        <w:spacing w:after="60"/>
        <w:ind w:left="360" w:hanging="720"/>
      </w:pPr>
      <w:r w:rsidRPr="000C60E9">
        <w:t>Duncan</w:t>
      </w:r>
      <w:r>
        <w:t>, C</w:t>
      </w:r>
      <w:r w:rsidRPr="000C60E9">
        <w:t>. (1988). Games People Play: the Psychology of Human Relationships: Eric Berne. British Journal of Psychiatry. 152. 440-442. 10.1192/S0007125000219247</w:t>
      </w:r>
    </w:p>
    <w:p w14:paraId="66DBDBAB" w14:textId="77777777" w:rsidR="009173CF" w:rsidRDefault="00D90823">
      <w:pPr>
        <w:spacing w:after="60"/>
        <w:ind w:left="360" w:hanging="720"/>
      </w:pPr>
      <w:r>
        <w:t xml:space="preserve">Fleming, W. J. (2024). Employee well-being outcomes from individual-level mental health interventions: Cross-sectional evidence from the United Kingdom. Industrial Relations Journal, 55(2), 162-182. </w:t>
      </w:r>
      <w:hyperlink r:id="rId27">
        <w:r w:rsidRPr="00000E85">
          <w:rPr>
            <w:color w:val="0070C0"/>
            <w:u w:val="single"/>
          </w:rPr>
          <w:t>https://doi.org/10.1111/irj.1241</w:t>
        </w:r>
      </w:hyperlink>
      <w:r w:rsidRPr="00000E85">
        <w:rPr>
          <w:color w:val="0070C0"/>
        </w:rPr>
        <w:t xml:space="preserve">8 </w:t>
      </w:r>
    </w:p>
    <w:p w14:paraId="1B871D45" w14:textId="77777777" w:rsidR="009173CF" w:rsidRDefault="00D90823">
      <w:pPr>
        <w:spacing w:after="60"/>
        <w:ind w:left="360" w:hanging="720"/>
      </w:pPr>
      <w:r>
        <w:rPr>
          <w:rFonts w:ascii="Arial" w:eastAsia="Arial" w:hAnsi="Arial" w:cs="Arial"/>
          <w:color w:val="3A3A3A"/>
          <w:sz w:val="23"/>
          <w:szCs w:val="23"/>
          <w:highlight w:val="white"/>
        </w:rPr>
        <w:t xml:space="preserve">Goleman, D., &amp; Cherniss, C. (2024). OPTIMAL LEADERSHIP AND EMOTIONAL INTELLIGENCE. </w:t>
      </w:r>
      <w:r>
        <w:rPr>
          <w:rFonts w:ascii="Arial" w:eastAsia="Arial" w:hAnsi="Arial" w:cs="Arial"/>
          <w:i/>
          <w:iCs/>
          <w:color w:val="3A3A3A"/>
          <w:sz w:val="23"/>
          <w:szCs w:val="23"/>
          <w:highlight w:val="white"/>
        </w:rPr>
        <w:t>Leader to Leader</w:t>
      </w:r>
      <w:r>
        <w:rPr>
          <w:rFonts w:ascii="Arial" w:eastAsia="Arial" w:hAnsi="Arial" w:cs="Arial"/>
          <w:color w:val="3A3A3A"/>
          <w:sz w:val="23"/>
          <w:szCs w:val="23"/>
          <w:highlight w:val="white"/>
        </w:rPr>
        <w:t xml:space="preserve">, </w:t>
      </w:r>
      <w:r>
        <w:rPr>
          <w:rFonts w:ascii="Arial" w:eastAsia="Arial" w:hAnsi="Arial" w:cs="Arial"/>
          <w:i/>
          <w:iCs/>
          <w:color w:val="3A3A3A"/>
          <w:sz w:val="23"/>
          <w:szCs w:val="23"/>
          <w:highlight w:val="white"/>
        </w:rPr>
        <w:t>2024</w:t>
      </w:r>
      <w:r>
        <w:rPr>
          <w:rFonts w:ascii="Arial" w:eastAsia="Arial" w:hAnsi="Arial" w:cs="Arial"/>
          <w:color w:val="3A3A3A"/>
          <w:sz w:val="23"/>
          <w:szCs w:val="23"/>
          <w:highlight w:val="white"/>
        </w:rPr>
        <w:t xml:space="preserve">(113), 7–12. </w:t>
      </w:r>
      <w:hyperlink r:id="rId28">
        <w:r>
          <w:rPr>
            <w:rFonts w:ascii="Arial" w:eastAsia="Arial" w:hAnsi="Arial" w:cs="Arial"/>
            <w:color w:val="1155CC"/>
            <w:sz w:val="23"/>
            <w:szCs w:val="23"/>
            <w:highlight w:val="white"/>
            <w:u w:val="single"/>
          </w:rPr>
          <w:t>https://doi.org/10.1002/ltl.20813</w:t>
        </w:r>
      </w:hyperlink>
      <w:r>
        <w:t xml:space="preserve"> </w:t>
      </w:r>
    </w:p>
    <w:p w14:paraId="297A93FE" w14:textId="77777777" w:rsidR="009173CF" w:rsidRPr="00000E85" w:rsidRDefault="00D90823">
      <w:pPr>
        <w:spacing w:after="60"/>
        <w:ind w:left="360" w:hanging="720"/>
        <w:rPr>
          <w:color w:val="0070C0"/>
        </w:rPr>
      </w:pPr>
      <w:r>
        <w:t xml:space="preserve">Goleman, D., Boyatzis, R., &amp; McKee, A. (2013). Primal leadership: Unleashing the power of emotional intelligence. </w:t>
      </w:r>
      <w:r>
        <w:rPr>
          <w:i/>
          <w:iCs/>
        </w:rPr>
        <w:t>Harvard Business Review Press</w:t>
      </w:r>
      <w:r>
        <w:t xml:space="preserve">. Pdf. </w:t>
      </w:r>
      <w:hyperlink r:id="rId29">
        <w:r w:rsidRPr="00000E85">
          <w:rPr>
            <w:color w:val="0070C0"/>
            <w:u w:val="single"/>
          </w:rPr>
          <w:t>file:///C:/Users/User/Downloads/Primal_Leadership_Realizing_the_Power_of_Emotional.pdf</w:t>
        </w:r>
      </w:hyperlink>
      <w:r w:rsidRPr="00000E85">
        <w:rPr>
          <w:color w:val="0070C0"/>
        </w:rPr>
        <w:t xml:space="preserve"> </w:t>
      </w:r>
    </w:p>
    <w:p w14:paraId="5E8C4C64" w14:textId="77777777" w:rsidR="009173CF" w:rsidRDefault="00D90823">
      <w:pPr>
        <w:spacing w:after="60"/>
        <w:ind w:left="360" w:hanging="720"/>
      </w:pPr>
      <w:r>
        <w:t xml:space="preserve">Health and Safety Executive. (2025). Key figures for Great Britain 2024/25. HSE. </w:t>
      </w:r>
      <w:hyperlink r:id="rId30">
        <w:r w:rsidRPr="00000E85">
          <w:rPr>
            <w:color w:val="0070C0"/>
            <w:u w:val="single"/>
          </w:rPr>
          <w:t>https://www.hse.gov.uk/statistics/overview.htm</w:t>
        </w:r>
      </w:hyperlink>
      <w:r>
        <w:t xml:space="preserve"> </w:t>
      </w:r>
    </w:p>
    <w:p w14:paraId="475B7F5B" w14:textId="77777777" w:rsidR="009173CF" w:rsidRDefault="00D90823">
      <w:pPr>
        <w:spacing w:after="60"/>
        <w:ind w:left="360" w:hanging="720"/>
      </w:pPr>
      <w:r>
        <w:t xml:space="preserve">Johnson, S. J., Blackman, D. A., &amp; Buick, F. (2018). The 70:20:10 framework and the transfer of learning. </w:t>
      </w:r>
      <w:r>
        <w:rPr>
          <w:i/>
          <w:iCs/>
        </w:rPr>
        <w:t>Human Resource Development Quarterly, 29</w:t>
      </w:r>
      <w:r>
        <w:t xml:space="preserve">(4), 383–402. </w:t>
      </w:r>
      <w:hyperlink r:id="rId31">
        <w:r>
          <w:rPr>
            <w:color w:val="467886"/>
            <w:u w:val="single"/>
          </w:rPr>
          <w:t>https://doi.org/10.1002/hrdq.21330</w:t>
        </w:r>
      </w:hyperlink>
      <w:r>
        <w:t xml:space="preserve"> </w:t>
      </w:r>
    </w:p>
    <w:p w14:paraId="1C319689" w14:textId="77777777" w:rsidR="009173CF" w:rsidRDefault="00D90823">
      <w:pPr>
        <w:spacing w:after="60"/>
        <w:ind w:left="360" w:hanging="720"/>
      </w:pPr>
      <w:r>
        <w:t xml:space="preserve">Kabat-Zinn, J. (2003). Mindfulness-based interventions in context: Past, present, and future. </w:t>
      </w:r>
      <w:r>
        <w:rPr>
          <w:i/>
          <w:iCs/>
        </w:rPr>
        <w:t>Clinical Psychology: Science and Practice, 10</w:t>
      </w:r>
      <w:r>
        <w:t xml:space="preserve">(2), 144–156. </w:t>
      </w:r>
      <w:hyperlink r:id="rId32">
        <w:r>
          <w:rPr>
            <w:color w:val="467886"/>
            <w:u w:val="single"/>
          </w:rPr>
          <w:t>https://doi.org/10.1093/clipsy.bpg016</w:t>
        </w:r>
      </w:hyperlink>
    </w:p>
    <w:p w14:paraId="3568BC65" w14:textId="77777777" w:rsidR="009173CF" w:rsidRDefault="00D90823">
      <w:pPr>
        <w:spacing w:after="60"/>
        <w:ind w:left="360" w:hanging="720"/>
      </w:pPr>
      <w:r>
        <w:t xml:space="preserve">Karpman, S. B. (1968). Fairy tales and script drama analysis. Transactional Analysis Bulletin, 7(26), 39-43. </w:t>
      </w:r>
      <w:hyperlink r:id="rId33">
        <w:r>
          <w:rPr>
            <w:color w:val="467886"/>
            <w:u w:val="single"/>
          </w:rPr>
          <w:t>https://karpmandramatriangle.com/pdf/DramaTriangle.pdf</w:t>
        </w:r>
      </w:hyperlink>
      <w:r>
        <w:t xml:space="preserve"> </w:t>
      </w:r>
    </w:p>
    <w:p w14:paraId="0E103221" w14:textId="77777777" w:rsidR="009173CF" w:rsidRDefault="00D90823">
      <w:pPr>
        <w:spacing w:after="60"/>
        <w:ind w:left="360" w:hanging="720"/>
      </w:pPr>
      <w:r>
        <w:t>Kolb, D. A. (1984). Experiential Learning: Experience as the Source of Learning and Development. Englewood Cliffs, NJ: Prentice Hall.</w:t>
      </w:r>
      <w:r>
        <w:br/>
      </w:r>
      <w:hyperlink r:id="rId34">
        <w:r>
          <w:rPr>
            <w:color w:val="467886"/>
            <w:u w:val="single"/>
          </w:rPr>
          <w:t>http://academic.regis.edu/ed205/Kolb.pdf</w:t>
        </w:r>
      </w:hyperlink>
    </w:p>
    <w:p w14:paraId="1E5FE1C0" w14:textId="77777777" w:rsidR="009173CF" w:rsidRDefault="00D90823">
      <w:pPr>
        <w:spacing w:after="60"/>
        <w:ind w:left="360" w:hanging="720"/>
      </w:pPr>
      <w:r>
        <w:lastRenderedPageBreak/>
        <w:t xml:space="preserve">Kravchuk, Y., &amp; Krupskyi, O. (2025). The impact of emotionally driven service on customer loyalty in the beauty services sector. Challenges and Issues of Modern Science, 4(1), 101-108. </w:t>
      </w:r>
      <w:hyperlink r:id="rId35">
        <w:r>
          <w:rPr>
            <w:color w:val="467886"/>
            <w:u w:val="single"/>
          </w:rPr>
          <w:t>https://doi.org/10.15421/cims.4.274</w:t>
        </w:r>
      </w:hyperlink>
      <w:r>
        <w:t xml:space="preserve"> </w:t>
      </w:r>
    </w:p>
    <w:p w14:paraId="5F643A58" w14:textId="77777777" w:rsidR="009173CF" w:rsidRDefault="00D90823">
      <w:pPr>
        <w:spacing w:after="60"/>
        <w:ind w:left="360" w:hanging="720"/>
      </w:pPr>
      <w:r>
        <w:t>Maloney, M. E., &amp; Moore, P. (2020). From aggressive to assertive. </w:t>
      </w:r>
      <w:r>
        <w:rPr>
          <w:i/>
          <w:iCs/>
        </w:rPr>
        <w:t>International Journal of Women’s Dermatology</w:t>
      </w:r>
      <w:r>
        <w:t>, </w:t>
      </w:r>
      <w:r>
        <w:rPr>
          <w:i/>
          <w:iCs/>
        </w:rPr>
        <w:t>6</w:t>
      </w:r>
      <w:r>
        <w:t xml:space="preserve">(1), 46–49. </w:t>
      </w:r>
      <w:hyperlink r:id="rId36">
        <w:r>
          <w:rPr>
            <w:color w:val="467886"/>
            <w:u w:val="single"/>
          </w:rPr>
          <w:t>https://doi.org/10.1016/j.ijwd.2019.09.006</w:t>
        </w:r>
      </w:hyperlink>
    </w:p>
    <w:p w14:paraId="231F39A2" w14:textId="77777777" w:rsidR="009173CF" w:rsidRDefault="00D90823">
      <w:pPr>
        <w:spacing w:after="60"/>
        <w:ind w:left="360" w:hanging="720"/>
      </w:pPr>
      <w:r>
        <w:t xml:space="preserve">Mayer, J. D., Caruso, D. R., &amp; Salovey, P. (2016). The ability model of emotional intelligence: Principles and updates. Emotion Review, 8(4), 290-300. </w:t>
      </w:r>
      <w:hyperlink r:id="rId37">
        <w:r>
          <w:rPr>
            <w:color w:val="467886"/>
            <w:u w:val="single"/>
          </w:rPr>
          <w:t>https://doi.org/10.1177/1754073916639667</w:t>
        </w:r>
      </w:hyperlink>
      <w:r>
        <w:t xml:space="preserve"> </w:t>
      </w:r>
    </w:p>
    <w:p w14:paraId="7FF2B265" w14:textId="77777777" w:rsidR="009173CF" w:rsidRDefault="00D90823">
      <w:pPr>
        <w:spacing w:after="60"/>
        <w:ind w:left="360" w:hanging="720"/>
      </w:pPr>
      <w:r>
        <w:t xml:space="preserve">Mehralian, G., Bordbar, S., Bahmaei, J., &amp; Yusefi, A. R. (2025). Examining the impact of emotional intelligence on job performance with the mediating role of clinical competence in nurses: A structural equation approach. </w:t>
      </w:r>
      <w:r>
        <w:rPr>
          <w:i/>
          <w:iCs/>
        </w:rPr>
        <w:t>BMC Nursing, 24</w:t>
      </w:r>
      <w:r>
        <w:t xml:space="preserve">, Article 384. </w:t>
      </w:r>
      <w:hyperlink r:id="rId38">
        <w:r>
          <w:rPr>
            <w:color w:val="467886"/>
            <w:u w:val="single"/>
          </w:rPr>
          <w:t>https://doi.org/10.1186/s12912-025-03002-2</w:t>
        </w:r>
      </w:hyperlink>
      <w:r>
        <w:t xml:space="preserve"> </w:t>
      </w:r>
    </w:p>
    <w:p w14:paraId="1CB2D5E3" w14:textId="77777777" w:rsidR="009173CF" w:rsidRDefault="00D90823">
      <w:pPr>
        <w:spacing w:after="60"/>
        <w:ind w:left="360" w:hanging="720"/>
      </w:pPr>
      <w:r>
        <w:t xml:space="preserve">Melnikov, A. A., Nautrup, H. P., Krenn, M., Dunjko, V., Tiersch, M., Zeilinger, A., &amp; Briegel, H. J. (2018). Active learning </w:t>
      </w:r>
      <w:r>
        <w:t>machines</w:t>
      </w:r>
      <w:r>
        <w:t xml:space="preserve"> </w:t>
      </w:r>
      <w:r>
        <w:t>learn</w:t>
      </w:r>
      <w:r>
        <w:t xml:space="preserve"> to create new quantum experiments. </w:t>
      </w:r>
      <w:r>
        <w:rPr>
          <w:i/>
          <w:iCs/>
        </w:rPr>
        <w:t>Proceedings of the National Academy of Sciences - PNAS</w:t>
      </w:r>
      <w:r>
        <w:t>, </w:t>
      </w:r>
      <w:r>
        <w:rPr>
          <w:i/>
          <w:iCs/>
        </w:rPr>
        <w:t>115</w:t>
      </w:r>
      <w:r>
        <w:t xml:space="preserve">(6), 1221–1226. </w:t>
      </w:r>
      <w:hyperlink r:id="rId39">
        <w:r>
          <w:rPr>
            <w:color w:val="467886"/>
            <w:u w:val="single"/>
          </w:rPr>
          <w:t>https://doi.org/10.1073/pnas.1714936115</w:t>
        </w:r>
      </w:hyperlink>
      <w:r>
        <w:t xml:space="preserve"> </w:t>
      </w:r>
    </w:p>
    <w:p w14:paraId="13C42F6C" w14:textId="77777777" w:rsidR="009173CF" w:rsidRDefault="00D90823">
      <w:pPr>
        <w:spacing w:after="60"/>
        <w:ind w:left="360" w:hanging="720"/>
      </w:pPr>
      <w:r>
        <w:t xml:space="preserve">Michaelsen, M. M., Graser, J., Onescheit, M., Tuma, M. P., Werdecker, L., Pieper, D., &amp; Esch, T. (2023). Mindfulness-based and mindfulness-informed interventions at the workplace: A systematic review and meta-regression analysis of RCTs. Mindfulness, 14, 1271-1304. </w:t>
      </w:r>
      <w:hyperlink r:id="rId40">
        <w:r>
          <w:rPr>
            <w:color w:val="467886"/>
            <w:u w:val="single"/>
          </w:rPr>
          <w:t>https://doi.org/10.1007/s12671-023-02130-7</w:t>
        </w:r>
      </w:hyperlink>
      <w:r>
        <w:t xml:space="preserve"> </w:t>
      </w:r>
    </w:p>
    <w:p w14:paraId="685C006C" w14:textId="77777777" w:rsidR="009173CF" w:rsidRDefault="00D90823">
      <w:pPr>
        <w:spacing w:after="60"/>
        <w:ind w:left="360" w:hanging="720"/>
      </w:pPr>
      <w:r>
        <w:t xml:space="preserve">Nabitz, U., Klazinga, N. S., &amp; Walburg, J. A. (2000). The EFQM excellence model: European and Dutch experiences with the EFQM approach in health care. </w:t>
      </w:r>
      <w:r>
        <w:rPr>
          <w:i/>
          <w:iCs/>
        </w:rPr>
        <w:t>International Journal for Quality in Health Care, 12</w:t>
      </w:r>
      <w:r>
        <w:t xml:space="preserve">(3), 191–201. </w:t>
      </w:r>
      <w:hyperlink r:id="rId41">
        <w:r>
          <w:rPr>
            <w:color w:val="467886"/>
            <w:u w:val="single"/>
          </w:rPr>
          <w:t>https://doi.org/10.1093/intqhc/12.3.191</w:t>
        </w:r>
      </w:hyperlink>
      <w:r>
        <w:t xml:space="preserve"> </w:t>
      </w:r>
    </w:p>
    <w:p w14:paraId="2C89264C" w14:textId="77777777" w:rsidR="009173CF" w:rsidRDefault="00D90823">
      <w:pPr>
        <w:spacing w:after="60"/>
        <w:ind w:left="360" w:hanging="720"/>
      </w:pPr>
      <w:r>
        <w:t>OECD (2025), </w:t>
      </w:r>
      <w:r>
        <w:rPr>
          <w:i/>
          <w:iCs/>
        </w:rPr>
        <w:t>Empowering the Workforce in the Context of a Skills-First Approach</w:t>
      </w:r>
      <w:r>
        <w:t>, OECD Skills Studies, OECD Publishing, Paris, </w:t>
      </w:r>
      <w:hyperlink r:id="rId42">
        <w:r>
          <w:rPr>
            <w:color w:val="467886"/>
            <w:u w:val="single"/>
          </w:rPr>
          <w:t>https://doi.org/10.1787/345b6528-en</w:t>
        </w:r>
      </w:hyperlink>
      <w:r>
        <w:t>.</w:t>
      </w:r>
    </w:p>
    <w:p w14:paraId="248EFD24" w14:textId="77777777" w:rsidR="009173CF" w:rsidRDefault="00D90823">
      <w:pPr>
        <w:spacing w:after="60"/>
        <w:ind w:left="360" w:hanging="720"/>
      </w:pPr>
      <w:r>
        <w:t xml:space="preserve">OpenAI. (2026). Proofreading and structure. ChatGPT. (May 13 version). </w:t>
      </w:r>
      <w:hyperlink r:id="rId43">
        <w:r>
          <w:rPr>
            <w:color w:val="467886"/>
            <w:u w:val="single"/>
          </w:rPr>
          <w:t>https://chat.openai.com/chat</w:t>
        </w:r>
      </w:hyperlink>
      <w:r>
        <w:t xml:space="preserve">  </w:t>
      </w:r>
    </w:p>
    <w:p w14:paraId="1C920527" w14:textId="77777777" w:rsidR="009173CF" w:rsidRDefault="00D90823">
      <w:pPr>
        <w:spacing w:after="60"/>
        <w:ind w:left="360" w:hanging="720"/>
      </w:pPr>
      <w:r>
        <w:t xml:space="preserve">Page, S. M., Chur-Hansen, A., &amp; Delfabbro, P. H. (2024). Emotional labour and burnout in the hair and beauty industry: A narrative review. Social Sciences &amp; Humanities Open, 10, Article 101078. </w:t>
      </w:r>
      <w:hyperlink r:id="rId44">
        <w:r>
          <w:rPr>
            <w:color w:val="467886"/>
            <w:u w:val="single"/>
          </w:rPr>
          <w:t>https://doi.org/10.1016/j.ssaho.2024.101078</w:t>
        </w:r>
      </w:hyperlink>
      <w:r>
        <w:t xml:space="preserve"> </w:t>
      </w:r>
    </w:p>
    <w:p w14:paraId="28DC700D" w14:textId="77777777" w:rsidR="009173CF" w:rsidRDefault="00D90823">
      <w:pPr>
        <w:spacing w:after="60"/>
        <w:ind w:left="360" w:hanging="720"/>
      </w:pPr>
      <w:r>
        <w:t xml:space="preserve">Petrides, K. V., Pita, R., &amp; Kokkinaki, F. (2007). The location of trait emotional intelligence in personality factor space. </w:t>
      </w:r>
      <w:r>
        <w:rPr>
          <w:i/>
          <w:iCs/>
        </w:rPr>
        <w:t>British Journal of Psychology, 98</w:t>
      </w:r>
      <w:r>
        <w:t xml:space="preserve">(2), 273–289. </w:t>
      </w:r>
      <w:hyperlink r:id="rId45">
        <w:r>
          <w:rPr>
            <w:color w:val="467886"/>
            <w:u w:val="single"/>
          </w:rPr>
          <w:t>https://doi.org/10.1348/000712606X120618</w:t>
        </w:r>
      </w:hyperlink>
    </w:p>
    <w:p w14:paraId="2BC3761F" w14:textId="77777777" w:rsidR="009173CF" w:rsidRDefault="00D90823">
      <w:pPr>
        <w:spacing w:after="60"/>
        <w:ind w:left="360" w:hanging="720"/>
      </w:pPr>
      <w:r>
        <w:t xml:space="preserve">Plutchik, R. (1980). A general psychoevolutionary theory of emotion. In R. Plutchik &amp; H. Kellerman (Eds.), </w:t>
      </w:r>
      <w:r>
        <w:rPr>
          <w:i/>
          <w:iCs/>
        </w:rPr>
        <w:t>Emotion: Theory, research, and experience: Vol. 1. Theories of emotion</w:t>
      </w:r>
      <w:r>
        <w:t xml:space="preserve"> (pp. 3–33). Academic Press.</w:t>
      </w:r>
    </w:p>
    <w:p w14:paraId="04973D1C" w14:textId="77777777" w:rsidR="009173CF" w:rsidRDefault="00D90823">
      <w:pPr>
        <w:spacing w:after="60"/>
        <w:ind w:left="360" w:hanging="720"/>
      </w:pPr>
      <w:r>
        <w:t xml:space="preserve">Powell, C., Brown, T. B., Yap, Y. Y., Hallam, K., Takac, M., Quinlivan, T., Xenos, S., &amp; Karimi, L. (2024). Emotional intelligence training among the healthcare workforce: A </w:t>
      </w:r>
      <w:r>
        <w:lastRenderedPageBreak/>
        <w:t xml:space="preserve">systematic review and meta-analysis. Frontiers in Psychology, 15, Article 1437035. </w:t>
      </w:r>
      <w:hyperlink r:id="rId46">
        <w:r>
          <w:rPr>
            <w:color w:val="467886"/>
            <w:u w:val="single"/>
          </w:rPr>
          <w:t>https://doi.org/10.3389/fpsyg.2024.1437035</w:t>
        </w:r>
      </w:hyperlink>
      <w:r>
        <w:t xml:space="preserve"> </w:t>
      </w:r>
    </w:p>
    <w:p w14:paraId="39101757" w14:textId="77777777" w:rsidR="009173CF" w:rsidRDefault="00D90823">
      <w:pPr>
        <w:spacing w:after="60"/>
        <w:ind w:left="360" w:hanging="720"/>
      </w:pPr>
      <w:r>
        <w:t xml:space="preserve">Pulido-Martos, M., Gartzia, L., Augusto-Landa, J. M., &amp; Lopez-Zafra, E. (2024). Transformational leadership and emotional intelligence: Allies in the development of organizational affective commitment from a multilevel perspective and time-lagged data. Review of Managerial Science, 18, 2229-2253. </w:t>
      </w:r>
      <w:hyperlink r:id="rId47">
        <w:r>
          <w:rPr>
            <w:color w:val="467886"/>
            <w:u w:val="single"/>
          </w:rPr>
          <w:t>https://doi.org/10.1007/s11846-023-00684-3</w:t>
        </w:r>
      </w:hyperlink>
      <w:r>
        <w:t xml:space="preserve"> </w:t>
      </w:r>
    </w:p>
    <w:p w14:paraId="395C38FA" w14:textId="77777777" w:rsidR="009173CF" w:rsidRDefault="00D90823">
      <w:pPr>
        <w:spacing w:after="60"/>
        <w:ind w:left="360" w:hanging="720"/>
      </w:pPr>
      <w:r>
        <w:rPr>
          <w:rFonts w:ascii="Arial" w:eastAsia="Arial" w:hAnsi="Arial" w:cs="Arial"/>
          <w:color w:val="1A1A1A"/>
        </w:rPr>
        <w:t xml:space="preserve">Saha S, Das R, Lim WM, Kumar S, Malik A, Chillakuri B (2023), "Emotional intelligence and leadership: insights for leading by feeling in the future of work". </w:t>
      </w:r>
      <w:r>
        <w:rPr>
          <w:rFonts w:ascii="Arial" w:eastAsia="Arial" w:hAnsi="Arial" w:cs="Arial"/>
          <w:i/>
          <w:iCs/>
          <w:color w:val="1A1A1A"/>
        </w:rPr>
        <w:t>International Journal of Manpower</w:t>
      </w:r>
      <w:r>
        <w:rPr>
          <w:rFonts w:ascii="Arial" w:eastAsia="Arial" w:hAnsi="Arial" w:cs="Arial"/>
          <w:color w:val="1A1A1A"/>
        </w:rPr>
        <w:t xml:space="preserve">, Vol. 44 No. 4 pp. 671–701, doi: </w:t>
      </w:r>
      <w:hyperlink r:id="rId48">
        <w:r>
          <w:rPr>
            <w:rFonts w:ascii="Arial" w:eastAsia="Arial" w:hAnsi="Arial" w:cs="Arial"/>
            <w:color w:val="1C696A"/>
          </w:rPr>
          <w:t>https://doi.org/10.1108/IJM-12-2021-0690</w:t>
        </w:r>
      </w:hyperlink>
      <w:r>
        <w:t xml:space="preserve"> </w:t>
      </w:r>
    </w:p>
    <w:p w14:paraId="22029687" w14:textId="77777777" w:rsidR="009173CF" w:rsidRDefault="00D90823">
      <w:pPr>
        <w:spacing w:after="60"/>
        <w:ind w:left="360" w:hanging="720"/>
      </w:pPr>
      <w:r>
        <w:t>Sarabdeen, J., &amp; Mohamed Ishak, M. (2025). A comparative analysis: health data protection laws in Malaysia, Saudi Arabia and EU General Data Protection Regulation (GDPR). </w:t>
      </w:r>
      <w:r>
        <w:rPr>
          <w:i/>
          <w:iCs/>
        </w:rPr>
        <w:t>International Journal of Law and Management</w:t>
      </w:r>
      <w:r>
        <w:t>, </w:t>
      </w:r>
      <w:r>
        <w:rPr>
          <w:i/>
          <w:iCs/>
        </w:rPr>
        <w:t>67</w:t>
      </w:r>
      <w:r>
        <w:t xml:space="preserve">(1), 99–119. </w:t>
      </w:r>
      <w:hyperlink r:id="rId49">
        <w:r>
          <w:rPr>
            <w:color w:val="467886"/>
            <w:u w:val="single"/>
          </w:rPr>
          <w:t>https://doi.org/10.1108/IJLMA-01-2024-0025</w:t>
        </w:r>
      </w:hyperlink>
      <w:r>
        <w:t xml:space="preserve"> </w:t>
      </w:r>
    </w:p>
    <w:p w14:paraId="58558C5D" w14:textId="77777777" w:rsidR="009173CF" w:rsidRDefault="00D90823">
      <w:pPr>
        <w:spacing w:after="60"/>
        <w:ind w:left="360" w:hanging="720"/>
      </w:pPr>
      <w:r>
        <w:t xml:space="preserve">Sarmiento, L. F., Lopes da Cunha, P., Tabares, S., Tafet, G., &amp; Gouveia, A., Jr. (2024). Decision-making under stress: A psychological and neurobiological integrative model. </w:t>
      </w:r>
      <w:r>
        <w:rPr>
          <w:i/>
          <w:iCs/>
        </w:rPr>
        <w:t>Brain, Behavior, &amp; Immunity - Health, 38</w:t>
      </w:r>
      <w:r>
        <w:t xml:space="preserve">, Article 100766. </w:t>
      </w:r>
      <w:hyperlink r:id="rId50">
        <w:r>
          <w:rPr>
            <w:color w:val="467886"/>
            <w:u w:val="single"/>
          </w:rPr>
          <w:t>https://doi.org/10.1016/j.bbih.2024.100766</w:t>
        </w:r>
      </w:hyperlink>
    </w:p>
    <w:p w14:paraId="64F6A506" w14:textId="77777777" w:rsidR="009173CF" w:rsidRDefault="00D90823">
      <w:pPr>
        <w:spacing w:after="60"/>
        <w:ind w:left="360" w:hanging="720"/>
      </w:pPr>
      <w:r>
        <w:t>Singh, K. (2025). Examining the Influence of Emotional Intelligence on Stress and Well-being: A Qualitative Study. </w:t>
      </w:r>
      <w:r>
        <w:rPr>
          <w:i/>
          <w:iCs/>
        </w:rPr>
        <w:t>International Journal of Education and Management Studies</w:t>
      </w:r>
      <w:r>
        <w:t>, </w:t>
      </w:r>
      <w:r>
        <w:rPr>
          <w:i/>
          <w:iCs/>
        </w:rPr>
        <w:t>15</w:t>
      </w:r>
      <w:r>
        <w:t>(2), 315–322.</w:t>
      </w:r>
      <w:hyperlink r:id="rId51">
        <w:r>
          <w:rPr>
            <w:color w:val="467886"/>
            <w:u w:val="single"/>
          </w:rPr>
          <w:t>https://www.guilford.com/excerpts/segal2.pdf?t=1</w:t>
        </w:r>
      </w:hyperlink>
      <w:r>
        <w:t xml:space="preserve">  </w:t>
      </w:r>
    </w:p>
    <w:p w14:paraId="6525BDD4" w14:textId="77777777" w:rsidR="009173CF" w:rsidRDefault="00D90823">
      <w:pPr>
        <w:spacing w:after="60"/>
        <w:ind w:left="360" w:hanging="720"/>
      </w:pPr>
      <w:r>
        <w:t>Tambayong, M. M. M., Suryani, T., &amp; Pratama, A. (2022). The impact of service quality attributes of beauty parlors towards customer loyalty through customer satisfaction and trust. </w:t>
      </w:r>
      <w:r>
        <w:rPr>
          <w:i/>
          <w:iCs/>
        </w:rPr>
        <w:t>JPPI (Jurnal Penelitian Pendidikan Indonesia) (Online)</w:t>
      </w:r>
      <w:r>
        <w:t>, </w:t>
      </w:r>
      <w:r>
        <w:rPr>
          <w:i/>
          <w:iCs/>
        </w:rPr>
        <w:t>8</w:t>
      </w:r>
      <w:r>
        <w:t xml:space="preserve">(3), 817–827. </w:t>
      </w:r>
      <w:hyperlink r:id="rId52">
        <w:r>
          <w:rPr>
            <w:color w:val="467886"/>
            <w:u w:val="single"/>
          </w:rPr>
          <w:t>https://doi.org/10.29210/020221574</w:t>
        </w:r>
      </w:hyperlink>
    </w:p>
    <w:p w14:paraId="73F0685F" w14:textId="77777777" w:rsidR="009173CF" w:rsidRDefault="00D90823">
      <w:pPr>
        <w:spacing w:after="60"/>
        <w:ind w:left="360" w:hanging="720"/>
      </w:pPr>
      <w:r>
        <w:t>Tindall-Ford, S., &amp; Lipscombe, K. (2025). Middle Leadership and Social Emotional Intelligence: A Scoping Review and Empirical Exploration. </w:t>
      </w:r>
      <w:r>
        <w:rPr>
          <w:i/>
          <w:iCs/>
        </w:rPr>
        <w:t>Education Sciences</w:t>
      </w:r>
      <w:r>
        <w:t>, </w:t>
      </w:r>
      <w:r>
        <w:rPr>
          <w:i/>
          <w:iCs/>
        </w:rPr>
        <w:t>15</w:t>
      </w:r>
      <w:r>
        <w:t xml:space="preserve">(8), 1047. </w:t>
      </w:r>
      <w:hyperlink r:id="rId53">
        <w:r>
          <w:rPr>
            <w:color w:val="467886"/>
            <w:u w:val="single"/>
          </w:rPr>
          <w:t>https://doi.org/10.3390/educsci15081047</w:t>
        </w:r>
      </w:hyperlink>
      <w:r>
        <w:t xml:space="preserve"> </w:t>
      </w:r>
    </w:p>
    <w:p w14:paraId="68E0F61A" w14:textId="77777777" w:rsidR="009173CF" w:rsidRDefault="00D90823">
      <w:pPr>
        <w:spacing w:after="60"/>
        <w:ind w:left="360" w:hanging="720"/>
      </w:pPr>
      <w:r>
        <w:t>Vainre, M., Dalgleish, T., Bendriss-Otiko, T., Butler, M., Kirkpatrick, A., Kosugiyama, N., Mariscotti, F., Martinez-Sosa, C., Sideri, A., Sönksen, S., Wood, T., Hitchcock, C., &amp; Galante, J. (2025). Mindfulness-Based Programmes for Work Performance: A Systematic Review and Meta-Analysis of Randomised Controlled Trials. </w:t>
      </w:r>
      <w:r>
        <w:rPr>
          <w:i/>
          <w:iCs/>
        </w:rPr>
        <w:t>Stress and health : journal of the International Society for the Investigation of Stress</w:t>
      </w:r>
      <w:r>
        <w:t>, </w:t>
      </w:r>
      <w:r>
        <w:rPr>
          <w:i/>
          <w:iCs/>
        </w:rPr>
        <w:t>41</w:t>
      </w:r>
      <w:r>
        <w:t xml:space="preserve">(6), e70123. </w:t>
      </w:r>
      <w:hyperlink r:id="rId54">
        <w:r>
          <w:rPr>
            <w:color w:val="467886"/>
            <w:u w:val="single"/>
          </w:rPr>
          <w:t>https://doi.org/10.1002/smi.70123</w:t>
        </w:r>
      </w:hyperlink>
      <w:r>
        <w:t xml:space="preserve"> </w:t>
      </w:r>
    </w:p>
    <w:p w14:paraId="194E2B60" w14:textId="77777777" w:rsidR="009173CF" w:rsidRDefault="00D90823">
      <w:pPr>
        <w:spacing w:after="60"/>
        <w:ind w:left="360" w:hanging="720"/>
      </w:pPr>
      <w:r>
        <w:rPr>
          <w:rFonts w:ascii="Arial" w:eastAsia="Arial" w:hAnsi="Arial" w:cs="Arial"/>
          <w:color w:val="3A3A3A"/>
          <w:sz w:val="23"/>
          <w:szCs w:val="23"/>
          <w:highlight w:val="white"/>
        </w:rPr>
        <w:t xml:space="preserve">Woody, C. (2020). Editorial. </w:t>
      </w:r>
      <w:r>
        <w:rPr>
          <w:rFonts w:ascii="Arial" w:eastAsia="Arial" w:hAnsi="Arial" w:cs="Arial"/>
          <w:i/>
          <w:iCs/>
          <w:color w:val="3A3A3A"/>
          <w:sz w:val="23"/>
          <w:szCs w:val="23"/>
          <w:highlight w:val="white"/>
        </w:rPr>
        <w:t>Journal of Public Mental Health</w:t>
      </w:r>
      <w:r>
        <w:rPr>
          <w:rFonts w:ascii="Arial" w:eastAsia="Arial" w:hAnsi="Arial" w:cs="Arial"/>
          <w:color w:val="3A3A3A"/>
          <w:sz w:val="23"/>
          <w:szCs w:val="23"/>
          <w:highlight w:val="white"/>
        </w:rPr>
        <w:t xml:space="preserve">, </w:t>
      </w:r>
      <w:r>
        <w:rPr>
          <w:rFonts w:ascii="Arial" w:eastAsia="Arial" w:hAnsi="Arial" w:cs="Arial"/>
          <w:i/>
          <w:iCs/>
          <w:color w:val="3A3A3A"/>
          <w:sz w:val="23"/>
          <w:szCs w:val="23"/>
          <w:highlight w:val="white"/>
        </w:rPr>
        <w:t>19</w:t>
      </w:r>
      <w:r>
        <w:rPr>
          <w:rFonts w:ascii="Arial" w:eastAsia="Arial" w:hAnsi="Arial" w:cs="Arial"/>
          <w:color w:val="3A3A3A"/>
          <w:sz w:val="23"/>
          <w:szCs w:val="23"/>
          <w:highlight w:val="white"/>
        </w:rPr>
        <w:t xml:space="preserve">(2), 85–87. </w:t>
      </w:r>
      <w:hyperlink r:id="rId55">
        <w:r>
          <w:rPr>
            <w:rFonts w:ascii="Arial" w:eastAsia="Arial" w:hAnsi="Arial" w:cs="Arial"/>
            <w:color w:val="1155CC"/>
            <w:sz w:val="23"/>
            <w:szCs w:val="23"/>
            <w:highlight w:val="white"/>
            <w:u w:val="single"/>
          </w:rPr>
          <w:t>https://doi.org/10.1108/JPMH-06-2020-105</w:t>
        </w:r>
      </w:hyperlink>
      <w:r>
        <w:t xml:space="preserve"> </w:t>
      </w:r>
    </w:p>
    <w:p w14:paraId="66E2B2E0" w14:textId="77777777" w:rsidR="009173CF" w:rsidRDefault="00D90823">
      <w:pPr>
        <w:spacing w:after="60"/>
        <w:ind w:left="360" w:hanging="720"/>
      </w:pPr>
      <w:r>
        <w:t xml:space="preserve">World Economic Forum. (2025). The future of jobs report 2025. World Economic Forum. </w:t>
      </w:r>
      <w:hyperlink r:id="rId56">
        <w:r>
          <w:rPr>
            <w:color w:val="467886"/>
            <w:u w:val="single"/>
          </w:rPr>
          <w:t>https://reports.weforum.org/docs/WEF_Future_of_Jobs_Report_2025.pdf</w:t>
        </w:r>
      </w:hyperlink>
      <w:r>
        <w:t xml:space="preserve"> </w:t>
      </w:r>
    </w:p>
    <w:p w14:paraId="21F533A3" w14:textId="77777777" w:rsidR="009173CF" w:rsidRDefault="00D90823">
      <w:pPr>
        <w:spacing w:after="60"/>
        <w:ind w:left="360" w:hanging="720"/>
      </w:pPr>
      <w:r>
        <w:lastRenderedPageBreak/>
        <w:t>WHO. (2024). Mental health at work. World Health Organisation.</w:t>
      </w:r>
      <w:r>
        <w:t xml:space="preserve"> </w:t>
      </w:r>
      <w:hyperlink r:id="rId57">
        <w:r>
          <w:rPr>
            <w:color w:val="467886"/>
            <w:u w:val="single"/>
          </w:rPr>
          <w:t>https://www.who.int/news-room/fact-sheets/detail/mental-health-at-work</w:t>
        </w:r>
      </w:hyperlink>
      <w:r>
        <w:t xml:space="preserve"> </w:t>
      </w:r>
    </w:p>
    <w:p w14:paraId="56CABC25" w14:textId="77777777" w:rsidR="009173CF" w:rsidRDefault="00D90823">
      <w:pPr>
        <w:spacing w:after="60"/>
        <w:ind w:left="360" w:hanging="720"/>
      </w:pPr>
      <w:r>
        <w:t>Yang, Y., Li, X., &amp; Chen, H. (2023). The influence of emotional labor of service employees on customer service misbehavior and repurchase intention: The role of face. Psychology Research and Behavior Management, 16, 1109-1124. https://doi.org/10.2147/PRBM.S396775</w:t>
      </w:r>
    </w:p>
    <w:p w14:paraId="3AA0BFAB" w14:textId="77777777" w:rsidR="009173CF" w:rsidRDefault="00D90823">
      <w:pPr>
        <w:spacing w:after="60"/>
        <w:ind w:left="360" w:hanging="720"/>
      </w:pPr>
      <w:r>
        <w:t>Zainal, N. H., &amp; Newman, M. G. (2024). Mindfulness enhances cognitive functioning: a meta-analysis of 111 randomized controlled trials. </w:t>
      </w:r>
      <w:r>
        <w:rPr>
          <w:i/>
          <w:iCs/>
        </w:rPr>
        <w:t>Health Psychology Review</w:t>
      </w:r>
      <w:r>
        <w:t>, </w:t>
      </w:r>
      <w:r>
        <w:rPr>
          <w:i/>
          <w:iCs/>
        </w:rPr>
        <w:t>18</w:t>
      </w:r>
      <w:r>
        <w:t xml:space="preserve">(2), 369–395. </w:t>
      </w:r>
      <w:hyperlink r:id="rId58">
        <w:r>
          <w:rPr>
            <w:color w:val="467886"/>
            <w:u w:val="single"/>
          </w:rPr>
          <w:t>https://doi.org/10.1080/17437199.2023.2248222</w:t>
        </w:r>
      </w:hyperlink>
    </w:p>
    <w:p w14:paraId="43E5CFFF" w14:textId="77777777" w:rsidR="009173CF" w:rsidRDefault="009173CF"/>
    <w:p w14:paraId="62695169" w14:textId="77777777" w:rsidR="009173CF" w:rsidRDefault="009173CF"/>
    <w:sectPr w:rsidR="009173CF">
      <w:headerReference w:type="default" r:id="rId59"/>
      <w:footerReference w:type="default" r:id="rId60"/>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F8E83" w14:textId="77777777" w:rsidR="00D90823" w:rsidRDefault="00D90823">
      <w:pPr>
        <w:spacing w:after="0" w:line="240" w:lineRule="auto"/>
      </w:pPr>
      <w:r>
        <w:separator/>
      </w:r>
    </w:p>
  </w:endnote>
  <w:endnote w:type="continuationSeparator" w:id="0">
    <w:p w14:paraId="2B00D5AF" w14:textId="77777777" w:rsidR="00D90823" w:rsidRDefault="00D908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1CCE9905-6353-4B4E-A283-BCFEE758E194}"/>
    <w:embedBold r:id="rId2" w:fontKey="{AC6C8180-B27C-4416-9B20-639B86A829A4}"/>
    <w:embedItalic r:id="rId3" w:fontKey="{5CB87CA7-1EBB-46AC-A382-F1AE9B387D24}"/>
    <w:embedBoldItalic r:id="rId4" w:fontKey="{A2B1CCEF-B24C-4EF2-B151-D67DD56D8F9C}"/>
  </w:font>
  <w:font w:name="Play">
    <w:charset w:val="00"/>
    <w:family w:val="auto"/>
    <w:pitch w:val="default"/>
    <w:embedRegular r:id="rId5" w:fontKey="{5C74B5C3-0817-4611-9FE8-7AD1BCF10A59}"/>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6" w:fontKey="{E5674528-7960-44C2-ACB7-509B182A222A}"/>
    <w:embedItalic r:id="rId7" w:fontKey="{EA58D95B-CB15-4768-B3ED-0A4A62EFAB37}"/>
  </w:font>
  <w:font w:name="Cambria">
    <w:panose1 w:val="02040503050406030204"/>
    <w:charset w:val="00"/>
    <w:family w:val="roman"/>
    <w:pitch w:val="variable"/>
    <w:sig w:usb0="E00006FF" w:usb1="420024FF" w:usb2="02000000" w:usb3="00000000" w:csb0="0000019F" w:csb1="00000000"/>
    <w:embedRegular r:id="rId8" w:fontKey="{715AB7EA-2A88-403F-BD5D-544E7F6B79A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71254E" w14:textId="77777777" w:rsidR="009173CF" w:rsidRDefault="00D90823">
    <w:pPr>
      <w:pBdr>
        <w:top w:val="single" w:sz="4" w:space="1" w:color="D9D9D9"/>
        <w:left w:val="nil"/>
        <w:bottom w:val="nil"/>
        <w:right w:val="nil"/>
        <w:between w:val="nil"/>
      </w:pBdr>
      <w:tabs>
        <w:tab w:val="center" w:pos="4513"/>
        <w:tab w:val="right" w:pos="9026"/>
      </w:tabs>
      <w:spacing w:after="0" w:line="240" w:lineRule="auto"/>
      <w:rPr>
        <w:b/>
        <w:bCs/>
        <w:color w:val="000000"/>
      </w:rPr>
    </w:pPr>
    <w:r>
      <w:rPr>
        <w:color w:val="000000"/>
      </w:rPr>
      <w:fldChar w:fldCharType="begin"/>
    </w:r>
    <w:r>
      <w:rPr>
        <w:color w:val="000000"/>
      </w:rPr>
      <w:instrText>PAGE</w:instrText>
    </w:r>
    <w:r>
      <w:rPr>
        <w:color w:val="000000"/>
      </w:rPr>
      <w:fldChar w:fldCharType="separate"/>
    </w:r>
    <w:r w:rsidR="00000E85">
      <w:rPr>
        <w:noProof/>
        <w:color w:val="000000"/>
      </w:rPr>
      <w:t>1</w:t>
    </w:r>
    <w:r>
      <w:rPr>
        <w:color w:val="000000"/>
      </w:rPr>
      <w:fldChar w:fldCharType="end"/>
    </w:r>
    <w:r>
      <w:rPr>
        <w:b/>
        <w:bCs/>
        <w:color w:val="000000"/>
      </w:rPr>
      <w:t xml:space="preserve"> | </w:t>
    </w:r>
    <w:r>
      <w:rPr>
        <w:color w:val="7F7F7F"/>
      </w:rPr>
      <w:t>Page</w:t>
    </w:r>
  </w:p>
  <w:p w14:paraId="3DB0CD05" w14:textId="77777777" w:rsidR="009173CF" w:rsidRDefault="009173C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BD9C8C" w14:textId="77777777" w:rsidR="00D90823" w:rsidRDefault="00D90823">
      <w:pPr>
        <w:spacing w:after="0" w:line="240" w:lineRule="auto"/>
      </w:pPr>
      <w:r>
        <w:separator/>
      </w:r>
    </w:p>
  </w:footnote>
  <w:footnote w:type="continuationSeparator" w:id="0">
    <w:p w14:paraId="2F25AB7B" w14:textId="77777777" w:rsidR="00D90823" w:rsidRDefault="00D908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6FB612" w14:textId="77777777" w:rsidR="009173CF" w:rsidRDefault="00D90823">
    <w:pPr>
      <w:pBdr>
        <w:top w:val="nil"/>
        <w:left w:val="nil"/>
        <w:bottom w:val="nil"/>
        <w:right w:val="nil"/>
        <w:between w:val="nil"/>
      </w:pBdr>
      <w:tabs>
        <w:tab w:val="center" w:pos="4513"/>
        <w:tab w:val="right" w:pos="9026"/>
      </w:tabs>
      <w:spacing w:after="0" w:line="240" w:lineRule="auto"/>
      <w:jc w:val="center"/>
      <w:rPr>
        <w:color w:val="000000"/>
      </w:rPr>
    </w:pPr>
    <w:r>
      <w:rPr>
        <w:color w:val="000000"/>
      </w:rPr>
      <w:t>BMSK6009 Emotional Intelligence by Kelly Keefe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7D3FF3"/>
    <w:multiLevelType w:val="multilevel"/>
    <w:tmpl w:val="1F86DBD0"/>
    <w:lvl w:ilvl="0">
      <w:start w:val="6"/>
      <w:numFmt w:val="decimal"/>
      <w:lvlText w:val="%1.0"/>
      <w:lvlJc w:val="left"/>
      <w:pPr>
        <w:ind w:left="1571" w:hanging="720"/>
      </w:pPr>
    </w:lvl>
    <w:lvl w:ilvl="1">
      <w:start w:val="1"/>
      <w:numFmt w:val="decimal"/>
      <w:lvlText w:val="%1.%2"/>
      <w:lvlJc w:val="left"/>
      <w:pPr>
        <w:ind w:left="2291" w:hanging="720"/>
      </w:pPr>
    </w:lvl>
    <w:lvl w:ilvl="2">
      <w:start w:val="1"/>
      <w:numFmt w:val="decimal"/>
      <w:lvlText w:val="%1.%2.%3"/>
      <w:lvlJc w:val="left"/>
      <w:pPr>
        <w:ind w:left="3011" w:hanging="720"/>
      </w:pPr>
    </w:lvl>
    <w:lvl w:ilvl="3">
      <w:start w:val="1"/>
      <w:numFmt w:val="decimal"/>
      <w:lvlText w:val="%1.%2.%3.%4"/>
      <w:lvlJc w:val="left"/>
      <w:pPr>
        <w:ind w:left="4091" w:hanging="1080"/>
      </w:pPr>
    </w:lvl>
    <w:lvl w:ilvl="4">
      <w:start w:val="1"/>
      <w:numFmt w:val="decimal"/>
      <w:lvlText w:val="%1.%2.%3.%4.%5"/>
      <w:lvlJc w:val="left"/>
      <w:pPr>
        <w:ind w:left="5171" w:hanging="1440"/>
      </w:pPr>
    </w:lvl>
    <w:lvl w:ilvl="5">
      <w:start w:val="1"/>
      <w:numFmt w:val="decimal"/>
      <w:lvlText w:val="%1.%2.%3.%4.%5.%6"/>
      <w:lvlJc w:val="left"/>
      <w:pPr>
        <w:ind w:left="5891" w:hanging="1440"/>
      </w:pPr>
    </w:lvl>
    <w:lvl w:ilvl="6">
      <w:start w:val="1"/>
      <w:numFmt w:val="decimal"/>
      <w:lvlText w:val="%1.%2.%3.%4.%5.%6.%7"/>
      <w:lvlJc w:val="left"/>
      <w:pPr>
        <w:ind w:left="6971" w:hanging="1800"/>
      </w:pPr>
    </w:lvl>
    <w:lvl w:ilvl="7">
      <w:start w:val="1"/>
      <w:numFmt w:val="decimal"/>
      <w:lvlText w:val="%1.%2.%3.%4.%5.%6.%7.%8"/>
      <w:lvlJc w:val="left"/>
      <w:pPr>
        <w:ind w:left="8051" w:hanging="2160"/>
      </w:pPr>
    </w:lvl>
    <w:lvl w:ilvl="8">
      <w:start w:val="1"/>
      <w:numFmt w:val="decimal"/>
      <w:lvlText w:val="%1.%2.%3.%4.%5.%6.%7.%8.%9"/>
      <w:lvlJc w:val="left"/>
      <w:pPr>
        <w:ind w:left="8771" w:hanging="2160"/>
      </w:pPr>
    </w:lvl>
  </w:abstractNum>
  <w:abstractNum w:abstractNumId="1" w15:restartNumberingAfterBreak="0">
    <w:nsid w:val="336F54C0"/>
    <w:multiLevelType w:val="multilevel"/>
    <w:tmpl w:val="05668B3E"/>
    <w:lvl w:ilvl="0">
      <w:start w:val="5"/>
      <w:numFmt w:val="decimal"/>
      <w:lvlText w:val="%1.0"/>
      <w:lvlJc w:val="left"/>
      <w:pPr>
        <w:ind w:left="1571" w:hanging="720"/>
      </w:pPr>
    </w:lvl>
    <w:lvl w:ilvl="1">
      <w:start w:val="1"/>
      <w:numFmt w:val="decimal"/>
      <w:lvlText w:val="%1.%2"/>
      <w:lvlJc w:val="left"/>
      <w:pPr>
        <w:ind w:left="2291" w:hanging="720"/>
      </w:pPr>
    </w:lvl>
    <w:lvl w:ilvl="2">
      <w:start w:val="1"/>
      <w:numFmt w:val="decimal"/>
      <w:lvlText w:val="%1.%2.%3"/>
      <w:lvlJc w:val="left"/>
      <w:pPr>
        <w:ind w:left="3011" w:hanging="720"/>
      </w:pPr>
    </w:lvl>
    <w:lvl w:ilvl="3">
      <w:start w:val="1"/>
      <w:numFmt w:val="decimal"/>
      <w:lvlText w:val="%1.%2.%3.%4"/>
      <w:lvlJc w:val="left"/>
      <w:pPr>
        <w:ind w:left="4091" w:hanging="1080"/>
      </w:pPr>
    </w:lvl>
    <w:lvl w:ilvl="4">
      <w:start w:val="1"/>
      <w:numFmt w:val="decimal"/>
      <w:lvlText w:val="%1.%2.%3.%4.%5"/>
      <w:lvlJc w:val="left"/>
      <w:pPr>
        <w:ind w:left="5171" w:hanging="1440"/>
      </w:pPr>
    </w:lvl>
    <w:lvl w:ilvl="5">
      <w:start w:val="1"/>
      <w:numFmt w:val="decimal"/>
      <w:lvlText w:val="%1.%2.%3.%4.%5.%6"/>
      <w:lvlJc w:val="left"/>
      <w:pPr>
        <w:ind w:left="5891" w:hanging="1440"/>
      </w:pPr>
    </w:lvl>
    <w:lvl w:ilvl="6">
      <w:start w:val="1"/>
      <w:numFmt w:val="decimal"/>
      <w:lvlText w:val="%1.%2.%3.%4.%5.%6.%7"/>
      <w:lvlJc w:val="left"/>
      <w:pPr>
        <w:ind w:left="6971" w:hanging="1800"/>
      </w:pPr>
    </w:lvl>
    <w:lvl w:ilvl="7">
      <w:start w:val="1"/>
      <w:numFmt w:val="decimal"/>
      <w:lvlText w:val="%1.%2.%3.%4.%5.%6.%7.%8"/>
      <w:lvlJc w:val="left"/>
      <w:pPr>
        <w:ind w:left="8051" w:hanging="2160"/>
      </w:pPr>
    </w:lvl>
    <w:lvl w:ilvl="8">
      <w:start w:val="1"/>
      <w:numFmt w:val="decimal"/>
      <w:lvlText w:val="%1.%2.%3.%4.%5.%6.%7.%8.%9"/>
      <w:lvlJc w:val="left"/>
      <w:pPr>
        <w:ind w:left="8771" w:hanging="2160"/>
      </w:pPr>
    </w:lvl>
  </w:abstractNum>
  <w:abstractNum w:abstractNumId="2" w15:restartNumberingAfterBreak="0">
    <w:nsid w:val="43683AC6"/>
    <w:multiLevelType w:val="multilevel"/>
    <w:tmpl w:val="0D92FDF0"/>
    <w:lvl w:ilvl="0">
      <w:start w:val="7"/>
      <w:numFmt w:val="decimal"/>
      <w:lvlText w:val="%1.0"/>
      <w:lvlJc w:val="left"/>
      <w:pPr>
        <w:ind w:left="1571" w:hanging="720"/>
      </w:pPr>
    </w:lvl>
    <w:lvl w:ilvl="1">
      <w:start w:val="1"/>
      <w:numFmt w:val="decimal"/>
      <w:lvlText w:val="%1.%2"/>
      <w:lvlJc w:val="left"/>
      <w:pPr>
        <w:ind w:left="2291" w:hanging="720"/>
      </w:pPr>
    </w:lvl>
    <w:lvl w:ilvl="2">
      <w:start w:val="1"/>
      <w:numFmt w:val="decimal"/>
      <w:lvlText w:val="%1.%2.%3"/>
      <w:lvlJc w:val="left"/>
      <w:pPr>
        <w:ind w:left="3011" w:hanging="720"/>
      </w:pPr>
    </w:lvl>
    <w:lvl w:ilvl="3">
      <w:start w:val="1"/>
      <w:numFmt w:val="decimal"/>
      <w:lvlText w:val="%1.%2.%3.%4"/>
      <w:lvlJc w:val="left"/>
      <w:pPr>
        <w:ind w:left="4091" w:hanging="1080"/>
      </w:pPr>
    </w:lvl>
    <w:lvl w:ilvl="4">
      <w:start w:val="1"/>
      <w:numFmt w:val="decimal"/>
      <w:lvlText w:val="%1.%2.%3.%4.%5"/>
      <w:lvlJc w:val="left"/>
      <w:pPr>
        <w:ind w:left="5171" w:hanging="1440"/>
      </w:pPr>
    </w:lvl>
    <w:lvl w:ilvl="5">
      <w:start w:val="1"/>
      <w:numFmt w:val="decimal"/>
      <w:lvlText w:val="%1.%2.%3.%4.%5.%6"/>
      <w:lvlJc w:val="left"/>
      <w:pPr>
        <w:ind w:left="5891" w:hanging="1440"/>
      </w:pPr>
    </w:lvl>
    <w:lvl w:ilvl="6">
      <w:start w:val="1"/>
      <w:numFmt w:val="decimal"/>
      <w:lvlText w:val="%1.%2.%3.%4.%5.%6.%7"/>
      <w:lvlJc w:val="left"/>
      <w:pPr>
        <w:ind w:left="6971" w:hanging="1800"/>
      </w:pPr>
    </w:lvl>
    <w:lvl w:ilvl="7">
      <w:start w:val="1"/>
      <w:numFmt w:val="decimal"/>
      <w:lvlText w:val="%1.%2.%3.%4.%5.%6.%7.%8"/>
      <w:lvlJc w:val="left"/>
      <w:pPr>
        <w:ind w:left="8051" w:hanging="2160"/>
      </w:pPr>
    </w:lvl>
    <w:lvl w:ilvl="8">
      <w:start w:val="1"/>
      <w:numFmt w:val="decimal"/>
      <w:lvlText w:val="%1.%2.%3.%4.%5.%6.%7.%8.%9"/>
      <w:lvlJc w:val="left"/>
      <w:pPr>
        <w:ind w:left="8771" w:hanging="2160"/>
      </w:pPr>
    </w:lvl>
  </w:abstractNum>
  <w:abstractNum w:abstractNumId="3" w15:restartNumberingAfterBreak="0">
    <w:nsid w:val="491F6F2E"/>
    <w:multiLevelType w:val="multilevel"/>
    <w:tmpl w:val="F74E0592"/>
    <w:lvl w:ilvl="0">
      <w:start w:val="3"/>
      <w:numFmt w:val="decimal"/>
      <w:lvlText w:val="%1.0"/>
      <w:lvlJc w:val="left"/>
      <w:pPr>
        <w:ind w:left="1429" w:hanging="720"/>
      </w:pPr>
    </w:lvl>
    <w:lvl w:ilvl="1">
      <w:start w:val="1"/>
      <w:numFmt w:val="decimal"/>
      <w:lvlText w:val="%1.%2"/>
      <w:lvlJc w:val="left"/>
      <w:pPr>
        <w:ind w:left="2149" w:hanging="720"/>
      </w:pPr>
    </w:lvl>
    <w:lvl w:ilvl="2">
      <w:start w:val="1"/>
      <w:numFmt w:val="decimal"/>
      <w:lvlText w:val="%1.%2.%3"/>
      <w:lvlJc w:val="left"/>
      <w:pPr>
        <w:ind w:left="2869" w:hanging="720"/>
      </w:pPr>
    </w:lvl>
    <w:lvl w:ilvl="3">
      <w:start w:val="1"/>
      <w:numFmt w:val="decimal"/>
      <w:lvlText w:val="%1.%2.%3.%4"/>
      <w:lvlJc w:val="left"/>
      <w:pPr>
        <w:ind w:left="3949" w:hanging="1080"/>
      </w:pPr>
    </w:lvl>
    <w:lvl w:ilvl="4">
      <w:start w:val="1"/>
      <w:numFmt w:val="decimal"/>
      <w:lvlText w:val="%1.%2.%3.%4.%5"/>
      <w:lvlJc w:val="left"/>
      <w:pPr>
        <w:ind w:left="5029" w:hanging="1440"/>
      </w:pPr>
    </w:lvl>
    <w:lvl w:ilvl="5">
      <w:start w:val="1"/>
      <w:numFmt w:val="decimal"/>
      <w:lvlText w:val="%1.%2.%3.%4.%5.%6"/>
      <w:lvlJc w:val="left"/>
      <w:pPr>
        <w:ind w:left="5749" w:hanging="1440"/>
      </w:pPr>
    </w:lvl>
    <w:lvl w:ilvl="6">
      <w:start w:val="1"/>
      <w:numFmt w:val="decimal"/>
      <w:lvlText w:val="%1.%2.%3.%4.%5.%6.%7"/>
      <w:lvlJc w:val="left"/>
      <w:pPr>
        <w:ind w:left="6829" w:hanging="1800"/>
      </w:pPr>
    </w:lvl>
    <w:lvl w:ilvl="7">
      <w:start w:val="1"/>
      <w:numFmt w:val="decimal"/>
      <w:lvlText w:val="%1.%2.%3.%4.%5.%6.%7.%8"/>
      <w:lvlJc w:val="left"/>
      <w:pPr>
        <w:ind w:left="7909" w:hanging="2160"/>
      </w:pPr>
    </w:lvl>
    <w:lvl w:ilvl="8">
      <w:start w:val="1"/>
      <w:numFmt w:val="decimal"/>
      <w:lvlText w:val="%1.%2.%3.%4.%5.%6.%7.%8.%9"/>
      <w:lvlJc w:val="left"/>
      <w:pPr>
        <w:ind w:left="8629" w:hanging="2160"/>
      </w:pPr>
    </w:lvl>
  </w:abstractNum>
  <w:abstractNum w:abstractNumId="4" w15:restartNumberingAfterBreak="0">
    <w:nsid w:val="51614A4D"/>
    <w:multiLevelType w:val="multilevel"/>
    <w:tmpl w:val="3F26E642"/>
    <w:lvl w:ilvl="0">
      <w:start w:val="2"/>
      <w:numFmt w:val="decimal"/>
      <w:lvlText w:val="%1.0"/>
      <w:lvlJc w:val="left"/>
      <w:pPr>
        <w:ind w:left="1080" w:hanging="720"/>
      </w:pPr>
    </w:lvl>
    <w:lvl w:ilvl="1">
      <w:start w:val="1"/>
      <w:numFmt w:val="decimal"/>
      <w:lvlText w:val="%1.%2"/>
      <w:lvlJc w:val="left"/>
      <w:pPr>
        <w:ind w:left="1800" w:hanging="720"/>
      </w:pPr>
    </w:lvl>
    <w:lvl w:ilvl="2">
      <w:start w:val="1"/>
      <w:numFmt w:val="decimal"/>
      <w:lvlText w:val="%1.%2.%3"/>
      <w:lvlJc w:val="left"/>
      <w:pPr>
        <w:ind w:left="2520" w:hanging="720"/>
      </w:pPr>
    </w:lvl>
    <w:lvl w:ilvl="3">
      <w:start w:val="1"/>
      <w:numFmt w:val="decimal"/>
      <w:lvlText w:val="%1.%2.%3.%4"/>
      <w:lvlJc w:val="left"/>
      <w:pPr>
        <w:ind w:left="3600" w:hanging="1080"/>
      </w:pPr>
    </w:lvl>
    <w:lvl w:ilvl="4">
      <w:start w:val="1"/>
      <w:numFmt w:val="decimal"/>
      <w:lvlText w:val="%1.%2.%3.%4.%5"/>
      <w:lvlJc w:val="left"/>
      <w:pPr>
        <w:ind w:left="4680" w:hanging="1440"/>
      </w:pPr>
    </w:lvl>
    <w:lvl w:ilvl="5">
      <w:start w:val="1"/>
      <w:numFmt w:val="decimal"/>
      <w:lvlText w:val="%1.%2.%3.%4.%5.%6"/>
      <w:lvlJc w:val="left"/>
      <w:pPr>
        <w:ind w:left="5400" w:hanging="1440"/>
      </w:pPr>
    </w:lvl>
    <w:lvl w:ilvl="6">
      <w:start w:val="1"/>
      <w:numFmt w:val="decimal"/>
      <w:lvlText w:val="%1.%2.%3.%4.%5.%6.%7"/>
      <w:lvlJc w:val="left"/>
      <w:pPr>
        <w:ind w:left="6480" w:hanging="1800"/>
      </w:pPr>
    </w:lvl>
    <w:lvl w:ilvl="7">
      <w:start w:val="1"/>
      <w:numFmt w:val="decimal"/>
      <w:lvlText w:val="%1.%2.%3.%4.%5.%6.%7.%8"/>
      <w:lvlJc w:val="left"/>
      <w:pPr>
        <w:ind w:left="7560" w:hanging="2160"/>
      </w:pPr>
    </w:lvl>
    <w:lvl w:ilvl="8">
      <w:start w:val="1"/>
      <w:numFmt w:val="decimal"/>
      <w:lvlText w:val="%1.%2.%3.%4.%5.%6.%7.%8.%9"/>
      <w:lvlJc w:val="left"/>
      <w:pPr>
        <w:ind w:left="8280" w:hanging="2160"/>
      </w:pPr>
    </w:lvl>
  </w:abstractNum>
  <w:abstractNum w:abstractNumId="5" w15:restartNumberingAfterBreak="0">
    <w:nsid w:val="5CB0202B"/>
    <w:multiLevelType w:val="multilevel"/>
    <w:tmpl w:val="9642DB0E"/>
    <w:lvl w:ilvl="0">
      <w:start w:val="8"/>
      <w:numFmt w:val="decimal"/>
      <w:lvlText w:val="%1.0"/>
      <w:lvlJc w:val="left"/>
      <w:pPr>
        <w:ind w:left="1571" w:hanging="720"/>
      </w:pPr>
    </w:lvl>
    <w:lvl w:ilvl="1">
      <w:start w:val="1"/>
      <w:numFmt w:val="decimal"/>
      <w:lvlText w:val="%1.%2"/>
      <w:lvlJc w:val="left"/>
      <w:pPr>
        <w:ind w:left="2291" w:hanging="720"/>
      </w:pPr>
    </w:lvl>
    <w:lvl w:ilvl="2">
      <w:start w:val="1"/>
      <w:numFmt w:val="decimal"/>
      <w:lvlText w:val="%1.%2.%3"/>
      <w:lvlJc w:val="left"/>
      <w:pPr>
        <w:ind w:left="3011" w:hanging="720"/>
      </w:pPr>
    </w:lvl>
    <w:lvl w:ilvl="3">
      <w:start w:val="1"/>
      <w:numFmt w:val="decimal"/>
      <w:lvlText w:val="%1.%2.%3.%4"/>
      <w:lvlJc w:val="left"/>
      <w:pPr>
        <w:ind w:left="4091" w:hanging="1080"/>
      </w:pPr>
    </w:lvl>
    <w:lvl w:ilvl="4">
      <w:start w:val="1"/>
      <w:numFmt w:val="decimal"/>
      <w:lvlText w:val="%1.%2.%3.%4.%5"/>
      <w:lvlJc w:val="left"/>
      <w:pPr>
        <w:ind w:left="5171" w:hanging="1440"/>
      </w:pPr>
    </w:lvl>
    <w:lvl w:ilvl="5">
      <w:start w:val="1"/>
      <w:numFmt w:val="decimal"/>
      <w:lvlText w:val="%1.%2.%3.%4.%5.%6"/>
      <w:lvlJc w:val="left"/>
      <w:pPr>
        <w:ind w:left="5891" w:hanging="1440"/>
      </w:pPr>
    </w:lvl>
    <w:lvl w:ilvl="6">
      <w:start w:val="1"/>
      <w:numFmt w:val="decimal"/>
      <w:lvlText w:val="%1.%2.%3.%4.%5.%6.%7"/>
      <w:lvlJc w:val="left"/>
      <w:pPr>
        <w:ind w:left="6971" w:hanging="1800"/>
      </w:pPr>
    </w:lvl>
    <w:lvl w:ilvl="7">
      <w:start w:val="1"/>
      <w:numFmt w:val="decimal"/>
      <w:lvlText w:val="%1.%2.%3.%4.%5.%6.%7.%8"/>
      <w:lvlJc w:val="left"/>
      <w:pPr>
        <w:ind w:left="8051" w:hanging="2160"/>
      </w:pPr>
    </w:lvl>
    <w:lvl w:ilvl="8">
      <w:start w:val="1"/>
      <w:numFmt w:val="decimal"/>
      <w:lvlText w:val="%1.%2.%3.%4.%5.%6.%7.%8.%9"/>
      <w:lvlJc w:val="left"/>
      <w:pPr>
        <w:ind w:left="8771" w:hanging="2160"/>
      </w:pPr>
    </w:lvl>
  </w:abstractNum>
  <w:abstractNum w:abstractNumId="6" w15:restartNumberingAfterBreak="0">
    <w:nsid w:val="66A041F9"/>
    <w:multiLevelType w:val="multilevel"/>
    <w:tmpl w:val="657C9FDC"/>
    <w:lvl w:ilvl="0">
      <w:start w:val="9"/>
      <w:numFmt w:val="decimal"/>
      <w:lvlText w:val="%1.0"/>
      <w:lvlJc w:val="left"/>
      <w:pPr>
        <w:ind w:left="1571" w:hanging="720"/>
      </w:pPr>
    </w:lvl>
    <w:lvl w:ilvl="1">
      <w:start w:val="1"/>
      <w:numFmt w:val="decimal"/>
      <w:lvlText w:val="%1.%2"/>
      <w:lvlJc w:val="left"/>
      <w:pPr>
        <w:ind w:left="2291" w:hanging="720"/>
      </w:pPr>
    </w:lvl>
    <w:lvl w:ilvl="2">
      <w:start w:val="1"/>
      <w:numFmt w:val="decimal"/>
      <w:lvlText w:val="%1.%2.%3"/>
      <w:lvlJc w:val="left"/>
      <w:pPr>
        <w:ind w:left="3011" w:hanging="720"/>
      </w:pPr>
    </w:lvl>
    <w:lvl w:ilvl="3">
      <w:start w:val="1"/>
      <w:numFmt w:val="decimal"/>
      <w:lvlText w:val="%1.%2.%3.%4"/>
      <w:lvlJc w:val="left"/>
      <w:pPr>
        <w:ind w:left="4091" w:hanging="1080"/>
      </w:pPr>
    </w:lvl>
    <w:lvl w:ilvl="4">
      <w:start w:val="1"/>
      <w:numFmt w:val="decimal"/>
      <w:lvlText w:val="%1.%2.%3.%4.%5"/>
      <w:lvlJc w:val="left"/>
      <w:pPr>
        <w:ind w:left="5171" w:hanging="1440"/>
      </w:pPr>
    </w:lvl>
    <w:lvl w:ilvl="5">
      <w:start w:val="1"/>
      <w:numFmt w:val="decimal"/>
      <w:lvlText w:val="%1.%2.%3.%4.%5.%6"/>
      <w:lvlJc w:val="left"/>
      <w:pPr>
        <w:ind w:left="5891" w:hanging="1440"/>
      </w:pPr>
    </w:lvl>
    <w:lvl w:ilvl="6">
      <w:start w:val="1"/>
      <w:numFmt w:val="decimal"/>
      <w:lvlText w:val="%1.%2.%3.%4.%5.%6.%7"/>
      <w:lvlJc w:val="left"/>
      <w:pPr>
        <w:ind w:left="6971" w:hanging="1800"/>
      </w:pPr>
    </w:lvl>
    <w:lvl w:ilvl="7">
      <w:start w:val="1"/>
      <w:numFmt w:val="decimal"/>
      <w:lvlText w:val="%1.%2.%3.%4.%5.%6.%7.%8"/>
      <w:lvlJc w:val="left"/>
      <w:pPr>
        <w:ind w:left="8051" w:hanging="2160"/>
      </w:pPr>
    </w:lvl>
    <w:lvl w:ilvl="8">
      <w:start w:val="1"/>
      <w:numFmt w:val="decimal"/>
      <w:lvlText w:val="%1.%2.%3.%4.%5.%6.%7.%8.%9"/>
      <w:lvlJc w:val="left"/>
      <w:pPr>
        <w:ind w:left="8771" w:hanging="2160"/>
      </w:pPr>
    </w:lvl>
  </w:abstractNum>
  <w:abstractNum w:abstractNumId="7" w15:restartNumberingAfterBreak="0">
    <w:nsid w:val="74830567"/>
    <w:multiLevelType w:val="multilevel"/>
    <w:tmpl w:val="F89C1208"/>
    <w:lvl w:ilvl="0">
      <w:start w:val="4"/>
      <w:numFmt w:val="decimal"/>
      <w:lvlText w:val="%1.0"/>
      <w:lvlJc w:val="left"/>
      <w:pPr>
        <w:ind w:left="1571" w:hanging="720"/>
      </w:pPr>
    </w:lvl>
    <w:lvl w:ilvl="1">
      <w:start w:val="1"/>
      <w:numFmt w:val="decimal"/>
      <w:lvlText w:val="%1.%2"/>
      <w:lvlJc w:val="left"/>
      <w:pPr>
        <w:ind w:left="2291" w:hanging="720"/>
      </w:pPr>
    </w:lvl>
    <w:lvl w:ilvl="2">
      <w:start w:val="1"/>
      <w:numFmt w:val="decimal"/>
      <w:lvlText w:val="%1.%2.%3"/>
      <w:lvlJc w:val="left"/>
      <w:pPr>
        <w:ind w:left="3011" w:hanging="720"/>
      </w:pPr>
    </w:lvl>
    <w:lvl w:ilvl="3">
      <w:start w:val="1"/>
      <w:numFmt w:val="decimal"/>
      <w:lvlText w:val="%1.%2.%3.%4"/>
      <w:lvlJc w:val="left"/>
      <w:pPr>
        <w:ind w:left="4091" w:hanging="1080"/>
      </w:pPr>
    </w:lvl>
    <w:lvl w:ilvl="4">
      <w:start w:val="1"/>
      <w:numFmt w:val="decimal"/>
      <w:lvlText w:val="%1.%2.%3.%4.%5"/>
      <w:lvlJc w:val="left"/>
      <w:pPr>
        <w:ind w:left="5171" w:hanging="1440"/>
      </w:pPr>
    </w:lvl>
    <w:lvl w:ilvl="5">
      <w:start w:val="1"/>
      <w:numFmt w:val="decimal"/>
      <w:lvlText w:val="%1.%2.%3.%4.%5.%6"/>
      <w:lvlJc w:val="left"/>
      <w:pPr>
        <w:ind w:left="5891" w:hanging="1440"/>
      </w:pPr>
    </w:lvl>
    <w:lvl w:ilvl="6">
      <w:start w:val="1"/>
      <w:numFmt w:val="decimal"/>
      <w:lvlText w:val="%1.%2.%3.%4.%5.%6.%7"/>
      <w:lvlJc w:val="left"/>
      <w:pPr>
        <w:ind w:left="6971" w:hanging="1800"/>
      </w:pPr>
    </w:lvl>
    <w:lvl w:ilvl="7">
      <w:start w:val="1"/>
      <w:numFmt w:val="decimal"/>
      <w:lvlText w:val="%1.%2.%3.%4.%5.%6.%7.%8"/>
      <w:lvlJc w:val="left"/>
      <w:pPr>
        <w:ind w:left="8051" w:hanging="2160"/>
      </w:pPr>
    </w:lvl>
    <w:lvl w:ilvl="8">
      <w:start w:val="1"/>
      <w:numFmt w:val="decimal"/>
      <w:lvlText w:val="%1.%2.%3.%4.%5.%6.%7.%8.%9"/>
      <w:lvlJc w:val="left"/>
      <w:pPr>
        <w:ind w:left="8771" w:hanging="2160"/>
      </w:pPr>
    </w:lvl>
  </w:abstractNum>
  <w:num w:numId="1" w16cid:durableId="603733174">
    <w:abstractNumId w:val="6"/>
  </w:num>
  <w:num w:numId="2" w16cid:durableId="164246075">
    <w:abstractNumId w:val="4"/>
  </w:num>
  <w:num w:numId="3" w16cid:durableId="2137481480">
    <w:abstractNumId w:val="3"/>
  </w:num>
  <w:num w:numId="4" w16cid:durableId="1633171655">
    <w:abstractNumId w:val="7"/>
  </w:num>
  <w:num w:numId="5" w16cid:durableId="2010212204">
    <w:abstractNumId w:val="1"/>
  </w:num>
  <w:num w:numId="6" w16cid:durableId="3097121">
    <w:abstractNumId w:val="0"/>
  </w:num>
  <w:num w:numId="7" w16cid:durableId="1908571714">
    <w:abstractNumId w:val="2"/>
  </w:num>
  <w:num w:numId="8" w16cid:durableId="20070490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73CF"/>
    <w:rsid w:val="00000E85"/>
    <w:rsid w:val="000C60E9"/>
    <w:rsid w:val="009173CF"/>
    <w:rsid w:val="00AD4E52"/>
    <w:rsid w:val="00D33C3E"/>
    <w:rsid w:val="00D908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A3E22"/>
  <w15:docId w15:val="{53AF9A8A-B6E4-4088-BCF6-E04FF15F9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CellMar>
        <w:top w:w="0" w:type="dxa"/>
        <w:left w:w="10" w:type="dxa"/>
        <w:bottom w:w="0" w:type="dxa"/>
        <w:right w:w="10" w:type="dxa"/>
      </w:tblCellMar>
    </w:tblPr>
  </w:style>
  <w:style w:type="table" w:customStyle="1" w:styleId="a0">
    <w:basedOn w:val="TableNormal0"/>
    <w:tblPr>
      <w:tblStyleRowBandSize w:val="1"/>
      <w:tblStyleColBandSize w:val="1"/>
      <w:tblCellMar>
        <w:top w:w="0" w:type="dxa"/>
        <w:left w:w="10" w:type="dxa"/>
        <w:bottom w:w="0" w:type="dxa"/>
        <w:right w:w="10" w:type="dxa"/>
      </w:tblCellMar>
    </w:tblPr>
  </w:style>
  <w:style w:type="table" w:customStyle="1" w:styleId="a1">
    <w:basedOn w:val="TableNormal0"/>
    <w:tblPr>
      <w:tblStyleRowBandSize w:val="1"/>
      <w:tblStyleColBandSize w:val="1"/>
      <w:tblCellMar>
        <w:top w:w="0" w:type="dxa"/>
        <w:left w:w="10" w:type="dxa"/>
        <w:bottom w:w="0" w:type="dxa"/>
        <w:right w:w="10" w:type="dxa"/>
      </w:tblCellMar>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style>
  <w:style w:type="character" w:styleId="Hyperlink">
    <w:name w:val="Hyperlink"/>
    <w:basedOn w:val="DefaultParagraphFont"/>
    <w:uiPriority w:val="99"/>
    <w:unhideWhenUsed/>
    <w:rsid w:val="00000E85"/>
    <w:rPr>
      <w:color w:val="0000FF" w:themeColor="hyperlink"/>
      <w:u w:val="single"/>
    </w:rPr>
  </w:style>
  <w:style w:type="character" w:styleId="UnresolvedMention">
    <w:name w:val="Unresolved Mention"/>
    <w:basedOn w:val="DefaultParagraphFont"/>
    <w:uiPriority w:val="99"/>
    <w:semiHidden/>
    <w:unhideWhenUsed/>
    <w:rsid w:val="00000E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oi.org/10.1177/21582440231217729" TargetMode="External"/><Relationship Id="rId26" Type="http://schemas.openxmlformats.org/officeDocument/2006/relationships/hyperlink" Target="https://doi.org/10.3389/fpsyg.2025.1540820" TargetMode="External"/><Relationship Id="rId39" Type="http://schemas.openxmlformats.org/officeDocument/2006/relationships/hyperlink" Target="https://doi.org/10.1073/pnas.1714936115" TargetMode="External"/><Relationship Id="rId21" Type="http://schemas.openxmlformats.org/officeDocument/2006/relationships/hyperlink" Target="https://www.cipd.org/uk/knowledge/factsheets/workforce-planning-factsheet/" TargetMode="External"/><Relationship Id="rId34" Type="http://schemas.openxmlformats.org/officeDocument/2006/relationships/hyperlink" Target="http://academic.regis.edu/ed205/Kolb.pdf" TargetMode="External"/><Relationship Id="rId42" Type="http://schemas.openxmlformats.org/officeDocument/2006/relationships/hyperlink" Target="https://doi.org/10.1787/345b6528-en" TargetMode="External"/><Relationship Id="rId47" Type="http://schemas.openxmlformats.org/officeDocument/2006/relationships/hyperlink" Target="https://doi.org/10.1007/s11846-023-00684-3" TargetMode="External"/><Relationship Id="rId50" Type="http://schemas.openxmlformats.org/officeDocument/2006/relationships/hyperlink" Target="https://doi.org/10.1016/j.bbih.2024.100766" TargetMode="External"/><Relationship Id="rId55" Type="http://schemas.openxmlformats.org/officeDocument/2006/relationships/hyperlink" Target="https://doi.org/10.1108/JPMH-06-2020-105"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16/j.jebo.2023.10.027" TargetMode="External"/><Relationship Id="rId29" Type="http://schemas.openxmlformats.org/officeDocument/2006/relationships/hyperlink" Target="about:blank" TargetMode="External"/><Relationship Id="rId11" Type="http://schemas.openxmlformats.org/officeDocument/2006/relationships/image" Target="media/image1.png"/><Relationship Id="rId24" Type="http://schemas.openxmlformats.org/officeDocument/2006/relationships/hyperlink" Target="https://doi.org/10.3389/fpsyg.2022.611348" TargetMode="External"/><Relationship Id="rId32" Type="http://schemas.openxmlformats.org/officeDocument/2006/relationships/hyperlink" Target="https://doi.org/10.1093/clipsy.bpg016" TargetMode="External"/><Relationship Id="rId37" Type="http://schemas.openxmlformats.org/officeDocument/2006/relationships/hyperlink" Target="https://doi.org/10.1177/1754073916639667" TargetMode="External"/><Relationship Id="rId40" Type="http://schemas.openxmlformats.org/officeDocument/2006/relationships/hyperlink" Target="https://doi.org/10.1007/s12671-023-02130-7" TargetMode="External"/><Relationship Id="rId45" Type="http://schemas.openxmlformats.org/officeDocument/2006/relationships/hyperlink" Target="https://doi.org/10.1348/000712606X120618" TargetMode="External"/><Relationship Id="rId53" Type="http://schemas.openxmlformats.org/officeDocument/2006/relationships/hyperlink" Target="https://doi.org/10.3390/educsci15081047" TargetMode="External"/><Relationship Id="rId58" Type="http://schemas.openxmlformats.org/officeDocument/2006/relationships/hyperlink" Target="https://doi.org/10.1080/17437199.2023.2248222" TargetMode="External"/><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hyperlink" Target="https://www.ncbi.nlm.nih.gov/books/NBK541120/?utm_source=chatgpt.com" TargetMode="External"/><Relationship Id="rId14" Type="http://schemas.openxmlformats.org/officeDocument/2006/relationships/hyperlink" Target="https://businesscultureawards.com/business-culture-case-studies/coaching-through-conversation-and-empathy-shifts-talent-and-performance-management-at-transport-for-london/" TargetMode="External"/><Relationship Id="rId22" Type="http://schemas.openxmlformats.org/officeDocument/2006/relationships/hyperlink" Target="https://www.cipd.org/uk/knowledge/factsheets/strategy-development-factsheet/" TargetMode="External"/><Relationship Id="rId27" Type="http://schemas.openxmlformats.org/officeDocument/2006/relationships/hyperlink" Target="https://doi.org/10.1111/irj.12418" TargetMode="External"/><Relationship Id="rId30" Type="http://schemas.openxmlformats.org/officeDocument/2006/relationships/hyperlink" Target="https://www.hse.gov.uk/statistics/overview.htm" TargetMode="External"/><Relationship Id="rId35" Type="http://schemas.openxmlformats.org/officeDocument/2006/relationships/hyperlink" Target="https://doi.org/10.15421/cims.4.274" TargetMode="External"/><Relationship Id="rId43" Type="http://schemas.openxmlformats.org/officeDocument/2006/relationships/hyperlink" Target="https://chat.openai.com/chat" TargetMode="External"/><Relationship Id="rId48" Type="http://schemas.openxmlformats.org/officeDocument/2006/relationships/hyperlink" Target="https://doi.org/10.1108/IJM-12-2021-0690" TargetMode="External"/><Relationship Id="rId56" Type="http://schemas.openxmlformats.org/officeDocument/2006/relationships/hyperlink" Target="https://reports.weforum.org/docs/WEF_Future_of_Jobs_Report_2025.pdf" TargetMode="External"/><Relationship Id="rId8" Type="http://schemas.openxmlformats.org/officeDocument/2006/relationships/webSettings" Target="webSettings.xml"/><Relationship Id="rId51" Type="http://schemas.openxmlformats.org/officeDocument/2006/relationships/hyperlink" Target="https://www.guilford.com/excerpts/segal2.pdf?t=1"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10.1007/s12671-024-02507-2" TargetMode="External"/><Relationship Id="rId25" Type="http://schemas.openxmlformats.org/officeDocument/2006/relationships/hyperlink" Target="https://doi.org/10.1038/s44271-025-00355-x" TargetMode="External"/><Relationship Id="rId33" Type="http://schemas.openxmlformats.org/officeDocument/2006/relationships/hyperlink" Target="https://karpmandramatriangle.com/pdf/DramaTriangle.pdf" TargetMode="External"/><Relationship Id="rId38" Type="http://schemas.openxmlformats.org/officeDocument/2006/relationships/hyperlink" Target="https://doi.org/10.1186/s12912-025-03002-2" TargetMode="External"/><Relationship Id="rId46" Type="http://schemas.openxmlformats.org/officeDocument/2006/relationships/hyperlink" Target="https://doi.org/10.3389/fpsyg.2024.1437035" TargetMode="External"/><Relationship Id="rId59" Type="http://schemas.openxmlformats.org/officeDocument/2006/relationships/header" Target="header1.xml"/><Relationship Id="rId20" Type="http://schemas.openxmlformats.org/officeDocument/2006/relationships/hyperlink" Target="https://www.cipd.org/globalassets/media/knowledge/knowledge-hub/reports/2023-pdfs/2023-learning-at-work-survey-report-8378.pdf" TargetMode="External"/><Relationship Id="rId41" Type="http://schemas.openxmlformats.org/officeDocument/2006/relationships/hyperlink" Target="https://doi.org/10.1093/intqhc/12.3.191" TargetMode="External"/><Relationship Id="rId54" Type="http://schemas.openxmlformats.org/officeDocument/2006/relationships/hyperlink" Target="https://doi.org/10.1002/smi.70123"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02/9781118996874.ch32" TargetMode="External"/><Relationship Id="rId23" Type="http://schemas.openxmlformats.org/officeDocument/2006/relationships/hyperlink" Target="https://doi.org/10.1016/j.heliyon.2023.e20356" TargetMode="External"/><Relationship Id="rId28" Type="http://schemas.openxmlformats.org/officeDocument/2006/relationships/hyperlink" Target="https://doi.org/10.1002/ltl.20813" TargetMode="External"/><Relationship Id="rId36" Type="http://schemas.openxmlformats.org/officeDocument/2006/relationships/hyperlink" Target="https://doi.org/10.1016/j.ijwd.2019.09.006" TargetMode="External"/><Relationship Id="rId49" Type="http://schemas.openxmlformats.org/officeDocument/2006/relationships/hyperlink" Target="https://doi.org/10.1108/IJLMA-01-2024-0025" TargetMode="External"/><Relationship Id="rId57" Type="http://schemas.openxmlformats.org/officeDocument/2006/relationships/hyperlink" Target="https://www.who.int/news-room/fact-sheets/detail/mental-health-at-work" TargetMode="External"/><Relationship Id="rId10" Type="http://schemas.openxmlformats.org/officeDocument/2006/relationships/endnotes" Target="endnotes.xml"/><Relationship Id="rId31" Type="http://schemas.openxmlformats.org/officeDocument/2006/relationships/hyperlink" Target="https://doi.org/10.1002/hrdq.21330" TargetMode="External"/><Relationship Id="rId44" Type="http://schemas.openxmlformats.org/officeDocument/2006/relationships/hyperlink" Target="https://doi.org/10.1016/j.ssaho.2024.101078" TargetMode="External"/><Relationship Id="rId52" Type="http://schemas.openxmlformats.org/officeDocument/2006/relationships/hyperlink" Target="https://doi.org/10.29210/020221574" TargetMode="External"/><Relationship Id="rId6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ivOwhdnWe9JgAM6xsyrBH8TPpQ==">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</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D9622A31320B9544A6C628E4AE2498DB" ma:contentTypeVersion="6" ma:contentTypeDescription="Create a new document." ma:contentTypeScope="" ma:versionID="bb32212eae80a1fb3e29f834921ddfce">
  <xsd:schema xmlns:xsd="http://www.w3.org/2001/XMLSchema" xmlns:xs="http://www.w3.org/2001/XMLSchema" xmlns:p="http://schemas.microsoft.com/office/2006/metadata/properties" xmlns:ns3="b9b8939a-c332-4a81-98bf-6a848f0dd367" targetNamespace="http://schemas.microsoft.com/office/2006/metadata/properties" ma:root="true" ma:fieldsID="e5e0ced1588eb5f0cfab62d56f77c5f6" ns3:_="">
    <xsd:import namespace="b9b8939a-c332-4a81-98bf-6a848f0dd3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b8939a-c332-4a81-98bf-6a848f0dd3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9b8939a-c332-4a81-98bf-6a848f0dd367" xsi:nil="true"/>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26698B4-E4E1-4987-A4BC-EA29F48CD0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b8939a-c332-4a81-98bf-6a848f0dd3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0477FB-743F-405E-BA70-4026D7A6A411}">
  <ds:schemaRefs>
    <ds:schemaRef ds:uri="http://schemas.microsoft.com/sharepoint/v3/contenttype/forms"/>
  </ds:schemaRefs>
</ds:datastoreItem>
</file>

<file path=customXml/itemProps4.xml><?xml version="1.0" encoding="utf-8"?>
<ds:datastoreItem xmlns:ds="http://schemas.openxmlformats.org/officeDocument/2006/customXml" ds:itemID="{651F2627-3488-4AEC-A2F9-00A4EDCDDA74}">
  <ds:schemaRefs>
    <ds:schemaRef ds:uri="http://schemas.microsoft.com/office/2006/metadata/properties"/>
    <ds:schemaRef ds:uri="http://schemas.microsoft.com/office/infopath/2007/PartnerControls"/>
    <ds:schemaRef ds:uri="b9b8939a-c332-4a81-98bf-6a848f0dd36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7192</Words>
  <Characters>40995</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Kelly Keefe (2318120)</cp:lastModifiedBy>
  <cp:revision>2</cp:revision>
  <dcterms:created xsi:type="dcterms:W3CDTF">2026-05-24T15:10:00Z</dcterms:created>
  <dcterms:modified xsi:type="dcterms:W3CDTF">2026-05-24T15:10:00Z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0x010100D9622A31320B9544A6C628E4AE2498DB</vt:lpwstr>
  </property>
</Properties>
</file>