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48415748"/>
        <w:docPartObj>
          <w:docPartGallery w:val="Cover Pages"/>
          <w:docPartUnique/>
        </w:docPartObj>
      </w:sdtPr>
      <w:sdtEndPr>
        <w:rPr>
          <w:rFonts w:ascii="Arial Black" w:eastAsiaTheme="minorHAnsi" w:hAnsi="Arial Black" w:cs="Arial"/>
          <w:kern w:val="2"/>
          <w:sz w:val="24"/>
          <w:szCs w:val="24"/>
          <w:lang w:val="en-GB"/>
          <w14:ligatures w14:val="standardContextual"/>
        </w:rPr>
      </w:sdtEndPr>
      <w:sdtContent>
        <w:p w14:paraId="7F4FB870" w14:textId="08BCD59E" w:rsidR="00017BE1" w:rsidRDefault="00017BE1">
          <w:pPr>
            <w:pStyle w:val="NoSpacing"/>
          </w:pPr>
          <w:r>
            <w:rPr>
              <w:noProof/>
            </w:rPr>
            <mc:AlternateContent>
              <mc:Choice Requires="wpg">
                <w:drawing>
                  <wp:anchor distT="0" distB="0" distL="114300" distR="114300" simplePos="0" relativeHeight="251659264" behindDoc="1" locked="0" layoutInCell="1" allowOverlap="1" wp14:anchorId="30639D5F" wp14:editId="7899029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3-01T00:00:00Z">
                                      <w:dateFormat w:val="M/d/yyyy"/>
                                      <w:lid w:val="en-US"/>
                                      <w:storeMappedDataAs w:val="dateTime"/>
                                      <w:calendar w:val="gregorian"/>
                                    </w:date>
                                  </w:sdtPr>
                                  <w:sdtContent>
                                    <w:p w14:paraId="5023E3EC" w14:textId="27FE2B7B" w:rsidR="00017BE1" w:rsidRDefault="00017BE1">
                                      <w:pPr>
                                        <w:pStyle w:val="NoSpacing"/>
                                        <w:jc w:val="right"/>
                                        <w:rPr>
                                          <w:color w:val="FFFFFF" w:themeColor="background1"/>
                                          <w:sz w:val="28"/>
                                          <w:szCs w:val="28"/>
                                        </w:rPr>
                                      </w:pPr>
                                      <w:r w:rsidRPr="00017BE1">
                                        <w:rPr>
                                          <w:rFonts w:ascii="Arial Black" w:hAnsi="Arial Black"/>
                                          <w:color w:val="FFFFFF" w:themeColor="background1"/>
                                          <w:sz w:val="28"/>
                                          <w:szCs w:val="28"/>
                                        </w:rPr>
                                        <w:t>3/1/2024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0639D5F"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rFonts w:ascii="Arial Black" w:hAnsi="Arial Black"/>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3-01T00:00:00Z">
                                <w:dateFormat w:val="M/d/yyyy"/>
                                <w:lid w:val="en-US"/>
                                <w:storeMappedDataAs w:val="dateTime"/>
                                <w:calendar w:val="gregorian"/>
                              </w:date>
                            </w:sdtPr>
                            <w:sdtContent>
                              <w:p w14:paraId="5023E3EC" w14:textId="27FE2B7B" w:rsidR="00017BE1" w:rsidRDefault="00017BE1">
                                <w:pPr>
                                  <w:pStyle w:val="NoSpacing"/>
                                  <w:jc w:val="right"/>
                                  <w:rPr>
                                    <w:color w:val="FFFFFF" w:themeColor="background1"/>
                                    <w:sz w:val="28"/>
                                    <w:szCs w:val="28"/>
                                  </w:rPr>
                                </w:pPr>
                                <w:r w:rsidRPr="00017BE1">
                                  <w:rPr>
                                    <w:rFonts w:ascii="Arial Black" w:hAnsi="Arial Black"/>
                                    <w:color w:val="FFFFFF" w:themeColor="background1"/>
                                    <w:sz w:val="28"/>
                                    <w:szCs w:val="28"/>
                                  </w:rPr>
                                  <w:t>3/1/2024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104C308" wp14:editId="4EBAC6A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668E9C" w14:textId="2A5FA3A5" w:rsidR="00017BE1" w:rsidRPr="00017BE1" w:rsidRDefault="00017BE1">
                                <w:pPr>
                                  <w:pStyle w:val="NoSpacing"/>
                                  <w:rPr>
                                    <w:rFonts w:ascii="Arial Black" w:hAnsi="Arial Black"/>
                                    <w:color w:val="156082" w:themeColor="accent1"/>
                                    <w:sz w:val="26"/>
                                    <w:szCs w:val="26"/>
                                  </w:rPr>
                                </w:pPr>
                                <w:r w:rsidRPr="00017BE1">
                                  <w:rPr>
                                    <w:rFonts w:ascii="Arial Black" w:hAnsi="Arial Black"/>
                                    <w:color w:val="156082" w:themeColor="accent1"/>
                                    <w:sz w:val="26"/>
                                    <w:szCs w:val="26"/>
                                  </w:rPr>
                                  <w:t xml:space="preserve">Catalin Ancuta </w:t>
                                </w:r>
                              </w:p>
                              <w:p w14:paraId="6F79F7D8" w14:textId="375F0CCE" w:rsidR="00017BE1" w:rsidRPr="00017BE1" w:rsidRDefault="00017BE1">
                                <w:pPr>
                                  <w:pStyle w:val="NoSpacing"/>
                                  <w:rPr>
                                    <w:rFonts w:ascii="Arial Black" w:hAnsi="Arial Black"/>
                                    <w:color w:val="595959" w:themeColor="text1" w:themeTint="A6"/>
                                    <w:sz w:val="20"/>
                                    <w:szCs w:val="20"/>
                                  </w:rPr>
                                </w:pPr>
                                <w:sdt>
                                  <w:sdtPr>
                                    <w:rPr>
                                      <w:rFonts w:ascii="Arial Black" w:hAnsi="Arial Black"/>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017BE1">
                                      <w:rPr>
                                        <w:rFonts w:ascii="Arial Black" w:hAnsi="Arial Black"/>
                                        <w:caps/>
                                        <w:color w:val="595959" w:themeColor="text1" w:themeTint="A6"/>
                                        <w:sz w:val="20"/>
                                        <w:szCs w:val="20"/>
                                      </w:rPr>
                                      <w:t>Distinctiveness and Regeneration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104C308"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E668E9C" w14:textId="2A5FA3A5" w:rsidR="00017BE1" w:rsidRPr="00017BE1" w:rsidRDefault="00017BE1">
                          <w:pPr>
                            <w:pStyle w:val="NoSpacing"/>
                            <w:rPr>
                              <w:rFonts w:ascii="Arial Black" w:hAnsi="Arial Black"/>
                              <w:color w:val="156082" w:themeColor="accent1"/>
                              <w:sz w:val="26"/>
                              <w:szCs w:val="26"/>
                            </w:rPr>
                          </w:pPr>
                          <w:r w:rsidRPr="00017BE1">
                            <w:rPr>
                              <w:rFonts w:ascii="Arial Black" w:hAnsi="Arial Black"/>
                              <w:color w:val="156082" w:themeColor="accent1"/>
                              <w:sz w:val="26"/>
                              <w:szCs w:val="26"/>
                            </w:rPr>
                            <w:t xml:space="preserve">Catalin Ancuta </w:t>
                          </w:r>
                        </w:p>
                        <w:p w14:paraId="6F79F7D8" w14:textId="375F0CCE" w:rsidR="00017BE1" w:rsidRPr="00017BE1" w:rsidRDefault="00017BE1">
                          <w:pPr>
                            <w:pStyle w:val="NoSpacing"/>
                            <w:rPr>
                              <w:rFonts w:ascii="Arial Black" w:hAnsi="Arial Black"/>
                              <w:color w:val="595959" w:themeColor="text1" w:themeTint="A6"/>
                              <w:sz w:val="20"/>
                              <w:szCs w:val="20"/>
                            </w:rPr>
                          </w:pPr>
                          <w:sdt>
                            <w:sdtPr>
                              <w:rPr>
                                <w:rFonts w:ascii="Arial Black" w:hAnsi="Arial Black"/>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017BE1">
                                <w:rPr>
                                  <w:rFonts w:ascii="Arial Black" w:hAnsi="Arial Black"/>
                                  <w:caps/>
                                  <w:color w:val="595959" w:themeColor="text1" w:themeTint="A6"/>
                                  <w:sz w:val="20"/>
                                  <w:szCs w:val="20"/>
                                </w:rPr>
                                <w:t>Distinctiveness and Regeneration</w:t>
                              </w:r>
                            </w:sdtContent>
                          </w:sdt>
                        </w:p>
                      </w:txbxContent>
                    </v:textbox>
                    <w10:wrap anchorx="page" anchory="page"/>
                  </v:shape>
                </w:pict>
              </mc:Fallback>
            </mc:AlternateContent>
          </w:r>
        </w:p>
        <w:p w14:paraId="4CD98E30" w14:textId="4F5BD43B" w:rsidR="00017BE1" w:rsidRDefault="00017BE1">
          <w:pPr>
            <w:rPr>
              <w:rFonts w:ascii="Arial Black" w:hAnsi="Arial Black" w:cs="Arial"/>
              <w:sz w:val="24"/>
              <w:szCs w:val="24"/>
            </w:rPr>
          </w:pPr>
          <w:r>
            <w:rPr>
              <w:noProof/>
            </w:rPr>
            <mc:AlternateContent>
              <mc:Choice Requires="wps">
                <w:drawing>
                  <wp:anchor distT="0" distB="0" distL="114300" distR="114300" simplePos="0" relativeHeight="251660288" behindDoc="0" locked="0" layoutInCell="1" allowOverlap="1" wp14:anchorId="6E649A3C" wp14:editId="4AD97CC1">
                    <wp:simplePos x="0" y="0"/>
                    <wp:positionH relativeFrom="page">
                      <wp:posOffset>1127760</wp:posOffset>
                    </wp:positionH>
                    <wp:positionV relativeFrom="page">
                      <wp:posOffset>3002280</wp:posOffset>
                    </wp:positionV>
                    <wp:extent cx="5928360" cy="2148840"/>
                    <wp:effectExtent l="0" t="0" r="15240" b="3810"/>
                    <wp:wrapNone/>
                    <wp:docPr id="1" name="Text Box 3"/>
                    <wp:cNvGraphicFramePr/>
                    <a:graphic xmlns:a="http://schemas.openxmlformats.org/drawingml/2006/main">
                      <a:graphicData uri="http://schemas.microsoft.com/office/word/2010/wordprocessingShape">
                        <wps:wsp>
                          <wps:cNvSpPr txBox="1"/>
                          <wps:spPr>
                            <a:xfrm>
                              <a:off x="0" y="0"/>
                              <a:ext cx="5928360" cy="2148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8E2368" w14:textId="0B46698A" w:rsidR="00017BE1" w:rsidRPr="00017BE1" w:rsidRDefault="00017BE1">
                                <w:pPr>
                                  <w:pStyle w:val="NoSpacing"/>
                                  <w:rPr>
                                    <w:rFonts w:ascii="Arial Black" w:eastAsiaTheme="majorEastAsia" w:hAnsi="Arial Black" w:cstheme="majorBidi"/>
                                    <w:color w:val="262626" w:themeColor="text1" w:themeTint="D9"/>
                                    <w:sz w:val="72"/>
                                  </w:rPr>
                                </w:pPr>
                                <w:sdt>
                                  <w:sdtPr>
                                    <w:rPr>
                                      <w:rFonts w:ascii="Arial Black" w:eastAsiaTheme="majorEastAsia" w:hAnsi="Arial Black"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17BE1">
                                      <w:rPr>
                                        <w:rFonts w:ascii="Arial Black" w:eastAsiaTheme="majorEastAsia" w:hAnsi="Arial Black" w:cstheme="majorBidi"/>
                                        <w:color w:val="262626" w:themeColor="text1" w:themeTint="D9"/>
                                        <w:sz w:val="72"/>
                                        <w:szCs w:val="72"/>
                                      </w:rPr>
                                      <w:t>Swansea: An Overview</w:t>
                                    </w:r>
                                  </w:sdtContent>
                                </w:sdt>
                              </w:p>
                              <w:p w14:paraId="71F1007B" w14:textId="7EC8EB80" w:rsidR="00017BE1" w:rsidRPr="00017BE1" w:rsidRDefault="00017BE1">
                                <w:pPr>
                                  <w:spacing w:before="120"/>
                                  <w:rPr>
                                    <w:rFonts w:ascii="Arial Black" w:hAnsi="Arial Black"/>
                                    <w:color w:val="404040" w:themeColor="text1" w:themeTint="BF"/>
                                    <w:sz w:val="36"/>
                                    <w:szCs w:val="36"/>
                                  </w:rPr>
                                </w:pPr>
                                <w:sdt>
                                  <w:sdtPr>
                                    <w:rPr>
                                      <w:rFonts w:ascii="Arial Black" w:hAnsi="Arial Black"/>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017BE1">
                                      <w:rPr>
                                        <w:rFonts w:ascii="Arial Black" w:hAnsi="Arial Black"/>
                                        <w:color w:val="404040" w:themeColor="text1" w:themeTint="BF"/>
                                        <w:sz w:val="36"/>
                                        <w:szCs w:val="36"/>
                                      </w:rPr>
                                      <w:t xml:space="preserve">Report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E649A3C" id="Text Box 3" o:spid="_x0000_s1056" type="#_x0000_t202" style="position:absolute;margin-left:88.8pt;margin-top:236.4pt;width:466.8pt;height:169.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" filled="f" stroked="f" strokeweight=".5pt">
                    <v:textbox inset="0,0,0,0">
                      <w:txbxContent>
                        <w:p w14:paraId="128E2368" w14:textId="0B46698A" w:rsidR="00017BE1" w:rsidRPr="00017BE1" w:rsidRDefault="00017BE1">
                          <w:pPr>
                            <w:pStyle w:val="NoSpacing"/>
                            <w:rPr>
                              <w:rFonts w:ascii="Arial Black" w:eastAsiaTheme="majorEastAsia" w:hAnsi="Arial Black" w:cstheme="majorBidi"/>
                              <w:color w:val="262626" w:themeColor="text1" w:themeTint="D9"/>
                              <w:sz w:val="72"/>
                            </w:rPr>
                          </w:pPr>
                          <w:sdt>
                            <w:sdtPr>
                              <w:rPr>
                                <w:rFonts w:ascii="Arial Black" w:eastAsiaTheme="majorEastAsia" w:hAnsi="Arial Black"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17BE1">
                                <w:rPr>
                                  <w:rFonts w:ascii="Arial Black" w:eastAsiaTheme="majorEastAsia" w:hAnsi="Arial Black" w:cstheme="majorBidi"/>
                                  <w:color w:val="262626" w:themeColor="text1" w:themeTint="D9"/>
                                  <w:sz w:val="72"/>
                                  <w:szCs w:val="72"/>
                                </w:rPr>
                                <w:t>Swansea: An Overview</w:t>
                              </w:r>
                            </w:sdtContent>
                          </w:sdt>
                        </w:p>
                        <w:p w14:paraId="71F1007B" w14:textId="7EC8EB80" w:rsidR="00017BE1" w:rsidRPr="00017BE1" w:rsidRDefault="00017BE1">
                          <w:pPr>
                            <w:spacing w:before="120"/>
                            <w:rPr>
                              <w:rFonts w:ascii="Arial Black" w:hAnsi="Arial Black"/>
                              <w:color w:val="404040" w:themeColor="text1" w:themeTint="BF"/>
                              <w:sz w:val="36"/>
                              <w:szCs w:val="36"/>
                            </w:rPr>
                          </w:pPr>
                          <w:sdt>
                            <w:sdtPr>
                              <w:rPr>
                                <w:rFonts w:ascii="Arial Black" w:hAnsi="Arial Black"/>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017BE1">
                                <w:rPr>
                                  <w:rFonts w:ascii="Arial Black" w:hAnsi="Arial Black"/>
                                  <w:color w:val="404040" w:themeColor="text1" w:themeTint="BF"/>
                                  <w:sz w:val="36"/>
                                  <w:szCs w:val="36"/>
                                </w:rPr>
                                <w:t xml:space="preserve">Report </w:t>
                              </w:r>
                            </w:sdtContent>
                          </w:sdt>
                        </w:p>
                      </w:txbxContent>
                    </v:textbox>
                    <w10:wrap anchorx="page" anchory="page"/>
                  </v:shape>
                </w:pict>
              </mc:Fallback>
            </mc:AlternateContent>
          </w:r>
          <w:r>
            <w:rPr>
              <w:rFonts w:ascii="Arial Black" w:hAnsi="Arial Black" w:cs="Arial"/>
              <w:sz w:val="24"/>
              <w:szCs w:val="24"/>
            </w:rPr>
            <w:br w:type="page"/>
          </w:r>
        </w:p>
      </w:sdtContent>
    </w:sdt>
    <w:p w14:paraId="2810F22E" w14:textId="2B8FF5E8" w:rsidR="00A40D89" w:rsidRDefault="00A40D89" w:rsidP="00A40D89">
      <w:pPr>
        <w:rPr>
          <w:rFonts w:ascii="Arial Black" w:hAnsi="Arial Black" w:cs="Arial"/>
          <w:sz w:val="24"/>
          <w:szCs w:val="24"/>
        </w:rPr>
      </w:pPr>
      <w:r>
        <w:rPr>
          <w:rFonts w:ascii="Arial Black" w:hAnsi="Arial Black" w:cs="Arial"/>
          <w:sz w:val="24"/>
          <w:szCs w:val="24"/>
        </w:rPr>
        <w:lastRenderedPageBreak/>
        <w:t>Part 1</w:t>
      </w:r>
    </w:p>
    <w:p w14:paraId="3B74F9BA" w14:textId="2998797E" w:rsidR="002152FE" w:rsidRPr="00A40D89" w:rsidRDefault="002152FE" w:rsidP="00A40D89">
      <w:pPr>
        <w:pStyle w:val="ListParagraph"/>
        <w:numPr>
          <w:ilvl w:val="0"/>
          <w:numId w:val="8"/>
        </w:numPr>
        <w:rPr>
          <w:rFonts w:ascii="Arial Black" w:hAnsi="Arial Black" w:cs="Arial"/>
          <w:sz w:val="24"/>
          <w:szCs w:val="24"/>
        </w:rPr>
      </w:pPr>
      <w:r w:rsidRPr="00A40D89">
        <w:rPr>
          <w:rFonts w:ascii="Arial Black" w:hAnsi="Arial Black" w:cs="Arial"/>
          <w:sz w:val="24"/>
          <w:szCs w:val="24"/>
        </w:rPr>
        <w:t>Change Fortune</w:t>
      </w:r>
    </w:p>
    <w:p w14:paraId="1F1BCFDC" w14:textId="1E8DA80F" w:rsidR="003A2F4E" w:rsidRDefault="007A1F47">
      <w:pPr>
        <w:rPr>
          <w:rFonts w:ascii="Arial" w:hAnsi="Arial" w:cs="Arial"/>
          <w:sz w:val="24"/>
          <w:szCs w:val="24"/>
        </w:rPr>
      </w:pPr>
      <w:r w:rsidRPr="007A1F47">
        <w:rPr>
          <w:rFonts w:ascii="Arial" w:hAnsi="Arial" w:cs="Arial"/>
          <w:sz w:val="24"/>
          <w:szCs w:val="24"/>
        </w:rPr>
        <w:t xml:space="preserve">Swansea's transition from an industrial powerhouse to a service-oriented economy exemplifies the transformational transitions that have marked many </w:t>
      </w:r>
      <w:r>
        <w:rPr>
          <w:rFonts w:ascii="Arial" w:hAnsi="Arial" w:cs="Arial"/>
          <w:sz w:val="24"/>
          <w:szCs w:val="24"/>
        </w:rPr>
        <w:t>European urban landscapes</w:t>
      </w:r>
      <w:r w:rsidRPr="007A1F47">
        <w:rPr>
          <w:rFonts w:ascii="Arial" w:hAnsi="Arial" w:cs="Arial"/>
          <w:sz w:val="24"/>
          <w:szCs w:val="24"/>
        </w:rPr>
        <w:t xml:space="preserve">. The city, which was formerly booming due to its copper and coal industries, has undergone a significant shift in its economic foundation as these main sectors have declined. The closure of heavy industries resulted in </w:t>
      </w:r>
      <w:r>
        <w:rPr>
          <w:rFonts w:ascii="Arial" w:hAnsi="Arial" w:cs="Arial"/>
          <w:sz w:val="24"/>
          <w:szCs w:val="24"/>
        </w:rPr>
        <w:t>massive employment losses and</w:t>
      </w:r>
      <w:r w:rsidRPr="007A1F47">
        <w:rPr>
          <w:rFonts w:ascii="Arial" w:hAnsi="Arial" w:cs="Arial"/>
          <w:sz w:val="24"/>
          <w:szCs w:val="24"/>
        </w:rPr>
        <w:t xml:space="preserve"> a period of economic and social adjustment as the city dealt with the challenges of deindustrialization (Strangleman, 2014). This transformation is not unique to </w:t>
      </w:r>
      <w:r w:rsidRPr="007A1F47">
        <w:rPr>
          <w:rFonts w:ascii="Arial" w:hAnsi="Arial" w:cs="Arial"/>
          <w:sz w:val="24"/>
          <w:szCs w:val="24"/>
        </w:rPr>
        <w:t>Swansea but</w:t>
      </w:r>
      <w:r w:rsidRPr="007A1F47">
        <w:rPr>
          <w:rFonts w:ascii="Arial" w:hAnsi="Arial" w:cs="Arial"/>
          <w:sz w:val="24"/>
          <w:szCs w:val="24"/>
        </w:rPr>
        <w:t xml:space="preserve"> reflects the experiences of many European cities that have seen manufacturing collapse </w:t>
      </w:r>
      <w:r>
        <w:rPr>
          <w:rFonts w:ascii="Arial" w:hAnsi="Arial" w:cs="Arial"/>
          <w:sz w:val="24"/>
          <w:szCs w:val="24"/>
        </w:rPr>
        <w:t>due to</w:t>
      </w:r>
      <w:r w:rsidRPr="007A1F47">
        <w:rPr>
          <w:rFonts w:ascii="Arial" w:hAnsi="Arial" w:cs="Arial"/>
          <w:sz w:val="24"/>
          <w:szCs w:val="24"/>
        </w:rPr>
        <w:t xml:space="preserve"> globalization and technological progress (Epstein and Clark, 1996).</w:t>
      </w:r>
    </w:p>
    <w:p w14:paraId="6DCC8B1F" w14:textId="3E563136" w:rsidR="007A1F47" w:rsidRDefault="007A1F47">
      <w:pPr>
        <w:rPr>
          <w:rFonts w:ascii="Arial" w:hAnsi="Arial" w:cs="Arial"/>
          <w:sz w:val="24"/>
          <w:szCs w:val="24"/>
        </w:rPr>
      </w:pPr>
      <w:r w:rsidRPr="007A1F47">
        <w:rPr>
          <w:rFonts w:ascii="Arial" w:hAnsi="Arial" w:cs="Arial"/>
          <w:sz w:val="24"/>
          <w:szCs w:val="24"/>
        </w:rPr>
        <w:t>The response to these changing fortunes has been complex. Swansea, like its competitors, has worked to diversify its economic basis, focusing more on the service sector, which includes retail, hotel, and knowledge-based enterprises. The Swansea Waterfront development, which includes the National Waterfront Museum and the SA1 Swansea Waterfront development, represents efforts to reposition the city in a post-industrial context by leveraging cultural and educational assets to drive economic growth and urban regeneration (Beer, 2020). These efforts are part of a larger strategic plan to make the city more appealing to both residents and visitors, establishing a lively urban environment that supports a wide range of economic activity.</w:t>
      </w:r>
    </w:p>
    <w:p w14:paraId="0C5A6FC4" w14:textId="18BFB457" w:rsidR="007A1F47" w:rsidRDefault="007A1F47">
      <w:pPr>
        <w:rPr>
          <w:rFonts w:ascii="Arial" w:hAnsi="Arial" w:cs="Arial"/>
          <w:sz w:val="24"/>
          <w:szCs w:val="24"/>
        </w:rPr>
      </w:pPr>
      <w:r w:rsidRPr="007A1F47">
        <w:rPr>
          <w:rFonts w:ascii="Arial" w:hAnsi="Arial" w:cs="Arial"/>
          <w:sz w:val="24"/>
          <w:szCs w:val="24"/>
        </w:rPr>
        <w:t>Furthermore, Swansea University's growth and contribution to the local economy through research, innovation, and the creation of a trained workforce have been critical. The Bay Campus demonstrates the city's goal to become a hub for innovation and technology, drawing investment and expertise in fields such as life sciences, information technology, and renewable energy (Patrick, 2014). This emphasis on education and innovation is a crucial component of Swansea's post-industrial transition strategy, and it aligns with the Welsh Government's broader economic development goals, which prioritize knowledge-based sectors and long-term prosperity (Mah and Hills, 2012).</w:t>
      </w:r>
    </w:p>
    <w:p w14:paraId="663135D0" w14:textId="6AFCA2C0" w:rsidR="007A1F47" w:rsidRDefault="007A1F47">
      <w:pPr>
        <w:rPr>
          <w:rFonts w:ascii="Arial" w:hAnsi="Arial" w:cs="Arial"/>
          <w:sz w:val="24"/>
          <w:szCs w:val="24"/>
        </w:rPr>
      </w:pPr>
      <w:r w:rsidRPr="007A1F47">
        <w:rPr>
          <w:rFonts w:ascii="Arial" w:hAnsi="Arial" w:cs="Arial"/>
          <w:sz w:val="24"/>
          <w:szCs w:val="24"/>
        </w:rPr>
        <w:t xml:space="preserve">Swansea's economic transformation from heavy industry to a service-oriented and knowledge-based economy captures the problems and opportunities that come with urban revitalization. The city's ability to adapt, innovate, and diversify its economic base demonstrates the dynamism of urban economies, as well as the need </w:t>
      </w:r>
      <w:r w:rsidR="000209FF">
        <w:rPr>
          <w:rFonts w:ascii="Arial" w:hAnsi="Arial" w:cs="Arial"/>
          <w:sz w:val="24"/>
          <w:szCs w:val="24"/>
        </w:rPr>
        <w:t>for</w:t>
      </w:r>
      <w:r w:rsidRPr="007A1F47">
        <w:rPr>
          <w:rFonts w:ascii="Arial" w:hAnsi="Arial" w:cs="Arial"/>
          <w:sz w:val="24"/>
          <w:szCs w:val="24"/>
        </w:rPr>
        <w:t xml:space="preserve"> strategic planning and investment in shaping their future trajectories.</w:t>
      </w:r>
    </w:p>
    <w:p w14:paraId="4E9853D5" w14:textId="5BFC20E2" w:rsidR="007A1F47" w:rsidRPr="002152FE" w:rsidRDefault="007A1F47" w:rsidP="002152FE">
      <w:pPr>
        <w:pStyle w:val="ListParagraph"/>
        <w:numPr>
          <w:ilvl w:val="0"/>
          <w:numId w:val="1"/>
        </w:numPr>
        <w:rPr>
          <w:rFonts w:ascii="Arial Black" w:hAnsi="Arial Black" w:cs="Arial"/>
          <w:sz w:val="24"/>
          <w:szCs w:val="24"/>
        </w:rPr>
      </w:pPr>
      <w:r w:rsidRPr="002152FE">
        <w:rPr>
          <w:rFonts w:ascii="Arial Black" w:hAnsi="Arial Black" w:cs="Arial"/>
          <w:sz w:val="24"/>
          <w:szCs w:val="24"/>
        </w:rPr>
        <w:t>Existing Assets, Structures, and Economic Character</w:t>
      </w:r>
    </w:p>
    <w:p w14:paraId="62E52310" w14:textId="09839F96" w:rsidR="000209FF" w:rsidRDefault="000209FF">
      <w:pPr>
        <w:rPr>
          <w:rFonts w:ascii="Arial" w:hAnsi="Arial" w:cs="Arial"/>
          <w:sz w:val="24"/>
          <w:szCs w:val="24"/>
        </w:rPr>
      </w:pPr>
      <w:r w:rsidRPr="000209FF">
        <w:rPr>
          <w:rFonts w:ascii="Arial" w:hAnsi="Arial" w:cs="Arial"/>
          <w:sz w:val="24"/>
          <w:szCs w:val="24"/>
        </w:rPr>
        <w:t xml:space="preserve">Swansea's strategic location on the Welsh coast provides a fascinating mix of cultural, historical, and natural elements that serve as the foundation for its economic and social identity. The city's transformation from an industrial </w:t>
      </w:r>
      <w:r>
        <w:rPr>
          <w:rFonts w:ascii="Arial" w:hAnsi="Arial" w:cs="Arial"/>
          <w:sz w:val="24"/>
          <w:szCs w:val="24"/>
        </w:rPr>
        <w:t>centre</w:t>
      </w:r>
      <w:r w:rsidRPr="000209FF">
        <w:rPr>
          <w:rFonts w:ascii="Arial" w:hAnsi="Arial" w:cs="Arial"/>
          <w:sz w:val="24"/>
          <w:szCs w:val="24"/>
        </w:rPr>
        <w:t xml:space="preserve"> to a diverse economy demonstrates a successful transition to growth-oriented sectors in the twenty-first century.</w:t>
      </w:r>
    </w:p>
    <w:p w14:paraId="785349E1" w14:textId="5E9ADABB" w:rsidR="000209FF" w:rsidRPr="002152FE" w:rsidRDefault="000209FF" w:rsidP="002152FE">
      <w:pPr>
        <w:pStyle w:val="ListParagraph"/>
        <w:numPr>
          <w:ilvl w:val="0"/>
          <w:numId w:val="2"/>
        </w:numPr>
        <w:rPr>
          <w:rFonts w:ascii="Arial" w:hAnsi="Arial" w:cs="Arial"/>
          <w:sz w:val="24"/>
          <w:szCs w:val="24"/>
        </w:rPr>
      </w:pPr>
      <w:r w:rsidRPr="002152FE">
        <w:rPr>
          <w:rFonts w:ascii="Arial" w:hAnsi="Arial" w:cs="Arial"/>
          <w:b/>
          <w:bCs/>
          <w:sz w:val="24"/>
          <w:szCs w:val="24"/>
        </w:rPr>
        <w:lastRenderedPageBreak/>
        <w:t>Cultural and Historical Heritage.</w:t>
      </w:r>
      <w:r w:rsidRPr="002152FE">
        <w:rPr>
          <w:rFonts w:ascii="Arial" w:hAnsi="Arial" w:cs="Arial"/>
          <w:sz w:val="24"/>
          <w:szCs w:val="24"/>
        </w:rPr>
        <w:br/>
        <w:t xml:space="preserve">Swansea's cultural and historical legacy is a valuable asset that enhances the city's character and appeal. The Dylan Thomas Centre, dedicated to </w:t>
      </w:r>
      <w:r w:rsidR="002152FE" w:rsidRPr="002152FE">
        <w:rPr>
          <w:rFonts w:ascii="Arial" w:hAnsi="Arial" w:cs="Arial"/>
          <w:sz w:val="24"/>
          <w:szCs w:val="24"/>
        </w:rPr>
        <w:t>Wales’s</w:t>
      </w:r>
      <w:r w:rsidRPr="002152FE">
        <w:rPr>
          <w:rFonts w:ascii="Arial" w:hAnsi="Arial" w:cs="Arial"/>
          <w:sz w:val="24"/>
          <w:szCs w:val="24"/>
        </w:rPr>
        <w:t xml:space="preserve"> most famous literary figure, is not just a cultural landmark but also a hub for literary tourism, drawing people from all over the world (Cheer and Sahasrabuddhe, 2017). Similarly, the Swansea Marina and the adjoining National Waterfront Museum illustrate the city's maritime and industrial history, providing insights into the elements that created Swansea's growth. These cultural institutions are an important part of the city's tourism offering, contributing to a vibrant urban environment that appeals to both locals and visitors.</w:t>
      </w:r>
    </w:p>
    <w:p w14:paraId="399F93D1" w14:textId="1DAA4E35" w:rsidR="000209FF" w:rsidRPr="002152FE" w:rsidRDefault="000209FF" w:rsidP="002152FE">
      <w:pPr>
        <w:pStyle w:val="ListParagraph"/>
        <w:numPr>
          <w:ilvl w:val="0"/>
          <w:numId w:val="2"/>
        </w:numPr>
        <w:rPr>
          <w:rFonts w:ascii="Arial" w:hAnsi="Arial" w:cs="Arial"/>
          <w:sz w:val="24"/>
          <w:szCs w:val="24"/>
        </w:rPr>
      </w:pPr>
      <w:r w:rsidRPr="002152FE">
        <w:rPr>
          <w:rFonts w:ascii="Arial" w:hAnsi="Arial" w:cs="Arial"/>
          <w:b/>
          <w:bCs/>
          <w:sz w:val="24"/>
          <w:szCs w:val="24"/>
        </w:rPr>
        <w:t>Natural beauty.</w:t>
      </w:r>
      <w:r w:rsidRPr="002152FE">
        <w:rPr>
          <w:rFonts w:ascii="Arial" w:hAnsi="Arial" w:cs="Arial"/>
          <w:sz w:val="24"/>
          <w:szCs w:val="24"/>
        </w:rPr>
        <w:br/>
        <w:t>The Gower Peninsula, the UK's first designated Area of Outstanding Natural Beauty (AONB), is one of Swansea's most valuable natural assets. Its breathtaking landscapes, beaches, and wildlife not only provide recreational options for the locals but also draw eco-tourists and environment lovers. This emphasis on natural beauty and conservation is consistent with emerging trends in eco-tourism and sustainable travel, which have the potential to generate significant economic growth while protecting the environment (Miller, Merrilees, and Coghlan, 2014).</w:t>
      </w:r>
    </w:p>
    <w:p w14:paraId="25D90AC4" w14:textId="2BB85085" w:rsidR="000209FF" w:rsidRPr="002152FE" w:rsidRDefault="000209FF" w:rsidP="002152FE">
      <w:pPr>
        <w:pStyle w:val="ListParagraph"/>
        <w:numPr>
          <w:ilvl w:val="0"/>
          <w:numId w:val="2"/>
        </w:numPr>
        <w:rPr>
          <w:rFonts w:ascii="Arial" w:hAnsi="Arial" w:cs="Arial"/>
          <w:sz w:val="24"/>
          <w:szCs w:val="24"/>
        </w:rPr>
      </w:pPr>
      <w:r w:rsidRPr="002152FE">
        <w:rPr>
          <w:rFonts w:ascii="Arial" w:hAnsi="Arial" w:cs="Arial"/>
          <w:b/>
          <w:bCs/>
          <w:sz w:val="24"/>
          <w:szCs w:val="24"/>
        </w:rPr>
        <w:t>Economic Character and Innovation</w:t>
      </w:r>
      <w:r w:rsidRPr="002152FE">
        <w:rPr>
          <w:rFonts w:ascii="Arial" w:hAnsi="Arial" w:cs="Arial"/>
          <w:sz w:val="24"/>
          <w:szCs w:val="24"/>
        </w:rPr>
        <w:t>.</w:t>
      </w:r>
      <w:r w:rsidRPr="002152FE">
        <w:rPr>
          <w:rFonts w:ascii="Arial" w:hAnsi="Arial" w:cs="Arial"/>
          <w:sz w:val="24"/>
          <w:szCs w:val="24"/>
        </w:rPr>
        <w:br/>
        <w:t>Swansea's economic nature is changing dramatically as it shifts toward service-oriented industries, tourism, and knowledge-based sectors. Swansea University's presence, notably at its Bay Campus, demonstrates the city's potential as an innovation and research hub. The university's emphasis on engineering, computer science, and business studies, among other disciplines, creates an environment that encourages high-tech companies, research collaborations, and the development of a highly qualified workforce (Patrick, 2014). This synergy of academia and industry is critical to Swansea's future prosperity, establishing the city as a leader in renewable energy, digital services, and life sciences.</w:t>
      </w:r>
    </w:p>
    <w:p w14:paraId="213754B7" w14:textId="6A95F6C3" w:rsidR="000209FF" w:rsidRPr="002152FE" w:rsidRDefault="000209FF" w:rsidP="002152FE">
      <w:pPr>
        <w:pStyle w:val="ListParagraph"/>
        <w:numPr>
          <w:ilvl w:val="0"/>
          <w:numId w:val="2"/>
        </w:numPr>
        <w:rPr>
          <w:rFonts w:ascii="Arial" w:hAnsi="Arial" w:cs="Arial"/>
          <w:sz w:val="24"/>
          <w:szCs w:val="24"/>
        </w:rPr>
      </w:pPr>
      <w:r w:rsidRPr="002152FE">
        <w:rPr>
          <w:rFonts w:ascii="Arial" w:hAnsi="Arial" w:cs="Arial"/>
          <w:b/>
          <w:bCs/>
          <w:sz w:val="24"/>
          <w:szCs w:val="24"/>
        </w:rPr>
        <w:t>Strategic Development and Collaboration</w:t>
      </w:r>
      <w:r w:rsidRPr="002152FE">
        <w:rPr>
          <w:rFonts w:ascii="Arial" w:hAnsi="Arial" w:cs="Arial"/>
          <w:sz w:val="24"/>
          <w:szCs w:val="24"/>
        </w:rPr>
        <w:t>.</w:t>
      </w:r>
      <w:r w:rsidRPr="002152FE">
        <w:rPr>
          <w:rFonts w:ascii="Arial" w:hAnsi="Arial" w:cs="Arial"/>
          <w:sz w:val="24"/>
          <w:szCs w:val="24"/>
        </w:rPr>
        <w:br/>
        <w:t>Swansea's strategic development relies heavily on collaboration among the governmental, academic, and corporate sectors. Initiatives such as the Swansea Bay City Region agreement seek to stimulate investment in digital infrastructure, smart manufacturing, and life sciences by using the city's existing assets to drive economic growth and regeneration (Jones and Evans, 2011). Such joint efforts highlight the importance of integrated planning and investment in developing Swansea's economic landscape, allowing the city to respond to future challenges and opportunities.</w:t>
      </w:r>
    </w:p>
    <w:p w14:paraId="03CD9FE3" w14:textId="6D26B2DC" w:rsidR="000209FF" w:rsidRPr="002152FE" w:rsidRDefault="000209FF" w:rsidP="002152FE">
      <w:pPr>
        <w:pStyle w:val="ListParagraph"/>
        <w:numPr>
          <w:ilvl w:val="0"/>
          <w:numId w:val="1"/>
        </w:numPr>
        <w:rPr>
          <w:rFonts w:ascii="Arial Black" w:hAnsi="Arial Black" w:cs="Arial"/>
          <w:sz w:val="24"/>
          <w:szCs w:val="24"/>
        </w:rPr>
      </w:pPr>
      <w:r w:rsidRPr="002152FE">
        <w:rPr>
          <w:rFonts w:ascii="Arial Black" w:hAnsi="Arial Black" w:cs="Arial"/>
          <w:sz w:val="24"/>
          <w:szCs w:val="24"/>
        </w:rPr>
        <w:t>Key Stakeholders and Interest Groups</w:t>
      </w:r>
    </w:p>
    <w:p w14:paraId="5B8C2A72" w14:textId="00685929" w:rsidR="000209FF" w:rsidRDefault="000209FF">
      <w:pPr>
        <w:rPr>
          <w:rFonts w:ascii="Arial" w:hAnsi="Arial" w:cs="Arial"/>
          <w:sz w:val="24"/>
          <w:szCs w:val="24"/>
        </w:rPr>
      </w:pPr>
      <w:r w:rsidRPr="000209FF">
        <w:rPr>
          <w:rFonts w:ascii="Arial" w:hAnsi="Arial" w:cs="Arial"/>
          <w:sz w:val="24"/>
          <w:szCs w:val="24"/>
        </w:rPr>
        <w:t xml:space="preserve">In the context of Swansea's urban redevelopment, the interaction of many major stakeholders and interest groups is critical in leading the city toward sustainable expansion and rejuvenation. These organizations' combined efforts ensure that </w:t>
      </w:r>
      <w:r w:rsidRPr="000209FF">
        <w:rPr>
          <w:rFonts w:ascii="Arial" w:hAnsi="Arial" w:cs="Arial"/>
          <w:sz w:val="24"/>
          <w:szCs w:val="24"/>
        </w:rPr>
        <w:lastRenderedPageBreak/>
        <w:t>development initiatives are not only economically viable but also socially and environmentally sustainable.</w:t>
      </w:r>
    </w:p>
    <w:p w14:paraId="632C6ACF" w14:textId="6F3CF369" w:rsidR="000209FF" w:rsidRPr="002152FE" w:rsidRDefault="000209FF" w:rsidP="002152FE">
      <w:pPr>
        <w:pStyle w:val="ListParagraph"/>
        <w:numPr>
          <w:ilvl w:val="0"/>
          <w:numId w:val="3"/>
        </w:numPr>
        <w:rPr>
          <w:rFonts w:ascii="Arial" w:hAnsi="Arial" w:cs="Arial"/>
          <w:sz w:val="24"/>
          <w:szCs w:val="24"/>
        </w:rPr>
      </w:pPr>
      <w:r w:rsidRPr="002152FE">
        <w:rPr>
          <w:rFonts w:ascii="Arial" w:hAnsi="Arial" w:cs="Arial"/>
          <w:b/>
          <w:bCs/>
          <w:sz w:val="24"/>
          <w:szCs w:val="24"/>
        </w:rPr>
        <w:t>Local Government Bodies</w:t>
      </w:r>
      <w:r w:rsidRPr="002152FE">
        <w:rPr>
          <w:rFonts w:ascii="Arial" w:hAnsi="Arial" w:cs="Arial"/>
          <w:sz w:val="24"/>
          <w:szCs w:val="24"/>
        </w:rPr>
        <w:br/>
        <w:t>Local governments, like Swansea City Council, play a critical role in urban regeneration efforts. They are in charge of creating the city's vision for the future, implementing laws that promote sustainable growth, and supporting investments in key infrastructure and services. Local governments can shape the urban landscape by exercising their planning and regulatory powers, controlling where and how development takes place. Their position in public-private partnerships is particularly critical for leveraging investments in large-scale regeneration projects, which serve as accelerators for urban redevelopment (Jones and Evans, 2011).</w:t>
      </w:r>
    </w:p>
    <w:p w14:paraId="7DB52401" w14:textId="484BC0BB" w:rsidR="000209FF" w:rsidRPr="002152FE" w:rsidRDefault="000209FF" w:rsidP="002152FE">
      <w:pPr>
        <w:pStyle w:val="ListParagraph"/>
        <w:numPr>
          <w:ilvl w:val="0"/>
          <w:numId w:val="3"/>
        </w:numPr>
        <w:rPr>
          <w:rFonts w:ascii="Arial" w:hAnsi="Arial" w:cs="Arial"/>
          <w:sz w:val="24"/>
          <w:szCs w:val="24"/>
        </w:rPr>
      </w:pPr>
      <w:r w:rsidRPr="002152FE">
        <w:rPr>
          <w:rFonts w:ascii="Arial" w:hAnsi="Arial" w:cs="Arial"/>
          <w:b/>
          <w:bCs/>
          <w:sz w:val="24"/>
          <w:szCs w:val="24"/>
        </w:rPr>
        <w:t>Private sector businesses</w:t>
      </w:r>
      <w:r w:rsidRPr="002152FE">
        <w:rPr>
          <w:rFonts w:ascii="Arial" w:hAnsi="Arial" w:cs="Arial"/>
          <w:sz w:val="24"/>
          <w:szCs w:val="24"/>
        </w:rPr>
        <w:t>.</w:t>
      </w:r>
      <w:r w:rsidRPr="002152FE">
        <w:rPr>
          <w:rFonts w:ascii="Arial" w:hAnsi="Arial" w:cs="Arial"/>
          <w:sz w:val="24"/>
          <w:szCs w:val="24"/>
        </w:rPr>
        <w:br/>
        <w:t>Swansea's business sector plays an important role in driving economic activity and innovation. Businesses, ranging from tiny local enterprises to huge corporations, help to provide jobs, diversify the economy, and keep the city's commercial landscape vibrant. Their investments in the city are critical to the creation of new commercial spaces, residential areas, and amenities that improve inhabitants' quality of life while also attracting visitors. Swansea's ability to respond to market needs supports its competitiveness and adaptability to shifting economic situations (Patrick, 2014).</w:t>
      </w:r>
    </w:p>
    <w:p w14:paraId="700BB982" w14:textId="2D14A526" w:rsidR="000209FF" w:rsidRPr="002152FE" w:rsidRDefault="000209FF" w:rsidP="002152FE">
      <w:pPr>
        <w:pStyle w:val="ListParagraph"/>
        <w:numPr>
          <w:ilvl w:val="0"/>
          <w:numId w:val="3"/>
        </w:numPr>
        <w:rPr>
          <w:rFonts w:ascii="Arial" w:hAnsi="Arial" w:cs="Arial"/>
          <w:sz w:val="24"/>
          <w:szCs w:val="24"/>
        </w:rPr>
      </w:pPr>
      <w:r w:rsidRPr="002152FE">
        <w:rPr>
          <w:rFonts w:ascii="Arial" w:hAnsi="Arial" w:cs="Arial"/>
          <w:b/>
          <w:bCs/>
          <w:sz w:val="24"/>
          <w:szCs w:val="24"/>
        </w:rPr>
        <w:t>Educational institutions</w:t>
      </w:r>
      <w:r w:rsidRPr="002152FE">
        <w:rPr>
          <w:rFonts w:ascii="Arial" w:hAnsi="Arial" w:cs="Arial"/>
          <w:sz w:val="24"/>
          <w:szCs w:val="24"/>
        </w:rPr>
        <w:br/>
        <w:t xml:space="preserve">Educational institutions, particularly Swansea University and its Innovation Campus, are critical to the city's rehabilitation efforts. These institutions not only educate and teach the local workforce but also conduct research and development activities that promote technical innovation and economic progress. Collaboration between universities and industry can promote the formation of knowledge-based clusters, creating an environment suitable </w:t>
      </w:r>
      <w:r w:rsidR="00AB528A" w:rsidRPr="002152FE">
        <w:rPr>
          <w:rFonts w:ascii="Arial" w:hAnsi="Arial" w:cs="Arial"/>
          <w:sz w:val="24"/>
          <w:szCs w:val="24"/>
        </w:rPr>
        <w:t>for</w:t>
      </w:r>
      <w:r w:rsidRPr="002152FE">
        <w:rPr>
          <w:rFonts w:ascii="Arial" w:hAnsi="Arial" w:cs="Arial"/>
          <w:sz w:val="24"/>
          <w:szCs w:val="24"/>
        </w:rPr>
        <w:t xml:space="preserve"> the growth of high-tech enterprises and startups. This symbiotic relationship strengthens Swansea's status as a </w:t>
      </w:r>
      <w:r w:rsidR="00AB528A" w:rsidRPr="002152FE">
        <w:rPr>
          <w:rFonts w:ascii="Arial" w:hAnsi="Arial" w:cs="Arial"/>
          <w:sz w:val="24"/>
          <w:szCs w:val="24"/>
        </w:rPr>
        <w:t>centre</w:t>
      </w:r>
      <w:r w:rsidRPr="002152FE">
        <w:rPr>
          <w:rFonts w:ascii="Arial" w:hAnsi="Arial" w:cs="Arial"/>
          <w:sz w:val="24"/>
          <w:szCs w:val="24"/>
        </w:rPr>
        <w:t xml:space="preserve"> for innovation and research, drawing people and investment (Miller, Merrilees, &amp; Coghlan 2014).</w:t>
      </w:r>
    </w:p>
    <w:p w14:paraId="6AD34DEE" w14:textId="282117AE" w:rsidR="00AB528A" w:rsidRPr="002152FE" w:rsidRDefault="00AB528A" w:rsidP="002152FE">
      <w:pPr>
        <w:pStyle w:val="ListParagraph"/>
        <w:numPr>
          <w:ilvl w:val="0"/>
          <w:numId w:val="3"/>
        </w:numPr>
        <w:rPr>
          <w:rFonts w:ascii="Arial" w:hAnsi="Arial" w:cs="Arial"/>
          <w:sz w:val="24"/>
          <w:szCs w:val="24"/>
        </w:rPr>
      </w:pPr>
      <w:r w:rsidRPr="002152FE">
        <w:rPr>
          <w:rFonts w:ascii="Arial" w:hAnsi="Arial" w:cs="Arial"/>
          <w:b/>
          <w:bCs/>
          <w:sz w:val="24"/>
          <w:szCs w:val="24"/>
        </w:rPr>
        <w:t>Community Organizations</w:t>
      </w:r>
      <w:r w:rsidRPr="002152FE">
        <w:rPr>
          <w:rFonts w:ascii="Arial" w:hAnsi="Arial" w:cs="Arial"/>
          <w:sz w:val="24"/>
          <w:szCs w:val="24"/>
        </w:rPr>
        <w:br/>
        <w:t xml:space="preserve">Community organizations, such as non-profits, </w:t>
      </w:r>
      <w:r w:rsidRPr="002152FE">
        <w:rPr>
          <w:rFonts w:ascii="Arial" w:hAnsi="Arial" w:cs="Arial"/>
          <w:sz w:val="24"/>
          <w:szCs w:val="24"/>
        </w:rPr>
        <w:t>neighbourhood</w:t>
      </w:r>
      <w:r w:rsidRPr="002152FE">
        <w:rPr>
          <w:rFonts w:ascii="Arial" w:hAnsi="Arial" w:cs="Arial"/>
          <w:sz w:val="24"/>
          <w:szCs w:val="24"/>
        </w:rPr>
        <w:t xml:space="preserve"> associations, and cultural clubs, represent Swansea inhabitants' interests and goals. They play an important role in ensuring that regeneration programs are founded on the needs and wishes of the local community. Through involvement and advocacy, these organizations promote a participatory approach to urban development, ensuring that projects are inclusive and reflect the community's broad interests. Their involvement is critical for increasing social capital, instilling a feeling of ownership in people, and assuring the long-term viability of regeneration projects (Jones and Evans, 2011).</w:t>
      </w:r>
    </w:p>
    <w:p w14:paraId="1345C4BA" w14:textId="0C299A08" w:rsidR="00AB528A" w:rsidRDefault="00AB528A">
      <w:pPr>
        <w:rPr>
          <w:rFonts w:ascii="Arial" w:hAnsi="Arial" w:cs="Arial"/>
          <w:sz w:val="24"/>
          <w:szCs w:val="24"/>
        </w:rPr>
      </w:pPr>
      <w:r w:rsidRPr="00AB528A">
        <w:rPr>
          <w:rFonts w:ascii="Arial" w:hAnsi="Arial" w:cs="Arial"/>
          <w:sz w:val="24"/>
          <w:szCs w:val="24"/>
        </w:rPr>
        <w:t>Collectively, these stakeholders represent the diverse approach required for effective urban regeneration. Their collaboration and mutual support are critical to changing Swansea into a vibrant, sustainable, and inclusive city that aligns with the larger goals of economic regeneration, social cohesion, and environmental sustainability.</w:t>
      </w:r>
    </w:p>
    <w:p w14:paraId="607C24BD" w14:textId="68664304" w:rsidR="000209FF" w:rsidRPr="002152FE" w:rsidRDefault="00AB528A" w:rsidP="002152FE">
      <w:pPr>
        <w:pStyle w:val="ListParagraph"/>
        <w:numPr>
          <w:ilvl w:val="0"/>
          <w:numId w:val="1"/>
        </w:numPr>
        <w:rPr>
          <w:rFonts w:ascii="Arial Black" w:hAnsi="Arial Black" w:cs="Arial"/>
          <w:sz w:val="24"/>
          <w:szCs w:val="24"/>
        </w:rPr>
      </w:pPr>
      <w:r w:rsidRPr="002152FE">
        <w:rPr>
          <w:rFonts w:ascii="Arial Black" w:hAnsi="Arial Black" w:cs="Arial"/>
          <w:sz w:val="24"/>
          <w:szCs w:val="24"/>
        </w:rPr>
        <w:lastRenderedPageBreak/>
        <w:t>Local/Regional Development Strategies</w:t>
      </w:r>
    </w:p>
    <w:p w14:paraId="16A4B40C" w14:textId="5782AED0" w:rsidR="00AB528A" w:rsidRDefault="00AB528A">
      <w:pPr>
        <w:rPr>
          <w:rFonts w:ascii="Arial" w:hAnsi="Arial" w:cs="Arial"/>
          <w:sz w:val="24"/>
          <w:szCs w:val="24"/>
        </w:rPr>
      </w:pPr>
      <w:r w:rsidRPr="00AB528A">
        <w:rPr>
          <w:rFonts w:ascii="Arial" w:hAnsi="Arial" w:cs="Arial"/>
          <w:sz w:val="24"/>
          <w:szCs w:val="24"/>
        </w:rPr>
        <w:t>Local and regional development policies in Swansea have adopted a comprehensive approach to meeting the city's changing demands, focusing not only on the physical regeneration of urban places but also on improving economic prospects and quality of life for inhabitants. These efforts, which recognize the city's unique position in the Welsh environment and its potential as a tourist destination, have concentrated on a few key areas.</w:t>
      </w:r>
    </w:p>
    <w:p w14:paraId="10383F87" w14:textId="72A2EA80" w:rsidR="00AB528A" w:rsidRPr="002152FE" w:rsidRDefault="00AB528A" w:rsidP="002152FE">
      <w:pPr>
        <w:pStyle w:val="ListParagraph"/>
        <w:numPr>
          <w:ilvl w:val="0"/>
          <w:numId w:val="4"/>
        </w:numPr>
        <w:rPr>
          <w:rFonts w:ascii="Arial" w:hAnsi="Arial" w:cs="Arial"/>
          <w:sz w:val="24"/>
          <w:szCs w:val="24"/>
        </w:rPr>
      </w:pPr>
      <w:r w:rsidRPr="002152FE">
        <w:rPr>
          <w:rFonts w:ascii="Arial" w:hAnsi="Arial" w:cs="Arial"/>
          <w:b/>
          <w:bCs/>
          <w:sz w:val="24"/>
          <w:szCs w:val="24"/>
        </w:rPr>
        <w:t>Revitalising the City Centre</w:t>
      </w:r>
      <w:r w:rsidRPr="002152FE">
        <w:rPr>
          <w:rFonts w:ascii="Arial" w:hAnsi="Arial" w:cs="Arial"/>
          <w:sz w:val="24"/>
          <w:szCs w:val="24"/>
        </w:rPr>
        <w:br/>
        <w:t xml:space="preserve">The primary goal has been to revitalize Swansea's city </w:t>
      </w:r>
      <w:r w:rsidRPr="002152FE">
        <w:rPr>
          <w:rFonts w:ascii="Arial" w:hAnsi="Arial" w:cs="Arial"/>
          <w:sz w:val="24"/>
          <w:szCs w:val="24"/>
        </w:rPr>
        <w:t>centre</w:t>
      </w:r>
      <w:r w:rsidRPr="002152FE">
        <w:rPr>
          <w:rFonts w:ascii="Arial" w:hAnsi="Arial" w:cs="Arial"/>
          <w:sz w:val="24"/>
          <w:szCs w:val="24"/>
        </w:rPr>
        <w:t xml:space="preserve">, making it a vibrant and appealing destination for both people and visitors. This entails redesigning public places to make them more welcoming and useful, including enhancements to landscaping, pedestrian walkways, and public art installations. Retail and leisure facilities are being renovated and expanded to increase consumer spending and economic activity in the city core. Efforts to improve the city </w:t>
      </w:r>
      <w:r w:rsidRPr="002152FE">
        <w:rPr>
          <w:rFonts w:ascii="Arial" w:hAnsi="Arial" w:cs="Arial"/>
          <w:sz w:val="24"/>
          <w:szCs w:val="24"/>
        </w:rPr>
        <w:t>centre's</w:t>
      </w:r>
      <w:r w:rsidRPr="002152FE">
        <w:rPr>
          <w:rFonts w:ascii="Arial" w:hAnsi="Arial" w:cs="Arial"/>
          <w:sz w:val="24"/>
          <w:szCs w:val="24"/>
        </w:rPr>
        <w:t xml:space="preserve"> aesthetic appeal and accessibility are intended to build a sense of community and belonging, encouraging people to spend more time and money there.</w:t>
      </w:r>
    </w:p>
    <w:p w14:paraId="359E3522" w14:textId="4522E406" w:rsidR="00AB528A" w:rsidRPr="002152FE" w:rsidRDefault="00AB528A" w:rsidP="002152FE">
      <w:pPr>
        <w:pStyle w:val="ListParagraph"/>
        <w:numPr>
          <w:ilvl w:val="0"/>
          <w:numId w:val="4"/>
        </w:numPr>
        <w:rPr>
          <w:rFonts w:ascii="Arial" w:hAnsi="Arial" w:cs="Arial"/>
          <w:sz w:val="24"/>
          <w:szCs w:val="24"/>
        </w:rPr>
      </w:pPr>
      <w:r w:rsidRPr="002152FE">
        <w:rPr>
          <w:rFonts w:ascii="Arial" w:hAnsi="Arial" w:cs="Arial"/>
          <w:b/>
          <w:bCs/>
          <w:sz w:val="24"/>
          <w:szCs w:val="24"/>
        </w:rPr>
        <w:t>Enhancing the Tourism Offer</w:t>
      </w:r>
      <w:r w:rsidRPr="002152FE">
        <w:rPr>
          <w:rFonts w:ascii="Arial" w:hAnsi="Arial" w:cs="Arial"/>
          <w:sz w:val="24"/>
          <w:szCs w:val="24"/>
        </w:rPr>
        <w:br/>
        <w:t xml:space="preserve">Swansea's development policies have also focused on expanding the tourism offering, particularly through the promotion of cultural and eco-tourism. The city's rich historical legacy and natural beauty, notably the Gower Peninsula, provide excellent foundations for these projects. Swansea hopes to attract a larger number of tourists by creating and marketing heritage trails, promoting local arts and cultural festivals, and enhancing visitor amenities </w:t>
      </w:r>
      <w:r w:rsidR="002152FE">
        <w:rPr>
          <w:rFonts w:ascii="Arial" w:hAnsi="Arial" w:cs="Arial"/>
          <w:sz w:val="24"/>
          <w:szCs w:val="24"/>
        </w:rPr>
        <w:t>in</w:t>
      </w:r>
      <w:r w:rsidRPr="002152FE">
        <w:rPr>
          <w:rFonts w:ascii="Arial" w:hAnsi="Arial" w:cs="Arial"/>
          <w:sz w:val="24"/>
          <w:szCs w:val="24"/>
        </w:rPr>
        <w:t xml:space="preserve"> natural areas. These efforts not only benefit the local economy by increasing visitor spending but also serve to boost Swansea's profile as a destination that appreciates sustainability and cultural diversity (Cheer and Sahasrabuddhe, 2017).</w:t>
      </w:r>
    </w:p>
    <w:p w14:paraId="18FC964C" w14:textId="793B04A4" w:rsidR="00AB528A" w:rsidRPr="002152FE" w:rsidRDefault="00AB528A" w:rsidP="002152FE">
      <w:pPr>
        <w:pStyle w:val="ListParagraph"/>
        <w:numPr>
          <w:ilvl w:val="0"/>
          <w:numId w:val="4"/>
        </w:numPr>
        <w:rPr>
          <w:rFonts w:ascii="Arial" w:hAnsi="Arial" w:cs="Arial"/>
          <w:sz w:val="24"/>
          <w:szCs w:val="24"/>
        </w:rPr>
      </w:pPr>
      <w:r w:rsidRPr="002152FE">
        <w:rPr>
          <w:rFonts w:ascii="Arial" w:hAnsi="Arial" w:cs="Arial"/>
          <w:b/>
          <w:bCs/>
          <w:sz w:val="24"/>
          <w:szCs w:val="24"/>
        </w:rPr>
        <w:t>Investment in Infrastructure</w:t>
      </w:r>
      <w:r w:rsidRPr="002152FE">
        <w:rPr>
          <w:rFonts w:ascii="Arial" w:hAnsi="Arial" w:cs="Arial"/>
          <w:sz w:val="24"/>
          <w:szCs w:val="24"/>
        </w:rPr>
        <w:br/>
        <w:t>Investment in infrastructure is vital for Swansea's economic growth and development. This includes upgrading transportation networks to boost connection within the city and between regions, improving digital infrastructure to support businesses and remote work, and investing in green infrastructure initiatives to combat climate change and promote environmental sustainability. Such improvements are intended to set the framework for long-term economic development by improving business operations, increasing resident and visitor mobility, and maintaining Swansea's resilience in the face of environmental problems.</w:t>
      </w:r>
    </w:p>
    <w:p w14:paraId="7C537C23" w14:textId="77777777" w:rsidR="00AB528A" w:rsidRDefault="00AB528A">
      <w:pPr>
        <w:rPr>
          <w:rFonts w:ascii="Arial" w:hAnsi="Arial" w:cs="Arial"/>
          <w:sz w:val="24"/>
          <w:szCs w:val="24"/>
        </w:rPr>
      </w:pPr>
    </w:p>
    <w:p w14:paraId="4A351B4A" w14:textId="77777777" w:rsidR="002152FE" w:rsidRDefault="002152FE">
      <w:pPr>
        <w:rPr>
          <w:rFonts w:ascii="Arial" w:hAnsi="Arial" w:cs="Arial"/>
          <w:sz w:val="24"/>
          <w:szCs w:val="24"/>
        </w:rPr>
      </w:pPr>
    </w:p>
    <w:p w14:paraId="20B11023" w14:textId="77777777" w:rsidR="002152FE" w:rsidRDefault="002152FE">
      <w:pPr>
        <w:rPr>
          <w:rFonts w:ascii="Arial" w:hAnsi="Arial" w:cs="Arial"/>
          <w:sz w:val="24"/>
          <w:szCs w:val="24"/>
        </w:rPr>
      </w:pPr>
    </w:p>
    <w:p w14:paraId="6FF890D9" w14:textId="77777777" w:rsidR="002152FE" w:rsidRDefault="002152FE">
      <w:pPr>
        <w:rPr>
          <w:rFonts w:ascii="Arial" w:hAnsi="Arial" w:cs="Arial"/>
          <w:sz w:val="24"/>
          <w:szCs w:val="24"/>
        </w:rPr>
      </w:pPr>
    </w:p>
    <w:p w14:paraId="672EACF2" w14:textId="13D42AE7" w:rsidR="00AB528A" w:rsidRPr="002152FE" w:rsidRDefault="002152FE">
      <w:pPr>
        <w:rPr>
          <w:rFonts w:ascii="Arial Black" w:hAnsi="Arial Black" w:cs="Arial"/>
          <w:sz w:val="24"/>
          <w:szCs w:val="24"/>
        </w:rPr>
      </w:pPr>
      <w:r w:rsidRPr="002152FE">
        <w:rPr>
          <w:rFonts w:ascii="Arial Black" w:hAnsi="Arial Black" w:cs="Arial"/>
          <w:sz w:val="24"/>
          <w:szCs w:val="24"/>
        </w:rPr>
        <w:lastRenderedPageBreak/>
        <w:t>Part 2</w:t>
      </w:r>
    </w:p>
    <w:p w14:paraId="616112A6" w14:textId="542BD1D9" w:rsidR="00AB528A" w:rsidRPr="002152FE" w:rsidRDefault="00596B83" w:rsidP="002152FE">
      <w:pPr>
        <w:pStyle w:val="ListParagraph"/>
        <w:numPr>
          <w:ilvl w:val="0"/>
          <w:numId w:val="5"/>
        </w:numPr>
        <w:rPr>
          <w:rFonts w:ascii="Arial Black" w:hAnsi="Arial Black" w:cs="Arial"/>
          <w:sz w:val="24"/>
          <w:szCs w:val="24"/>
        </w:rPr>
      </w:pPr>
      <w:r w:rsidRPr="002152FE">
        <w:rPr>
          <w:rFonts w:ascii="Arial Black" w:hAnsi="Arial Black" w:cs="Arial"/>
          <w:sz w:val="24"/>
          <w:szCs w:val="24"/>
        </w:rPr>
        <w:t>Innovation and Knowledge Economy</w:t>
      </w:r>
    </w:p>
    <w:p w14:paraId="73C2AD22" w14:textId="3140723D" w:rsidR="00596B83" w:rsidRDefault="00596B83">
      <w:pPr>
        <w:rPr>
          <w:rFonts w:ascii="Arial" w:hAnsi="Arial" w:cs="Arial"/>
          <w:sz w:val="24"/>
          <w:szCs w:val="24"/>
        </w:rPr>
      </w:pPr>
      <w:r w:rsidRPr="00596B83">
        <w:rPr>
          <w:rFonts w:ascii="Arial" w:hAnsi="Arial" w:cs="Arial"/>
          <w:sz w:val="24"/>
          <w:szCs w:val="24"/>
        </w:rPr>
        <w:t>Cities throughout the world are increasingly turning to the innovation and knowledge economy as a driver of growth and revival in their quest for urban rejuvenation. Swansea, with its strong educational infrastructure led by Swansea University, is ideally positioned to benefit from this trend. The city's emphasis on building an environment conducive to innovation, research, and development is critical for generating economic diversification and creating long-term job prospects. This strategy is consistent with broader economic development policies that emphasize knowledge-based sectors as drivers of urban revitalization and economic resilience (Patrick, 2014).</w:t>
      </w:r>
    </w:p>
    <w:p w14:paraId="2D17E198" w14:textId="6C9D9594" w:rsidR="00596B83" w:rsidRPr="002152FE" w:rsidRDefault="00596B83" w:rsidP="002152FE">
      <w:pPr>
        <w:pStyle w:val="ListParagraph"/>
        <w:numPr>
          <w:ilvl w:val="0"/>
          <w:numId w:val="6"/>
        </w:numPr>
        <w:rPr>
          <w:rFonts w:ascii="Arial" w:hAnsi="Arial" w:cs="Arial"/>
          <w:sz w:val="24"/>
          <w:szCs w:val="24"/>
        </w:rPr>
      </w:pPr>
      <w:r w:rsidRPr="002152FE">
        <w:rPr>
          <w:rFonts w:ascii="Arial" w:hAnsi="Arial" w:cs="Arial"/>
          <w:sz w:val="24"/>
          <w:szCs w:val="24"/>
        </w:rPr>
        <w:t>Role of Educational Institutions</w:t>
      </w:r>
      <w:r w:rsidRPr="002152FE">
        <w:rPr>
          <w:rFonts w:ascii="Arial" w:hAnsi="Arial" w:cs="Arial"/>
          <w:sz w:val="24"/>
          <w:szCs w:val="24"/>
        </w:rPr>
        <w:br/>
        <w:t xml:space="preserve">Swansea University, as well as other regional educational institutions, play an important role in this plan. These institutions are more than just learning </w:t>
      </w:r>
      <w:r w:rsidRPr="002152FE">
        <w:rPr>
          <w:rFonts w:ascii="Arial" w:hAnsi="Arial" w:cs="Arial"/>
          <w:sz w:val="24"/>
          <w:szCs w:val="24"/>
        </w:rPr>
        <w:t>centres</w:t>
      </w:r>
      <w:r w:rsidRPr="002152FE">
        <w:rPr>
          <w:rFonts w:ascii="Arial" w:hAnsi="Arial" w:cs="Arial"/>
          <w:sz w:val="24"/>
          <w:szCs w:val="24"/>
        </w:rPr>
        <w:t>; they are also important hubs for research and innovation, which can help to drive economic growth. Universities can turn academic research into commercial applications by partnering with the corporate sector and government agencies, particularly in high-growth areas like sustainable technology and digital industries. Such collaborations can result in the creation of new products, services, and businesses, boosting the region's economic vibrancy (Miller, Merrilees, and Coghlan, 2014).</w:t>
      </w:r>
    </w:p>
    <w:p w14:paraId="79487314" w14:textId="589711F4" w:rsidR="00596B83" w:rsidRPr="002152FE" w:rsidRDefault="00596B83" w:rsidP="002152FE">
      <w:pPr>
        <w:pStyle w:val="ListParagraph"/>
        <w:numPr>
          <w:ilvl w:val="0"/>
          <w:numId w:val="6"/>
        </w:numPr>
        <w:rPr>
          <w:rFonts w:ascii="Arial" w:hAnsi="Arial" w:cs="Arial"/>
          <w:sz w:val="24"/>
          <w:szCs w:val="24"/>
        </w:rPr>
      </w:pPr>
      <w:r w:rsidRPr="002152FE">
        <w:rPr>
          <w:rFonts w:ascii="Arial" w:hAnsi="Arial" w:cs="Arial"/>
          <w:sz w:val="24"/>
          <w:szCs w:val="24"/>
        </w:rPr>
        <w:t>Business Incubators and Research Centres</w:t>
      </w:r>
      <w:r w:rsidRPr="002152FE">
        <w:rPr>
          <w:rFonts w:ascii="Arial" w:hAnsi="Arial" w:cs="Arial"/>
          <w:sz w:val="24"/>
          <w:szCs w:val="24"/>
        </w:rPr>
        <w:br/>
        <w:t xml:space="preserve">The construction of company incubators and research centres is an important part of Swansea's plan to promote innovation and </w:t>
      </w:r>
      <w:r w:rsidRPr="002152FE">
        <w:rPr>
          <w:rFonts w:ascii="Arial" w:hAnsi="Arial" w:cs="Arial"/>
          <w:sz w:val="24"/>
          <w:szCs w:val="24"/>
        </w:rPr>
        <w:t xml:space="preserve">a </w:t>
      </w:r>
      <w:r w:rsidRPr="002152FE">
        <w:rPr>
          <w:rFonts w:ascii="Arial" w:hAnsi="Arial" w:cs="Arial"/>
          <w:sz w:val="24"/>
          <w:szCs w:val="24"/>
        </w:rPr>
        <w:t xml:space="preserve">knowledge economy. Incubators promote companies and entrepreneurs by providing resources such as office space, coaching, and access to networks and investment. This assistance is critical in the early phases of a company's development, lowering the risks connected with new ventures and boosting their chances of success. Research </w:t>
      </w:r>
      <w:r w:rsidRPr="002152FE">
        <w:rPr>
          <w:rFonts w:ascii="Arial" w:hAnsi="Arial" w:cs="Arial"/>
          <w:sz w:val="24"/>
          <w:szCs w:val="24"/>
        </w:rPr>
        <w:t>centres</w:t>
      </w:r>
      <w:r w:rsidRPr="002152FE">
        <w:rPr>
          <w:rFonts w:ascii="Arial" w:hAnsi="Arial" w:cs="Arial"/>
          <w:sz w:val="24"/>
          <w:szCs w:val="24"/>
        </w:rPr>
        <w:t xml:space="preserve">, which are frequently linked with universities, seek to advance knowledge in certain sectors, including sustainable technologies, which are becoming increasingly relevant in light of global concerns such as climate change. These </w:t>
      </w:r>
      <w:r w:rsidRPr="002152FE">
        <w:rPr>
          <w:rFonts w:ascii="Arial" w:hAnsi="Arial" w:cs="Arial"/>
          <w:sz w:val="24"/>
          <w:szCs w:val="24"/>
        </w:rPr>
        <w:t>centres</w:t>
      </w:r>
      <w:r w:rsidRPr="002152FE">
        <w:rPr>
          <w:rFonts w:ascii="Arial" w:hAnsi="Arial" w:cs="Arial"/>
          <w:sz w:val="24"/>
          <w:szCs w:val="24"/>
        </w:rPr>
        <w:t xml:space="preserve"> can attract talent and investment, boosting Swansea's economic profile (Patrick, 2014).</w:t>
      </w:r>
    </w:p>
    <w:p w14:paraId="02EA6AF4" w14:textId="4C3FF8C6" w:rsidR="00596B83" w:rsidRPr="002152FE" w:rsidRDefault="00596B83" w:rsidP="002152FE">
      <w:pPr>
        <w:pStyle w:val="ListParagraph"/>
        <w:numPr>
          <w:ilvl w:val="0"/>
          <w:numId w:val="6"/>
        </w:numPr>
        <w:rPr>
          <w:rFonts w:ascii="Arial" w:hAnsi="Arial" w:cs="Arial"/>
          <w:sz w:val="24"/>
          <w:szCs w:val="24"/>
        </w:rPr>
      </w:pPr>
      <w:r w:rsidRPr="002152FE">
        <w:rPr>
          <w:rFonts w:ascii="Arial" w:hAnsi="Arial" w:cs="Arial"/>
          <w:sz w:val="24"/>
          <w:szCs w:val="24"/>
        </w:rPr>
        <w:t>Economic Diversity and Job Creation</w:t>
      </w:r>
      <w:r w:rsidRPr="002152FE">
        <w:rPr>
          <w:rFonts w:ascii="Arial" w:hAnsi="Arial" w:cs="Arial"/>
          <w:sz w:val="24"/>
          <w:szCs w:val="24"/>
        </w:rPr>
        <w:br/>
        <w:t>Swansea's economic diversification is expected to be driven by a focus on innovation and the knowledge sector. By expanding outside traditional industries to include sectors with high levels of innovation and knowledge intensity, the city may create a more robust and dynamic economy. This transition is about more than just producing jobs; it is also about providing high-quality employment possibilities in industries that are expected to increase in the future decades. Furthermore, developing a thriving innovation ecosystem can attract enterprises and talented workers from all over the world, increasing Swansea's worldwide competitiveness (Jones and Evans, 2011).</w:t>
      </w:r>
    </w:p>
    <w:p w14:paraId="7054703B" w14:textId="41B828E2" w:rsidR="00596B83" w:rsidRPr="002152FE" w:rsidRDefault="00596B83" w:rsidP="002152FE">
      <w:pPr>
        <w:pStyle w:val="ListParagraph"/>
        <w:numPr>
          <w:ilvl w:val="0"/>
          <w:numId w:val="5"/>
        </w:numPr>
        <w:rPr>
          <w:rFonts w:ascii="Arial Black" w:hAnsi="Arial Black" w:cs="Arial"/>
          <w:sz w:val="24"/>
          <w:szCs w:val="24"/>
        </w:rPr>
      </w:pPr>
      <w:r w:rsidRPr="002152FE">
        <w:rPr>
          <w:rFonts w:ascii="Arial Black" w:hAnsi="Arial Black" w:cs="Arial"/>
          <w:sz w:val="24"/>
          <w:szCs w:val="24"/>
        </w:rPr>
        <w:lastRenderedPageBreak/>
        <w:t>Sustainable Urban Living Projects</w:t>
      </w:r>
    </w:p>
    <w:p w14:paraId="5F268678" w14:textId="54C99586" w:rsidR="00596B83" w:rsidRDefault="00596B83">
      <w:pPr>
        <w:rPr>
          <w:rFonts w:ascii="Arial" w:hAnsi="Arial" w:cs="Arial"/>
          <w:sz w:val="24"/>
          <w:szCs w:val="24"/>
        </w:rPr>
      </w:pPr>
      <w:r w:rsidRPr="00596B83">
        <w:rPr>
          <w:rFonts w:ascii="Arial" w:hAnsi="Arial" w:cs="Arial"/>
          <w:sz w:val="24"/>
          <w:szCs w:val="24"/>
        </w:rPr>
        <w:t>The transition to sustainable urban living initiatives is an important component of current urban regeneration efforts. These programs, which promote environmental sustainability, community engagement, and quality of life, are increasingly seen as critical to the creation of resilient and dynamic cities. Swansea has enormous potential for such projects, which could not only improve citizens' living conditions but also attract new investments and establish the city as a pioneer in sustainable urban development (Mah and Hills, 2012).</w:t>
      </w:r>
    </w:p>
    <w:p w14:paraId="425AEF4C" w14:textId="0B5E4175" w:rsidR="002152FE" w:rsidRPr="002152FE" w:rsidRDefault="002152FE" w:rsidP="002152FE">
      <w:pPr>
        <w:pStyle w:val="ListParagraph"/>
        <w:numPr>
          <w:ilvl w:val="0"/>
          <w:numId w:val="7"/>
        </w:numPr>
        <w:rPr>
          <w:rFonts w:ascii="Arial" w:hAnsi="Arial" w:cs="Arial"/>
          <w:sz w:val="24"/>
          <w:szCs w:val="24"/>
        </w:rPr>
      </w:pPr>
      <w:r w:rsidRPr="002152FE">
        <w:rPr>
          <w:rFonts w:ascii="Arial" w:hAnsi="Arial" w:cs="Arial"/>
          <w:b/>
          <w:bCs/>
          <w:sz w:val="24"/>
          <w:szCs w:val="24"/>
        </w:rPr>
        <w:t>Green Housing Developments</w:t>
      </w:r>
      <w:r w:rsidRPr="002152FE">
        <w:rPr>
          <w:rFonts w:ascii="Arial" w:hAnsi="Arial" w:cs="Arial"/>
          <w:sz w:val="24"/>
          <w:szCs w:val="24"/>
        </w:rPr>
        <w:br/>
        <w:t>Green home development is a key component of sustainable urban living initiatives. These are residential communities that have been developed with sustainability in mind, using energy-efficient materials, renewable energy sources, and green spaces to support biodiversity. Green housing developments not only reduce the carbon footprint of residential areas, but they also benefit the community's health and well-being by offering cleaner air and a connection to nature. Integrating these aspects into housing projects has the potential to considerably reduce energy usage and greenhouse gas emissions, aligning with global efforts to address climate change (Miller, Merrilees, and Coghlan, 2014).</w:t>
      </w:r>
    </w:p>
    <w:p w14:paraId="4D55ADB3" w14:textId="0C121E6F" w:rsidR="002152FE" w:rsidRPr="002152FE" w:rsidRDefault="002152FE" w:rsidP="002152FE">
      <w:pPr>
        <w:pStyle w:val="ListParagraph"/>
        <w:numPr>
          <w:ilvl w:val="0"/>
          <w:numId w:val="7"/>
        </w:numPr>
        <w:rPr>
          <w:rFonts w:ascii="Arial" w:hAnsi="Arial" w:cs="Arial"/>
          <w:sz w:val="24"/>
          <w:szCs w:val="24"/>
        </w:rPr>
      </w:pPr>
      <w:r w:rsidRPr="002152FE">
        <w:rPr>
          <w:rFonts w:ascii="Arial" w:hAnsi="Arial" w:cs="Arial"/>
          <w:b/>
          <w:bCs/>
          <w:sz w:val="24"/>
          <w:szCs w:val="24"/>
        </w:rPr>
        <w:t>Revitalisation of Public Spaces</w:t>
      </w:r>
      <w:r w:rsidRPr="002152FE">
        <w:rPr>
          <w:rFonts w:ascii="Arial" w:hAnsi="Arial" w:cs="Arial"/>
          <w:sz w:val="24"/>
          <w:szCs w:val="24"/>
        </w:rPr>
        <w:br/>
        <w:t xml:space="preserve">The renovation of public areas is another critical component of sustainable urban living initiatives. This entails changing urban areas into bright, inclusive, and green environments that promote social interaction and physical activity. Cities may improve the appeal and </w:t>
      </w:r>
      <w:r w:rsidRPr="002152FE">
        <w:rPr>
          <w:rFonts w:ascii="Arial" w:hAnsi="Arial" w:cs="Arial"/>
          <w:sz w:val="24"/>
          <w:szCs w:val="24"/>
        </w:rPr>
        <w:t>liability</w:t>
      </w:r>
      <w:r w:rsidRPr="002152FE">
        <w:rPr>
          <w:rFonts w:ascii="Arial" w:hAnsi="Arial" w:cs="Arial"/>
          <w:sz w:val="24"/>
          <w:szCs w:val="24"/>
        </w:rPr>
        <w:t xml:space="preserve"> of their urban surroundings by investing in the rehabilitation of parks, squares, and waterfronts. Such areas not only function as the city's lungs, providing </w:t>
      </w:r>
      <w:r>
        <w:rPr>
          <w:rFonts w:ascii="Arial" w:hAnsi="Arial" w:cs="Arial"/>
          <w:sz w:val="24"/>
          <w:szCs w:val="24"/>
        </w:rPr>
        <w:t xml:space="preserve">a </w:t>
      </w:r>
      <w:r w:rsidRPr="002152FE">
        <w:rPr>
          <w:rFonts w:ascii="Arial" w:hAnsi="Arial" w:cs="Arial"/>
          <w:sz w:val="24"/>
          <w:szCs w:val="24"/>
        </w:rPr>
        <w:t>reprieve from urban density, but also as community hubs, encouraging a sense of belonging and community cohesion (Patrick, 2014).</w:t>
      </w:r>
    </w:p>
    <w:p w14:paraId="44212F19" w14:textId="19A93991" w:rsidR="002152FE" w:rsidRDefault="002152FE" w:rsidP="002152FE">
      <w:pPr>
        <w:pStyle w:val="ListParagraph"/>
        <w:numPr>
          <w:ilvl w:val="0"/>
          <w:numId w:val="7"/>
        </w:numPr>
        <w:rPr>
          <w:rFonts w:ascii="Arial" w:hAnsi="Arial" w:cs="Arial"/>
          <w:sz w:val="24"/>
          <w:szCs w:val="24"/>
        </w:rPr>
      </w:pPr>
      <w:r w:rsidRPr="002152FE">
        <w:rPr>
          <w:rFonts w:ascii="Arial" w:hAnsi="Arial" w:cs="Arial"/>
          <w:b/>
          <w:bCs/>
          <w:sz w:val="24"/>
          <w:szCs w:val="24"/>
        </w:rPr>
        <w:t>Community Engagement</w:t>
      </w:r>
      <w:r w:rsidRPr="002152FE">
        <w:rPr>
          <w:rFonts w:ascii="Arial" w:hAnsi="Arial" w:cs="Arial"/>
          <w:sz w:val="24"/>
          <w:szCs w:val="24"/>
        </w:rPr>
        <w:br/>
        <w:t>Community participation is critical to the success of sustainable urban living projects. Involving locals in the planning and implementation of these initiatives ensures that developments meet the community's genuine needs and preferences, increasing the likelihood of success and sustainability. Community engagement can take many forms, including participatory planning workshops and volunteer initiatives to maintain green spaces. This inclusive strategy not only empowers residents but also improves the city's social fabric by instilling a sense of shared ownership and responsibility for the urban environment (Jones and Evans, 2011).</w:t>
      </w:r>
    </w:p>
    <w:p w14:paraId="593EC1B7" w14:textId="77777777" w:rsidR="00017BE1" w:rsidRDefault="00017BE1" w:rsidP="00017BE1">
      <w:pPr>
        <w:rPr>
          <w:rFonts w:ascii="Arial" w:hAnsi="Arial" w:cs="Arial"/>
          <w:sz w:val="24"/>
          <w:szCs w:val="24"/>
        </w:rPr>
      </w:pPr>
    </w:p>
    <w:p w14:paraId="2D5B8ABA" w14:textId="77777777" w:rsidR="00017BE1" w:rsidRDefault="00017BE1" w:rsidP="00017BE1">
      <w:pPr>
        <w:rPr>
          <w:rFonts w:ascii="Arial" w:hAnsi="Arial" w:cs="Arial"/>
          <w:sz w:val="24"/>
          <w:szCs w:val="24"/>
        </w:rPr>
      </w:pPr>
    </w:p>
    <w:p w14:paraId="2926CF06" w14:textId="77777777" w:rsidR="00017BE1" w:rsidRDefault="00017BE1" w:rsidP="00017BE1">
      <w:pPr>
        <w:rPr>
          <w:rFonts w:ascii="Arial" w:hAnsi="Arial" w:cs="Arial"/>
          <w:sz w:val="24"/>
          <w:szCs w:val="24"/>
        </w:rPr>
      </w:pPr>
    </w:p>
    <w:p w14:paraId="041AC99F" w14:textId="77777777" w:rsidR="00017BE1" w:rsidRDefault="00017BE1" w:rsidP="00017BE1">
      <w:pPr>
        <w:rPr>
          <w:rFonts w:ascii="Arial" w:hAnsi="Arial" w:cs="Arial"/>
          <w:sz w:val="24"/>
          <w:szCs w:val="24"/>
        </w:rPr>
      </w:pPr>
    </w:p>
    <w:p w14:paraId="591F99D9" w14:textId="362FEE6C" w:rsidR="00017BE1" w:rsidRPr="00F83939" w:rsidRDefault="00017BE1" w:rsidP="00017BE1">
      <w:pPr>
        <w:rPr>
          <w:rFonts w:ascii="Arial Black" w:hAnsi="Arial Black" w:cs="Arial"/>
          <w:sz w:val="24"/>
          <w:szCs w:val="24"/>
        </w:rPr>
      </w:pPr>
      <w:r w:rsidRPr="00F83939">
        <w:rPr>
          <w:rFonts w:ascii="Arial Black" w:hAnsi="Arial Black" w:cs="Arial"/>
          <w:sz w:val="24"/>
          <w:szCs w:val="24"/>
        </w:rPr>
        <w:lastRenderedPageBreak/>
        <w:t xml:space="preserve">References </w:t>
      </w:r>
    </w:p>
    <w:p w14:paraId="12EF64BB" w14:textId="77777777" w:rsidR="00F83939" w:rsidRDefault="00F83939" w:rsidP="00017BE1">
      <w:pPr>
        <w:rPr>
          <w:rFonts w:ascii="Arial" w:hAnsi="Arial" w:cs="Arial"/>
          <w:sz w:val="24"/>
          <w:szCs w:val="24"/>
        </w:rPr>
      </w:pPr>
    </w:p>
    <w:p w14:paraId="5355AFA1" w14:textId="5F78B065" w:rsidR="00F83939" w:rsidRDefault="00F83939" w:rsidP="00F83939">
      <w:pPr>
        <w:rPr>
          <w:rFonts w:ascii="Arial" w:hAnsi="Arial" w:cs="Arial"/>
          <w:sz w:val="24"/>
          <w:szCs w:val="24"/>
        </w:rPr>
      </w:pPr>
      <w:r w:rsidRPr="00F83939">
        <w:rPr>
          <w:rFonts w:ascii="Arial" w:hAnsi="Arial" w:cs="Arial"/>
          <w:sz w:val="24"/>
          <w:szCs w:val="24"/>
        </w:rPr>
        <w:t xml:space="preserve">Crisp, R. (2016) 'After urban regeneration: communities, policy and place', Housing Studies, 31(8), pp. 1020–1022. Available at: </w:t>
      </w:r>
      <w:hyperlink r:id="rId6" w:history="1">
        <w:r w:rsidRPr="00671EB6">
          <w:rPr>
            <w:rStyle w:val="Hyperlink"/>
            <w:rFonts w:ascii="Arial" w:hAnsi="Arial" w:cs="Arial"/>
            <w:sz w:val="24"/>
            <w:szCs w:val="24"/>
          </w:rPr>
          <w:t>https://doi.org/10.1080/02673037.2016.1225392</w:t>
        </w:r>
      </w:hyperlink>
      <w:r w:rsidRPr="00F83939">
        <w:rPr>
          <w:rFonts w:ascii="Arial" w:hAnsi="Arial" w:cs="Arial"/>
          <w:sz w:val="24"/>
          <w:szCs w:val="24"/>
        </w:rPr>
        <w:t>.</w:t>
      </w:r>
    </w:p>
    <w:p w14:paraId="69B223FB" w14:textId="5BBCBC34" w:rsidR="00F83939" w:rsidRDefault="00F83939" w:rsidP="00F83939">
      <w:pPr>
        <w:rPr>
          <w:rFonts w:ascii="Arial" w:hAnsi="Arial" w:cs="Arial"/>
          <w:sz w:val="24"/>
          <w:szCs w:val="24"/>
        </w:rPr>
      </w:pPr>
      <w:r w:rsidRPr="00F83939">
        <w:rPr>
          <w:rFonts w:ascii="Arial" w:hAnsi="Arial" w:cs="Arial"/>
          <w:sz w:val="24"/>
          <w:szCs w:val="24"/>
        </w:rPr>
        <w:t xml:space="preserve">Jones, P. and Evans, J. (2011) 'Rescue Geography: Place Making, Affect and Regeneration', Urban Studies, 49(11), pp. 2315–2330. Available at: </w:t>
      </w:r>
      <w:hyperlink r:id="rId7" w:history="1">
        <w:r w:rsidRPr="00671EB6">
          <w:rPr>
            <w:rStyle w:val="Hyperlink"/>
            <w:rFonts w:ascii="Arial" w:hAnsi="Arial" w:cs="Arial"/>
            <w:sz w:val="24"/>
            <w:szCs w:val="24"/>
          </w:rPr>
          <w:t>https://doi.org/10.1177/0042098011428177</w:t>
        </w:r>
      </w:hyperlink>
      <w:r w:rsidRPr="00F83939">
        <w:rPr>
          <w:rFonts w:ascii="Arial" w:hAnsi="Arial" w:cs="Arial"/>
          <w:sz w:val="24"/>
          <w:szCs w:val="24"/>
        </w:rPr>
        <w:t>.</w:t>
      </w:r>
    </w:p>
    <w:p w14:paraId="0486943D" w14:textId="7EF983EC" w:rsidR="00F83939" w:rsidRDefault="00F83939" w:rsidP="00F83939">
      <w:pPr>
        <w:rPr>
          <w:rFonts w:ascii="Arial" w:hAnsi="Arial" w:cs="Arial"/>
          <w:sz w:val="24"/>
          <w:szCs w:val="24"/>
        </w:rPr>
      </w:pPr>
      <w:r w:rsidRPr="00F83939">
        <w:rPr>
          <w:rFonts w:ascii="Arial" w:hAnsi="Arial" w:cs="Arial"/>
          <w:sz w:val="24"/>
          <w:szCs w:val="24"/>
        </w:rPr>
        <w:t xml:space="preserve">Lawless, P. (2007) 'Continuing dilemmas for area-based urban regeneration: evidence from the New Deal for Communities Programme in England', People, Place and Policy Online, 1(1), pp. 14–21. Available at: </w:t>
      </w:r>
      <w:hyperlink r:id="rId8" w:history="1">
        <w:r w:rsidRPr="00671EB6">
          <w:rPr>
            <w:rStyle w:val="Hyperlink"/>
            <w:rFonts w:ascii="Arial" w:hAnsi="Arial" w:cs="Arial"/>
            <w:sz w:val="24"/>
            <w:szCs w:val="24"/>
          </w:rPr>
          <w:t>https://doi.org/10.3351/ppp.0001.0001.0003</w:t>
        </w:r>
      </w:hyperlink>
      <w:r w:rsidRPr="00F83939">
        <w:rPr>
          <w:rFonts w:ascii="Arial" w:hAnsi="Arial" w:cs="Arial"/>
          <w:sz w:val="24"/>
          <w:szCs w:val="24"/>
        </w:rPr>
        <w:t>.</w:t>
      </w:r>
    </w:p>
    <w:p w14:paraId="341418B9" w14:textId="6A6CD3B8" w:rsidR="00F83939" w:rsidRDefault="00F83939" w:rsidP="00F83939">
      <w:pPr>
        <w:rPr>
          <w:rFonts w:ascii="Arial" w:hAnsi="Arial" w:cs="Arial"/>
          <w:sz w:val="24"/>
          <w:szCs w:val="24"/>
        </w:rPr>
      </w:pPr>
      <w:r w:rsidRPr="00F83939">
        <w:rPr>
          <w:rFonts w:ascii="Arial" w:hAnsi="Arial" w:cs="Arial"/>
          <w:sz w:val="24"/>
          <w:szCs w:val="24"/>
        </w:rPr>
        <w:t xml:space="preserve">Lee, T. (2015) 'Examinations of Meanings of Community Participation in Urban Regeneration and Their Applications in Regeneration Policy: Focusing on New Deal for Communities Programme in the UK', The Korea Spatial Planning Review, (86), pp. 139–159. Available at: </w:t>
      </w:r>
      <w:hyperlink r:id="rId9" w:history="1">
        <w:r w:rsidRPr="00671EB6">
          <w:rPr>
            <w:rStyle w:val="Hyperlink"/>
            <w:rFonts w:ascii="Arial" w:hAnsi="Arial" w:cs="Arial"/>
            <w:sz w:val="24"/>
            <w:szCs w:val="24"/>
          </w:rPr>
          <w:t>https://doi.org/10.15793/kspr.2015.86..009</w:t>
        </w:r>
      </w:hyperlink>
      <w:r w:rsidRPr="00F83939">
        <w:rPr>
          <w:rFonts w:ascii="Arial" w:hAnsi="Arial" w:cs="Arial"/>
          <w:sz w:val="24"/>
          <w:szCs w:val="24"/>
        </w:rPr>
        <w:t>.</w:t>
      </w:r>
    </w:p>
    <w:p w14:paraId="289290CE" w14:textId="4CC81D2D" w:rsidR="00F83939" w:rsidRDefault="00F83939" w:rsidP="00F83939">
      <w:pPr>
        <w:rPr>
          <w:rFonts w:ascii="Arial" w:hAnsi="Arial" w:cs="Arial"/>
          <w:sz w:val="24"/>
          <w:szCs w:val="24"/>
        </w:rPr>
      </w:pPr>
      <w:r w:rsidRPr="00F83939">
        <w:rPr>
          <w:rFonts w:ascii="Arial" w:hAnsi="Arial" w:cs="Arial"/>
          <w:sz w:val="24"/>
          <w:szCs w:val="24"/>
        </w:rPr>
        <w:t xml:space="preserve">Moloney, S. (2015) 'The Hidden Potential of Sustainable Neighbourhoods: Lessons from Low-Carbon Communities', Urban Policy and Research, 33(3), pp. 383–385. Available at: </w:t>
      </w:r>
      <w:hyperlink r:id="rId10" w:history="1">
        <w:r w:rsidRPr="00671EB6">
          <w:rPr>
            <w:rStyle w:val="Hyperlink"/>
            <w:rFonts w:ascii="Arial" w:hAnsi="Arial" w:cs="Arial"/>
            <w:sz w:val="24"/>
            <w:szCs w:val="24"/>
          </w:rPr>
          <w:t>https://doi.org/10.1080/08111146.2015.1057913</w:t>
        </w:r>
      </w:hyperlink>
      <w:r w:rsidRPr="00F83939">
        <w:rPr>
          <w:rFonts w:ascii="Arial" w:hAnsi="Arial" w:cs="Arial"/>
          <w:sz w:val="24"/>
          <w:szCs w:val="24"/>
        </w:rPr>
        <w:t>.</w:t>
      </w:r>
    </w:p>
    <w:p w14:paraId="03FADD09" w14:textId="77AAD6A4" w:rsidR="00F83939" w:rsidRDefault="00F83939" w:rsidP="00F83939">
      <w:pPr>
        <w:rPr>
          <w:rFonts w:ascii="Arial" w:hAnsi="Arial" w:cs="Arial"/>
          <w:sz w:val="24"/>
          <w:szCs w:val="24"/>
        </w:rPr>
      </w:pPr>
      <w:r w:rsidRPr="00F83939">
        <w:rPr>
          <w:rFonts w:ascii="Arial" w:hAnsi="Arial" w:cs="Arial"/>
          <w:sz w:val="24"/>
          <w:szCs w:val="24"/>
        </w:rPr>
        <w:t xml:space="preserve">Miller, D., Merrilees, B. and Coghlan, A. (2014) 'Sustainable urban tourism: understanding and developing visitor pro-environmental behaviours', Journal of Sustainable Tourism, 23(1), pp. 26-46. Available at: </w:t>
      </w:r>
      <w:hyperlink r:id="rId11" w:history="1">
        <w:r w:rsidRPr="00671EB6">
          <w:rPr>
            <w:rStyle w:val="Hyperlink"/>
            <w:rFonts w:ascii="Arial" w:hAnsi="Arial" w:cs="Arial"/>
            <w:sz w:val="24"/>
            <w:szCs w:val="24"/>
          </w:rPr>
          <w:t>https://doi.org/10.1080/09669582.2014.912219</w:t>
        </w:r>
      </w:hyperlink>
      <w:r w:rsidRPr="00F83939">
        <w:rPr>
          <w:rFonts w:ascii="Arial" w:hAnsi="Arial" w:cs="Arial"/>
          <w:sz w:val="24"/>
          <w:szCs w:val="24"/>
        </w:rPr>
        <w:t>.</w:t>
      </w:r>
    </w:p>
    <w:p w14:paraId="4BDBFEBF" w14:textId="2C74D5E2" w:rsidR="00F83939" w:rsidRDefault="00F83939" w:rsidP="00F83939">
      <w:pPr>
        <w:rPr>
          <w:rFonts w:ascii="Arial" w:hAnsi="Arial" w:cs="Arial"/>
          <w:sz w:val="24"/>
          <w:szCs w:val="24"/>
        </w:rPr>
      </w:pPr>
      <w:r w:rsidRPr="00F83939">
        <w:rPr>
          <w:rFonts w:ascii="Arial" w:hAnsi="Arial" w:cs="Arial"/>
          <w:sz w:val="24"/>
          <w:szCs w:val="24"/>
        </w:rPr>
        <w:t xml:space="preserve">Patrick, R. (2014) 'Urban sustainability: Reconnecting space and place', University of Toronto Press. Available at: </w:t>
      </w:r>
      <w:hyperlink r:id="rId12" w:history="1">
        <w:r w:rsidRPr="00671EB6">
          <w:rPr>
            <w:rStyle w:val="Hyperlink"/>
            <w:rFonts w:ascii="Arial" w:hAnsi="Arial" w:cs="Arial"/>
            <w:sz w:val="24"/>
            <w:szCs w:val="24"/>
          </w:rPr>
          <w:t>https://doi.org/10.1111/cag.12130</w:t>
        </w:r>
      </w:hyperlink>
      <w:r w:rsidRPr="00F83939">
        <w:rPr>
          <w:rFonts w:ascii="Arial" w:hAnsi="Arial" w:cs="Arial"/>
          <w:sz w:val="24"/>
          <w:szCs w:val="24"/>
        </w:rPr>
        <w:t>.</w:t>
      </w:r>
    </w:p>
    <w:p w14:paraId="570760F6" w14:textId="29D109C6" w:rsidR="00F83939" w:rsidRDefault="00F83939" w:rsidP="00F83939">
      <w:pPr>
        <w:rPr>
          <w:rFonts w:ascii="Arial" w:hAnsi="Arial" w:cs="Arial"/>
          <w:sz w:val="24"/>
          <w:szCs w:val="24"/>
        </w:rPr>
      </w:pPr>
      <w:r w:rsidRPr="00F83939">
        <w:rPr>
          <w:rFonts w:ascii="Arial" w:hAnsi="Arial" w:cs="Arial"/>
          <w:sz w:val="24"/>
          <w:szCs w:val="24"/>
        </w:rPr>
        <w:t xml:space="preserve">Shen, T., Yao, X. and Wen, F. (2021) 'The Urban Regeneration Engine Model: An analytical framework and case study of the renewal of old communities', Land Use Policy, 108, 105571. Available at: </w:t>
      </w:r>
      <w:hyperlink r:id="rId13" w:history="1">
        <w:r w:rsidRPr="00671EB6">
          <w:rPr>
            <w:rStyle w:val="Hyperlink"/>
            <w:rFonts w:ascii="Arial" w:hAnsi="Arial" w:cs="Arial"/>
            <w:sz w:val="24"/>
            <w:szCs w:val="24"/>
          </w:rPr>
          <w:t>https://doi.org/10.1016/j.landusepol.2021.105571</w:t>
        </w:r>
      </w:hyperlink>
      <w:r w:rsidRPr="00F83939">
        <w:rPr>
          <w:rFonts w:ascii="Arial" w:hAnsi="Arial" w:cs="Arial"/>
          <w:sz w:val="24"/>
          <w:szCs w:val="24"/>
        </w:rPr>
        <w:t>.</w:t>
      </w:r>
    </w:p>
    <w:p w14:paraId="41865477" w14:textId="4DA5B16A" w:rsidR="00B94C67" w:rsidRDefault="00F83939" w:rsidP="00017BE1">
      <w:pPr>
        <w:rPr>
          <w:rFonts w:ascii="Arial" w:hAnsi="Arial" w:cs="Arial"/>
          <w:sz w:val="24"/>
          <w:szCs w:val="24"/>
        </w:rPr>
      </w:pPr>
      <w:hyperlink r:id="rId14" w:history="1">
        <w:r w:rsidRPr="00671EB6">
          <w:rPr>
            <w:rStyle w:val="Hyperlink"/>
            <w:rFonts w:ascii="Arial" w:hAnsi="Arial" w:cs="Arial"/>
            <w:sz w:val="24"/>
            <w:szCs w:val="24"/>
          </w:rPr>
          <w:t>https://www.tripadvisor.co.uk/Attractions-g186466-Activities-Swansea_Swansea_County_South_Wales_Wales.html</w:t>
        </w:r>
      </w:hyperlink>
    </w:p>
    <w:p w14:paraId="0277C433" w14:textId="16398AB2" w:rsidR="00B94C67" w:rsidRDefault="00B94C67" w:rsidP="00017BE1">
      <w:pPr>
        <w:rPr>
          <w:rFonts w:ascii="Arial" w:hAnsi="Arial" w:cs="Arial"/>
          <w:sz w:val="24"/>
          <w:szCs w:val="24"/>
        </w:rPr>
      </w:pPr>
      <w:hyperlink r:id="rId15" w:history="1">
        <w:r w:rsidRPr="00671EB6">
          <w:rPr>
            <w:rStyle w:val="Hyperlink"/>
            <w:rFonts w:ascii="Arial" w:hAnsi="Arial" w:cs="Arial"/>
            <w:sz w:val="24"/>
            <w:szCs w:val="24"/>
          </w:rPr>
          <w:t>https://www.visitswanseabay.com/destinations/swansea/</w:t>
        </w:r>
      </w:hyperlink>
    </w:p>
    <w:p w14:paraId="09FAEA0E" w14:textId="2864F088" w:rsidR="00B94C67" w:rsidRDefault="00B94C67" w:rsidP="00017BE1">
      <w:pPr>
        <w:rPr>
          <w:rFonts w:ascii="Arial" w:hAnsi="Arial" w:cs="Arial"/>
          <w:sz w:val="24"/>
          <w:szCs w:val="24"/>
        </w:rPr>
      </w:pPr>
      <w:hyperlink r:id="rId16" w:history="1">
        <w:r w:rsidRPr="00671EB6">
          <w:rPr>
            <w:rStyle w:val="Hyperlink"/>
            <w:rFonts w:ascii="Arial" w:hAnsi="Arial" w:cs="Arial"/>
            <w:sz w:val="24"/>
            <w:szCs w:val="24"/>
          </w:rPr>
          <w:t>https://uk.hotels.com/go/wales/best-things-to-do-swansea</w:t>
        </w:r>
      </w:hyperlink>
    </w:p>
    <w:p w14:paraId="3E2613D9" w14:textId="4B5C08BA" w:rsidR="00B94C67" w:rsidRDefault="00B94C67" w:rsidP="00017BE1">
      <w:pPr>
        <w:rPr>
          <w:rFonts w:ascii="Arial" w:hAnsi="Arial" w:cs="Arial"/>
          <w:sz w:val="24"/>
          <w:szCs w:val="24"/>
        </w:rPr>
      </w:pPr>
      <w:hyperlink r:id="rId17" w:history="1">
        <w:r w:rsidRPr="00671EB6">
          <w:rPr>
            <w:rStyle w:val="Hyperlink"/>
            <w:rFonts w:ascii="Arial" w:hAnsi="Arial" w:cs="Arial"/>
            <w:sz w:val="24"/>
            <w:szCs w:val="24"/>
          </w:rPr>
          <w:t>https://www.visitswanseabay.com/useful-information/</w:t>
        </w:r>
      </w:hyperlink>
    </w:p>
    <w:p w14:paraId="1B9C71FF" w14:textId="77777777" w:rsidR="00C82D29" w:rsidRPr="00C82D29" w:rsidRDefault="00C82D29" w:rsidP="00C82D29">
      <w:pPr>
        <w:rPr>
          <w:rFonts w:ascii="Arial" w:hAnsi="Arial" w:cs="Arial"/>
          <w:sz w:val="24"/>
          <w:szCs w:val="24"/>
        </w:rPr>
      </w:pPr>
    </w:p>
    <w:p w14:paraId="3DBA43EE" w14:textId="77777777" w:rsidR="0037149B" w:rsidRPr="00017BE1" w:rsidRDefault="0037149B" w:rsidP="00C82D29">
      <w:pPr>
        <w:rPr>
          <w:rFonts w:ascii="Arial" w:hAnsi="Arial" w:cs="Arial"/>
          <w:sz w:val="24"/>
          <w:szCs w:val="24"/>
        </w:rPr>
      </w:pPr>
    </w:p>
    <w:sectPr w:rsidR="0037149B" w:rsidRPr="00017BE1" w:rsidSect="009E3DC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42407"/>
    <w:multiLevelType w:val="hybridMultilevel"/>
    <w:tmpl w:val="CC6A9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7A2E77"/>
    <w:multiLevelType w:val="hybridMultilevel"/>
    <w:tmpl w:val="07F22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4F0F4A"/>
    <w:multiLevelType w:val="hybridMultilevel"/>
    <w:tmpl w:val="86B09F3A"/>
    <w:lvl w:ilvl="0" w:tplc="08090015">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15:restartNumberingAfterBreak="0">
    <w:nsid w:val="48CF7320"/>
    <w:multiLevelType w:val="hybridMultilevel"/>
    <w:tmpl w:val="BEF2D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EF12A7"/>
    <w:multiLevelType w:val="hybridMultilevel"/>
    <w:tmpl w:val="96F26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F425B8"/>
    <w:multiLevelType w:val="hybridMultilevel"/>
    <w:tmpl w:val="7186B96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6C22FC"/>
    <w:multiLevelType w:val="hybridMultilevel"/>
    <w:tmpl w:val="AA840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040389"/>
    <w:multiLevelType w:val="hybridMultilevel"/>
    <w:tmpl w:val="9288DAB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5964338">
    <w:abstractNumId w:val="2"/>
  </w:num>
  <w:num w:numId="2" w16cid:durableId="425270392">
    <w:abstractNumId w:val="6"/>
  </w:num>
  <w:num w:numId="3" w16cid:durableId="1849901911">
    <w:abstractNumId w:val="0"/>
  </w:num>
  <w:num w:numId="4" w16cid:durableId="673804897">
    <w:abstractNumId w:val="3"/>
  </w:num>
  <w:num w:numId="5" w16cid:durableId="357198903">
    <w:abstractNumId w:val="7"/>
  </w:num>
  <w:num w:numId="6" w16cid:durableId="1129664845">
    <w:abstractNumId w:val="1"/>
  </w:num>
  <w:num w:numId="7" w16cid:durableId="1632319473">
    <w:abstractNumId w:val="4"/>
  </w:num>
  <w:num w:numId="8" w16cid:durableId="4416510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7B9"/>
    <w:rsid w:val="00017BE1"/>
    <w:rsid w:val="000209FF"/>
    <w:rsid w:val="001A714E"/>
    <w:rsid w:val="002152FE"/>
    <w:rsid w:val="0037149B"/>
    <w:rsid w:val="003A2F4E"/>
    <w:rsid w:val="00596B83"/>
    <w:rsid w:val="007A1C6A"/>
    <w:rsid w:val="007A1F47"/>
    <w:rsid w:val="009527B9"/>
    <w:rsid w:val="009652AE"/>
    <w:rsid w:val="009E3DCD"/>
    <w:rsid w:val="00A40D89"/>
    <w:rsid w:val="00AB528A"/>
    <w:rsid w:val="00B94C67"/>
    <w:rsid w:val="00C82D29"/>
    <w:rsid w:val="00DA5D03"/>
    <w:rsid w:val="00F83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60572C"/>
  <w15:chartTrackingRefBased/>
  <w15:docId w15:val="{CC5AEFFD-166B-449F-ABD5-978690C10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27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27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27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27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27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27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27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27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27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27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27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27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27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27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27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27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27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27B9"/>
    <w:rPr>
      <w:rFonts w:eastAsiaTheme="majorEastAsia" w:cstheme="majorBidi"/>
      <w:color w:val="272727" w:themeColor="text1" w:themeTint="D8"/>
    </w:rPr>
  </w:style>
  <w:style w:type="paragraph" w:styleId="Title">
    <w:name w:val="Title"/>
    <w:basedOn w:val="Normal"/>
    <w:next w:val="Normal"/>
    <w:link w:val="TitleChar"/>
    <w:uiPriority w:val="10"/>
    <w:qFormat/>
    <w:rsid w:val="009527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27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27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27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27B9"/>
    <w:pPr>
      <w:spacing w:before="160"/>
      <w:jc w:val="center"/>
    </w:pPr>
    <w:rPr>
      <w:i/>
      <w:iCs/>
      <w:color w:val="404040" w:themeColor="text1" w:themeTint="BF"/>
    </w:rPr>
  </w:style>
  <w:style w:type="character" w:customStyle="1" w:styleId="QuoteChar">
    <w:name w:val="Quote Char"/>
    <w:basedOn w:val="DefaultParagraphFont"/>
    <w:link w:val="Quote"/>
    <w:uiPriority w:val="29"/>
    <w:rsid w:val="009527B9"/>
    <w:rPr>
      <w:i/>
      <w:iCs/>
      <w:color w:val="404040" w:themeColor="text1" w:themeTint="BF"/>
    </w:rPr>
  </w:style>
  <w:style w:type="paragraph" w:styleId="ListParagraph">
    <w:name w:val="List Paragraph"/>
    <w:basedOn w:val="Normal"/>
    <w:uiPriority w:val="34"/>
    <w:qFormat/>
    <w:rsid w:val="009527B9"/>
    <w:pPr>
      <w:ind w:left="720"/>
      <w:contextualSpacing/>
    </w:pPr>
  </w:style>
  <w:style w:type="character" w:styleId="IntenseEmphasis">
    <w:name w:val="Intense Emphasis"/>
    <w:basedOn w:val="DefaultParagraphFont"/>
    <w:uiPriority w:val="21"/>
    <w:qFormat/>
    <w:rsid w:val="009527B9"/>
    <w:rPr>
      <w:i/>
      <w:iCs/>
      <w:color w:val="0F4761" w:themeColor="accent1" w:themeShade="BF"/>
    </w:rPr>
  </w:style>
  <w:style w:type="paragraph" w:styleId="IntenseQuote">
    <w:name w:val="Intense Quote"/>
    <w:basedOn w:val="Normal"/>
    <w:next w:val="Normal"/>
    <w:link w:val="IntenseQuoteChar"/>
    <w:uiPriority w:val="30"/>
    <w:qFormat/>
    <w:rsid w:val="009527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27B9"/>
    <w:rPr>
      <w:i/>
      <w:iCs/>
      <w:color w:val="0F4761" w:themeColor="accent1" w:themeShade="BF"/>
    </w:rPr>
  </w:style>
  <w:style w:type="character" w:styleId="IntenseReference">
    <w:name w:val="Intense Reference"/>
    <w:basedOn w:val="DefaultParagraphFont"/>
    <w:uiPriority w:val="32"/>
    <w:qFormat/>
    <w:rsid w:val="009527B9"/>
    <w:rPr>
      <w:b/>
      <w:bCs/>
      <w:smallCaps/>
      <w:color w:val="0F4761" w:themeColor="accent1" w:themeShade="BF"/>
      <w:spacing w:val="5"/>
    </w:rPr>
  </w:style>
  <w:style w:type="paragraph" w:styleId="NoSpacing">
    <w:name w:val="No Spacing"/>
    <w:link w:val="NoSpacingChar"/>
    <w:uiPriority w:val="1"/>
    <w:qFormat/>
    <w:rsid w:val="00017BE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17BE1"/>
    <w:rPr>
      <w:rFonts w:eastAsiaTheme="minorEastAsia"/>
      <w:kern w:val="0"/>
      <w:lang w:val="en-US"/>
      <w14:ligatures w14:val="none"/>
    </w:rPr>
  </w:style>
  <w:style w:type="character" w:styleId="Hyperlink">
    <w:name w:val="Hyperlink"/>
    <w:basedOn w:val="DefaultParagraphFont"/>
    <w:uiPriority w:val="99"/>
    <w:unhideWhenUsed/>
    <w:rsid w:val="00B94C67"/>
    <w:rPr>
      <w:color w:val="467886" w:themeColor="hyperlink"/>
      <w:u w:val="single"/>
    </w:rPr>
  </w:style>
  <w:style w:type="character" w:styleId="UnresolvedMention">
    <w:name w:val="Unresolved Mention"/>
    <w:basedOn w:val="DefaultParagraphFont"/>
    <w:uiPriority w:val="99"/>
    <w:semiHidden/>
    <w:unhideWhenUsed/>
    <w:rsid w:val="00B94C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51/ppp.0001.0001.0003" TargetMode="External"/><Relationship Id="rId13" Type="http://schemas.openxmlformats.org/officeDocument/2006/relationships/hyperlink" Target="https://doi.org/10.1016/j.landusepol.2021.10557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177/0042098011428177" TargetMode="External"/><Relationship Id="rId12" Type="http://schemas.openxmlformats.org/officeDocument/2006/relationships/hyperlink" Target="https://doi.org/10.1111/cag.12130" TargetMode="External"/><Relationship Id="rId17" Type="http://schemas.openxmlformats.org/officeDocument/2006/relationships/hyperlink" Target="https://www.visitswanseabay.com/useful-information/" TargetMode="External"/><Relationship Id="rId2" Type="http://schemas.openxmlformats.org/officeDocument/2006/relationships/numbering" Target="numbering.xml"/><Relationship Id="rId16" Type="http://schemas.openxmlformats.org/officeDocument/2006/relationships/hyperlink" Target="https://uk.hotels.com/go/wales/best-things-to-do-swansea" TargetMode="External"/><Relationship Id="rId1" Type="http://schemas.openxmlformats.org/officeDocument/2006/relationships/customXml" Target="../customXml/item1.xml"/><Relationship Id="rId6" Type="http://schemas.openxmlformats.org/officeDocument/2006/relationships/hyperlink" Target="https://doi.org/10.1080/02673037.2016.1225392" TargetMode="External"/><Relationship Id="rId11" Type="http://schemas.openxmlformats.org/officeDocument/2006/relationships/hyperlink" Target="https://doi.org/10.1080/09669582.2014.912219" TargetMode="External"/><Relationship Id="rId5" Type="http://schemas.openxmlformats.org/officeDocument/2006/relationships/webSettings" Target="webSettings.xml"/><Relationship Id="rId15" Type="http://schemas.openxmlformats.org/officeDocument/2006/relationships/hyperlink" Target="https://www.visitswanseabay.com/destinations/swansea/" TargetMode="External"/><Relationship Id="rId10" Type="http://schemas.openxmlformats.org/officeDocument/2006/relationships/hyperlink" Target="https://doi.org/10.1080/08111146.2015.105791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5793/kspr.2015.86..009" TargetMode="External"/><Relationship Id="rId14" Type="http://schemas.openxmlformats.org/officeDocument/2006/relationships/hyperlink" Target="https://www.tripadvisor.co.uk/Attractions-g186466-Activities-Swansea_Swansea_County_South_Wales_Wa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2024-03-01T00:00:00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2566</Words>
  <Characters>16558</Characters>
  <Application>Microsoft Office Word</Application>
  <DocSecurity>0</DocSecurity>
  <Lines>295</Lines>
  <Paragraphs>48</Paragraphs>
  <ScaleCrop>false</ScaleCrop>
  <HeadingPairs>
    <vt:vector size="2" baseType="variant">
      <vt:variant>
        <vt:lpstr>Title</vt:lpstr>
      </vt:variant>
      <vt:variant>
        <vt:i4>1</vt:i4>
      </vt:variant>
    </vt:vector>
  </HeadingPairs>
  <TitlesOfParts>
    <vt:vector size="1" baseType="lpstr">
      <vt:lpstr/>
    </vt:vector>
  </TitlesOfParts>
  <Company>Distinctiveness and Regeneration</Company>
  <LinksUpToDate>false</LinksUpToDate>
  <CharactersWithSpaces>19089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An Overview</dc:title>
  <dc:subject>Report</dc:subject>
  <dc:creator>Mirabela Voican (1907947)</dc:creator>
  <cp:keywords/>
  <dc:description/>
  <cp:lastModifiedBy>Mirabela Voican (1907947)</cp:lastModifiedBy>
  <cp:revision>2</cp:revision>
  <dcterms:created xsi:type="dcterms:W3CDTF">2024-02-23T20:13:00Z</dcterms:created>
  <dcterms:modified xsi:type="dcterms:W3CDTF">2024-02-23T20:13:00Z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ddc72005-e771-4a28-aaa9-03ec00c6c20d</vt:lpwstr>
  </property>
</Properties>
</file>