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A7C270" w14:textId="77777777" w:rsidR="003749F0" w:rsidRDefault="003749F0" w:rsidP="00925D26">
      <w:pPr>
        <w:pStyle w:val="NormalWeb"/>
        <w:spacing w:line="360" w:lineRule="auto"/>
        <w:rPr>
          <w:rFonts w:ascii="Arial" w:hAnsi="Arial" w:cs="Arial"/>
          <w:sz w:val="22"/>
          <w:szCs w:val="22"/>
        </w:rPr>
      </w:pPr>
    </w:p>
    <w:p w14:paraId="70E33DC6" w14:textId="7377BEB5" w:rsidR="003749F0" w:rsidRPr="003749F0" w:rsidRDefault="003749F0" w:rsidP="00925D26">
      <w:pPr>
        <w:pStyle w:val="NormalWeb"/>
        <w:spacing w:line="360" w:lineRule="auto"/>
        <w:rPr>
          <w:rFonts w:ascii="Arial" w:hAnsi="Arial" w:cs="Arial"/>
          <w:b/>
          <w:bCs/>
          <w:sz w:val="22"/>
          <w:szCs w:val="22"/>
        </w:rPr>
      </w:pPr>
      <w:r w:rsidRPr="003749F0">
        <w:rPr>
          <w:rFonts w:ascii="Arial" w:hAnsi="Arial" w:cs="Arial"/>
          <w:b/>
          <w:bCs/>
          <w:sz w:val="22"/>
          <w:szCs w:val="22"/>
        </w:rPr>
        <w:t>Student Name:</w:t>
      </w:r>
      <w:r w:rsidR="001A30CB">
        <w:rPr>
          <w:rFonts w:ascii="Arial" w:hAnsi="Arial" w:cs="Arial"/>
          <w:b/>
          <w:bCs/>
          <w:sz w:val="22"/>
          <w:szCs w:val="22"/>
        </w:rPr>
        <w:t xml:space="preserve"> </w:t>
      </w:r>
      <w:r w:rsidR="00576A99">
        <w:rPr>
          <w:rFonts w:ascii="Arial" w:hAnsi="Arial" w:cs="Arial"/>
          <w:b/>
          <w:bCs/>
          <w:sz w:val="22"/>
          <w:szCs w:val="22"/>
        </w:rPr>
        <w:t>Misbah Khan</w:t>
      </w:r>
    </w:p>
    <w:p w14:paraId="0CF5F0BE" w14:textId="5F723FD8" w:rsidR="003749F0" w:rsidRPr="003749F0" w:rsidRDefault="003749F0" w:rsidP="00925D26">
      <w:pPr>
        <w:pStyle w:val="NormalWeb"/>
        <w:spacing w:line="360" w:lineRule="auto"/>
        <w:rPr>
          <w:rFonts w:ascii="Arial" w:hAnsi="Arial" w:cs="Arial"/>
          <w:b/>
          <w:bCs/>
          <w:sz w:val="22"/>
          <w:szCs w:val="22"/>
        </w:rPr>
      </w:pPr>
      <w:r w:rsidRPr="003749F0">
        <w:rPr>
          <w:rFonts w:ascii="Arial" w:hAnsi="Arial" w:cs="Arial"/>
          <w:b/>
          <w:bCs/>
          <w:sz w:val="22"/>
          <w:szCs w:val="22"/>
        </w:rPr>
        <w:t>Student ID</w:t>
      </w:r>
      <w:r w:rsidR="001A30CB">
        <w:rPr>
          <w:rFonts w:ascii="Arial" w:hAnsi="Arial" w:cs="Arial"/>
          <w:b/>
          <w:bCs/>
          <w:sz w:val="22"/>
          <w:szCs w:val="22"/>
        </w:rPr>
        <w:t>: 22213</w:t>
      </w:r>
      <w:r w:rsidR="00576A99">
        <w:rPr>
          <w:rFonts w:ascii="Arial" w:hAnsi="Arial" w:cs="Arial"/>
          <w:b/>
          <w:bCs/>
          <w:sz w:val="22"/>
          <w:szCs w:val="22"/>
        </w:rPr>
        <w:t>47</w:t>
      </w:r>
    </w:p>
    <w:p w14:paraId="72311AA5" w14:textId="7687D952" w:rsidR="003749F0" w:rsidRPr="003749F0" w:rsidRDefault="003749F0" w:rsidP="00925D26">
      <w:pPr>
        <w:pStyle w:val="NormalWeb"/>
        <w:spacing w:line="360" w:lineRule="auto"/>
        <w:rPr>
          <w:rFonts w:ascii="Arial" w:hAnsi="Arial" w:cs="Arial"/>
          <w:b/>
          <w:bCs/>
          <w:sz w:val="22"/>
          <w:szCs w:val="22"/>
        </w:rPr>
      </w:pPr>
      <w:r w:rsidRPr="003749F0">
        <w:rPr>
          <w:rFonts w:ascii="Arial" w:hAnsi="Arial" w:cs="Arial"/>
          <w:b/>
          <w:bCs/>
          <w:sz w:val="22"/>
          <w:szCs w:val="22"/>
        </w:rPr>
        <w:t>Module - Health, Wellbeing and Sustainable Development</w:t>
      </w:r>
    </w:p>
    <w:p w14:paraId="0DC9846D" w14:textId="66820F47" w:rsidR="003749F0" w:rsidRPr="003749F0" w:rsidRDefault="003749F0" w:rsidP="00925D26">
      <w:pPr>
        <w:pStyle w:val="NormalWeb"/>
        <w:spacing w:line="360" w:lineRule="auto"/>
        <w:rPr>
          <w:rFonts w:ascii="Arial" w:hAnsi="Arial" w:cs="Arial"/>
          <w:b/>
          <w:bCs/>
          <w:sz w:val="22"/>
          <w:szCs w:val="22"/>
        </w:rPr>
      </w:pPr>
      <w:r w:rsidRPr="003749F0">
        <w:rPr>
          <w:rFonts w:ascii="Arial" w:hAnsi="Arial" w:cs="Arial"/>
          <w:b/>
          <w:bCs/>
          <w:sz w:val="22"/>
          <w:szCs w:val="22"/>
        </w:rPr>
        <w:t>Module Code BMHP6030</w:t>
      </w:r>
    </w:p>
    <w:p w14:paraId="4BC8E066" w14:textId="647D8144" w:rsidR="003749F0" w:rsidRPr="003749F0" w:rsidRDefault="003749F0" w:rsidP="00925D26">
      <w:pPr>
        <w:pStyle w:val="NormalWeb"/>
        <w:spacing w:line="360" w:lineRule="auto"/>
        <w:rPr>
          <w:rFonts w:ascii="Arial" w:hAnsi="Arial" w:cs="Arial"/>
          <w:b/>
          <w:bCs/>
          <w:sz w:val="22"/>
          <w:szCs w:val="22"/>
        </w:rPr>
      </w:pPr>
      <w:r w:rsidRPr="003749F0">
        <w:rPr>
          <w:rFonts w:ascii="Arial" w:hAnsi="Arial" w:cs="Arial"/>
          <w:b/>
          <w:bCs/>
          <w:sz w:val="22"/>
          <w:szCs w:val="22"/>
        </w:rPr>
        <w:t>Assignment Title: Component 2: Written Assignment (Report)</w:t>
      </w:r>
    </w:p>
    <w:p w14:paraId="10111775" w14:textId="26A0F316" w:rsidR="003749F0" w:rsidRPr="003749F0" w:rsidRDefault="003749F0" w:rsidP="00925D26">
      <w:pPr>
        <w:pStyle w:val="NormalWeb"/>
        <w:spacing w:line="360" w:lineRule="auto"/>
        <w:rPr>
          <w:rFonts w:ascii="Arial" w:hAnsi="Arial" w:cs="Arial"/>
          <w:b/>
          <w:bCs/>
          <w:sz w:val="22"/>
          <w:szCs w:val="22"/>
        </w:rPr>
      </w:pPr>
      <w:r w:rsidRPr="003749F0">
        <w:rPr>
          <w:rFonts w:ascii="Arial" w:hAnsi="Arial" w:cs="Arial"/>
          <w:b/>
          <w:bCs/>
          <w:sz w:val="22"/>
          <w:szCs w:val="22"/>
        </w:rPr>
        <w:t>Lecturer: Zakkiyah Ahmed</w:t>
      </w:r>
    </w:p>
    <w:p w14:paraId="368BC22C" w14:textId="77777777" w:rsidR="003749F0" w:rsidRDefault="003749F0" w:rsidP="00925D26">
      <w:pPr>
        <w:pStyle w:val="NormalWeb"/>
        <w:spacing w:line="360" w:lineRule="auto"/>
        <w:rPr>
          <w:rFonts w:ascii="Arial" w:hAnsi="Arial" w:cs="Arial"/>
          <w:sz w:val="22"/>
          <w:szCs w:val="22"/>
        </w:rPr>
      </w:pPr>
    </w:p>
    <w:p w14:paraId="1536E0F9" w14:textId="77777777" w:rsidR="003749F0" w:rsidRDefault="003749F0" w:rsidP="00925D26">
      <w:pPr>
        <w:pStyle w:val="NormalWeb"/>
        <w:spacing w:line="360" w:lineRule="auto"/>
        <w:rPr>
          <w:rFonts w:ascii="Arial" w:hAnsi="Arial" w:cs="Arial"/>
          <w:sz w:val="22"/>
          <w:szCs w:val="22"/>
        </w:rPr>
      </w:pPr>
    </w:p>
    <w:p w14:paraId="34A2753B" w14:textId="77777777" w:rsidR="003749F0" w:rsidRDefault="003749F0" w:rsidP="00925D26">
      <w:pPr>
        <w:pStyle w:val="NormalWeb"/>
        <w:spacing w:line="360" w:lineRule="auto"/>
        <w:rPr>
          <w:rFonts w:ascii="Arial" w:hAnsi="Arial" w:cs="Arial"/>
          <w:sz w:val="22"/>
          <w:szCs w:val="22"/>
        </w:rPr>
      </w:pPr>
    </w:p>
    <w:p w14:paraId="35FD1DD5" w14:textId="77777777" w:rsidR="003749F0" w:rsidRDefault="003749F0" w:rsidP="00925D26">
      <w:pPr>
        <w:pStyle w:val="NormalWeb"/>
        <w:spacing w:line="360" w:lineRule="auto"/>
        <w:rPr>
          <w:rFonts w:ascii="Arial" w:hAnsi="Arial" w:cs="Arial"/>
          <w:sz w:val="22"/>
          <w:szCs w:val="22"/>
        </w:rPr>
      </w:pPr>
    </w:p>
    <w:p w14:paraId="01D5ED63" w14:textId="77777777" w:rsidR="003749F0" w:rsidRDefault="003749F0" w:rsidP="00925D26">
      <w:pPr>
        <w:pStyle w:val="NormalWeb"/>
        <w:spacing w:line="360" w:lineRule="auto"/>
        <w:rPr>
          <w:rFonts w:ascii="Arial" w:hAnsi="Arial" w:cs="Arial"/>
          <w:sz w:val="22"/>
          <w:szCs w:val="22"/>
        </w:rPr>
      </w:pPr>
    </w:p>
    <w:p w14:paraId="3CAFAE62" w14:textId="77777777" w:rsidR="003749F0" w:rsidRDefault="003749F0" w:rsidP="00925D26">
      <w:pPr>
        <w:pStyle w:val="NormalWeb"/>
        <w:spacing w:line="360" w:lineRule="auto"/>
        <w:rPr>
          <w:rFonts w:ascii="Arial" w:hAnsi="Arial" w:cs="Arial"/>
          <w:sz w:val="22"/>
          <w:szCs w:val="22"/>
        </w:rPr>
      </w:pPr>
    </w:p>
    <w:p w14:paraId="355E2D46" w14:textId="77777777" w:rsidR="003749F0" w:rsidRDefault="003749F0" w:rsidP="00925D26">
      <w:pPr>
        <w:pStyle w:val="NormalWeb"/>
        <w:spacing w:line="360" w:lineRule="auto"/>
        <w:rPr>
          <w:rFonts w:ascii="Arial" w:hAnsi="Arial" w:cs="Arial"/>
          <w:sz w:val="22"/>
          <w:szCs w:val="22"/>
        </w:rPr>
      </w:pPr>
    </w:p>
    <w:p w14:paraId="6813D65A" w14:textId="77777777" w:rsidR="003749F0" w:rsidRDefault="003749F0" w:rsidP="00925D26">
      <w:pPr>
        <w:pStyle w:val="NormalWeb"/>
        <w:spacing w:line="360" w:lineRule="auto"/>
        <w:rPr>
          <w:rFonts w:ascii="Arial" w:hAnsi="Arial" w:cs="Arial"/>
          <w:sz w:val="22"/>
          <w:szCs w:val="22"/>
        </w:rPr>
      </w:pPr>
    </w:p>
    <w:p w14:paraId="666BB662" w14:textId="77777777" w:rsidR="003749F0" w:rsidRDefault="003749F0" w:rsidP="00925D26">
      <w:pPr>
        <w:pStyle w:val="NormalWeb"/>
        <w:spacing w:line="360" w:lineRule="auto"/>
        <w:rPr>
          <w:rFonts w:ascii="Arial" w:hAnsi="Arial" w:cs="Arial"/>
          <w:sz w:val="22"/>
          <w:szCs w:val="22"/>
        </w:rPr>
      </w:pPr>
    </w:p>
    <w:p w14:paraId="47894783" w14:textId="77777777" w:rsidR="003749F0" w:rsidRDefault="003749F0" w:rsidP="00925D26">
      <w:pPr>
        <w:pStyle w:val="NormalWeb"/>
        <w:spacing w:line="360" w:lineRule="auto"/>
        <w:rPr>
          <w:rFonts w:ascii="Arial" w:hAnsi="Arial" w:cs="Arial"/>
          <w:sz w:val="22"/>
          <w:szCs w:val="22"/>
        </w:rPr>
      </w:pPr>
    </w:p>
    <w:p w14:paraId="44DB8195" w14:textId="77777777" w:rsidR="003749F0" w:rsidRDefault="003749F0" w:rsidP="00925D26">
      <w:pPr>
        <w:pStyle w:val="NormalWeb"/>
        <w:spacing w:line="360" w:lineRule="auto"/>
        <w:rPr>
          <w:rFonts w:ascii="Arial" w:hAnsi="Arial" w:cs="Arial"/>
          <w:sz w:val="22"/>
          <w:szCs w:val="22"/>
        </w:rPr>
      </w:pPr>
    </w:p>
    <w:p w14:paraId="0CD5226D" w14:textId="77777777" w:rsidR="003749F0" w:rsidRDefault="003749F0" w:rsidP="00925D26">
      <w:pPr>
        <w:pStyle w:val="NormalWeb"/>
        <w:spacing w:line="360" w:lineRule="auto"/>
        <w:rPr>
          <w:rFonts w:ascii="Arial" w:hAnsi="Arial" w:cs="Arial"/>
          <w:sz w:val="22"/>
          <w:szCs w:val="22"/>
        </w:rPr>
      </w:pPr>
    </w:p>
    <w:p w14:paraId="0E8EEB26" w14:textId="77777777" w:rsidR="003749F0" w:rsidRDefault="003749F0" w:rsidP="00925D26">
      <w:pPr>
        <w:pStyle w:val="NormalWeb"/>
        <w:spacing w:line="360" w:lineRule="auto"/>
        <w:rPr>
          <w:rFonts w:ascii="Arial" w:hAnsi="Arial" w:cs="Arial"/>
          <w:sz w:val="22"/>
          <w:szCs w:val="22"/>
        </w:rPr>
      </w:pPr>
    </w:p>
    <w:p w14:paraId="220B64A7" w14:textId="77777777" w:rsidR="003749F0" w:rsidRDefault="003749F0" w:rsidP="00925D26">
      <w:pPr>
        <w:pStyle w:val="NormalWeb"/>
        <w:spacing w:line="360" w:lineRule="auto"/>
        <w:rPr>
          <w:rFonts w:ascii="Arial" w:hAnsi="Arial" w:cs="Arial"/>
          <w:sz w:val="22"/>
          <w:szCs w:val="22"/>
        </w:rPr>
      </w:pPr>
    </w:p>
    <w:p w14:paraId="113D12EA" w14:textId="2B827E54" w:rsidR="009D19FE" w:rsidRPr="00925D26" w:rsidRDefault="009D19FE" w:rsidP="00925D26">
      <w:pPr>
        <w:pStyle w:val="NormalWeb"/>
        <w:spacing w:line="360" w:lineRule="auto"/>
        <w:rPr>
          <w:rFonts w:ascii="Arial" w:hAnsi="Arial" w:cs="Arial"/>
          <w:sz w:val="22"/>
          <w:szCs w:val="22"/>
        </w:rPr>
      </w:pPr>
      <w:r w:rsidRPr="00925D26">
        <w:rPr>
          <w:rFonts w:ascii="Arial" w:hAnsi="Arial" w:cs="Arial"/>
          <w:sz w:val="22"/>
          <w:szCs w:val="22"/>
        </w:rPr>
        <w:lastRenderedPageBreak/>
        <w:t xml:space="preserve">This report focuses on the analysis of two Sustainable Development Goals (SDGs): </w:t>
      </w:r>
      <w:r w:rsidRPr="00925D26">
        <w:rPr>
          <w:rStyle w:val="Strong"/>
          <w:rFonts w:ascii="Arial" w:eastAsiaTheme="majorEastAsia" w:hAnsi="Arial" w:cs="Arial"/>
          <w:b w:val="0"/>
          <w:bCs w:val="0"/>
          <w:sz w:val="22"/>
          <w:szCs w:val="22"/>
        </w:rPr>
        <w:t xml:space="preserve">SDG 3 - Good Health and </w:t>
      </w:r>
      <w:r w:rsidR="00991BBA">
        <w:rPr>
          <w:rStyle w:val="Strong"/>
          <w:rFonts w:ascii="Arial" w:eastAsiaTheme="majorEastAsia" w:hAnsi="Arial" w:cs="Arial"/>
          <w:b w:val="0"/>
          <w:bCs w:val="0"/>
          <w:sz w:val="22"/>
          <w:szCs w:val="22"/>
        </w:rPr>
        <w:t>Well-being</w:t>
      </w:r>
      <w:r w:rsidRPr="00925D26">
        <w:rPr>
          <w:rFonts w:ascii="Arial" w:hAnsi="Arial" w:cs="Arial"/>
          <w:sz w:val="22"/>
          <w:szCs w:val="22"/>
        </w:rPr>
        <w:t xml:space="preserve"> and </w:t>
      </w:r>
      <w:r w:rsidRPr="00925D26">
        <w:rPr>
          <w:rStyle w:val="Strong"/>
          <w:rFonts w:ascii="Arial" w:eastAsiaTheme="majorEastAsia" w:hAnsi="Arial" w:cs="Arial"/>
          <w:b w:val="0"/>
          <w:bCs w:val="0"/>
          <w:sz w:val="22"/>
          <w:szCs w:val="22"/>
        </w:rPr>
        <w:t>SDG 2 - Zero Hunger</w:t>
      </w:r>
      <w:r w:rsidRPr="00925D26">
        <w:rPr>
          <w:rFonts w:ascii="Arial" w:hAnsi="Arial" w:cs="Arial"/>
          <w:sz w:val="22"/>
          <w:szCs w:val="22"/>
        </w:rPr>
        <w:t xml:space="preserve">. These goals are integral to shaping the future of global development and improving </w:t>
      </w:r>
      <w:r w:rsidR="00991BBA">
        <w:rPr>
          <w:rFonts w:ascii="Arial" w:hAnsi="Arial" w:cs="Arial"/>
          <w:sz w:val="22"/>
          <w:szCs w:val="22"/>
        </w:rPr>
        <w:t xml:space="preserve">the </w:t>
      </w:r>
      <w:r w:rsidRPr="00925D26">
        <w:rPr>
          <w:rFonts w:ascii="Arial" w:hAnsi="Arial" w:cs="Arial"/>
          <w:sz w:val="22"/>
          <w:szCs w:val="22"/>
        </w:rPr>
        <w:t>quality of life worldwide. The SDGs were adopted by the United Nations in 2015 to address pressing global challenges, with health and nutrition being fundamental pillars of human development (United Nations, 2015).</w:t>
      </w:r>
    </w:p>
    <w:p w14:paraId="6F0B4D22" w14:textId="2C07F0FC" w:rsidR="009D19FE" w:rsidRPr="00925D26" w:rsidRDefault="009D19FE" w:rsidP="00925D26">
      <w:pPr>
        <w:pStyle w:val="NormalWeb"/>
        <w:spacing w:line="360" w:lineRule="auto"/>
        <w:rPr>
          <w:rFonts w:ascii="Arial" w:hAnsi="Arial" w:cs="Arial"/>
          <w:sz w:val="22"/>
          <w:szCs w:val="22"/>
        </w:rPr>
      </w:pPr>
      <w:r w:rsidRPr="00925D26">
        <w:rPr>
          <w:rFonts w:ascii="Arial" w:hAnsi="Arial" w:cs="Arial"/>
          <w:sz w:val="22"/>
          <w:szCs w:val="22"/>
        </w:rPr>
        <w:t xml:space="preserve">The purpose of this report is to explore the impact of SDG 3 and SDG 2 on health and </w:t>
      </w:r>
      <w:r w:rsidR="00991BBA">
        <w:rPr>
          <w:rFonts w:ascii="Arial" w:hAnsi="Arial" w:cs="Arial"/>
          <w:sz w:val="22"/>
          <w:szCs w:val="22"/>
        </w:rPr>
        <w:t>well-being</w:t>
      </w:r>
      <w:r w:rsidRPr="00925D26">
        <w:rPr>
          <w:rFonts w:ascii="Arial" w:hAnsi="Arial" w:cs="Arial"/>
          <w:sz w:val="22"/>
          <w:szCs w:val="22"/>
        </w:rPr>
        <w:t xml:space="preserve"> at </w:t>
      </w:r>
      <w:r w:rsidRPr="00925D26">
        <w:rPr>
          <w:rStyle w:val="Strong"/>
          <w:rFonts w:ascii="Arial" w:eastAsiaTheme="majorEastAsia" w:hAnsi="Arial" w:cs="Arial"/>
          <w:b w:val="0"/>
          <w:bCs w:val="0"/>
          <w:sz w:val="22"/>
          <w:szCs w:val="22"/>
        </w:rPr>
        <w:t>global</w:t>
      </w:r>
      <w:r w:rsidRPr="00925D26">
        <w:rPr>
          <w:rFonts w:ascii="Arial" w:hAnsi="Arial" w:cs="Arial"/>
          <w:sz w:val="22"/>
          <w:szCs w:val="22"/>
        </w:rPr>
        <w:t xml:space="preserve">, </w:t>
      </w:r>
      <w:r w:rsidRPr="00925D26">
        <w:rPr>
          <w:rStyle w:val="Strong"/>
          <w:rFonts w:ascii="Arial" w:eastAsiaTheme="majorEastAsia" w:hAnsi="Arial" w:cs="Arial"/>
          <w:b w:val="0"/>
          <w:bCs w:val="0"/>
          <w:sz w:val="22"/>
          <w:szCs w:val="22"/>
        </w:rPr>
        <w:t>national</w:t>
      </w:r>
      <w:r w:rsidRPr="00925D26">
        <w:rPr>
          <w:rFonts w:ascii="Arial" w:hAnsi="Arial" w:cs="Arial"/>
          <w:sz w:val="22"/>
          <w:szCs w:val="22"/>
        </w:rPr>
        <w:t xml:space="preserve">, and </w:t>
      </w:r>
      <w:r w:rsidRPr="00925D26">
        <w:rPr>
          <w:rStyle w:val="Strong"/>
          <w:rFonts w:ascii="Arial" w:eastAsiaTheme="majorEastAsia" w:hAnsi="Arial" w:cs="Arial"/>
          <w:b w:val="0"/>
          <w:bCs w:val="0"/>
          <w:sz w:val="22"/>
          <w:szCs w:val="22"/>
        </w:rPr>
        <w:t>local</w:t>
      </w:r>
      <w:r w:rsidRPr="00925D26">
        <w:rPr>
          <w:rFonts w:ascii="Arial" w:hAnsi="Arial" w:cs="Arial"/>
          <w:sz w:val="22"/>
          <w:szCs w:val="22"/>
        </w:rPr>
        <w:t xml:space="preserve"> levels. It will examine the policies and initiatives that support these goals, apply relevant health and nutrition theories, critically evaluate their effectiveness, and offer recommendations for further enhancement. By focusing on SDG 3 and SDG 2, the report highlights how health and food security are interrelated, and how achieving both goals can lead to improved societal well</w:t>
      </w:r>
      <w:r w:rsidR="00991BBA">
        <w:rPr>
          <w:rFonts w:ascii="Arial" w:hAnsi="Arial" w:cs="Arial"/>
          <w:sz w:val="22"/>
          <w:szCs w:val="22"/>
        </w:rPr>
        <w:t>-</w:t>
      </w:r>
      <w:r w:rsidRPr="00925D26">
        <w:rPr>
          <w:rFonts w:ascii="Arial" w:hAnsi="Arial" w:cs="Arial"/>
          <w:sz w:val="22"/>
          <w:szCs w:val="22"/>
        </w:rPr>
        <w:t>being.</w:t>
      </w:r>
    </w:p>
    <w:p w14:paraId="1F9AFF0D" w14:textId="00D85EB9" w:rsidR="009D19FE" w:rsidRPr="00925D26" w:rsidRDefault="009D19FE" w:rsidP="00925D26">
      <w:pPr>
        <w:pStyle w:val="NormalWeb"/>
        <w:spacing w:line="360" w:lineRule="auto"/>
        <w:rPr>
          <w:rFonts w:ascii="Arial" w:hAnsi="Arial" w:cs="Arial"/>
          <w:sz w:val="22"/>
          <w:szCs w:val="22"/>
        </w:rPr>
      </w:pPr>
      <w:r w:rsidRPr="00925D26">
        <w:rPr>
          <w:rFonts w:ascii="Arial" w:hAnsi="Arial" w:cs="Arial"/>
          <w:sz w:val="22"/>
          <w:szCs w:val="22"/>
        </w:rPr>
        <w:t>The structure of the report is divided into three main sections. The first section will focus on SDG 3, outlining its relevance and key global, national, and local health policies. The second section will explore SDG 2, with a similar focus on its impact on health and wellbeing. Finally, the conclusion will synthesise the findings, reflecting on the interconnections between these SDGs and their broader implications for global development and health improvement.</w:t>
      </w:r>
    </w:p>
    <w:p w14:paraId="36452453" w14:textId="654A2CF8" w:rsidR="00271416" w:rsidRPr="001A30CB" w:rsidRDefault="00271416" w:rsidP="00925D26">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1A30CB">
        <w:rPr>
          <w:rFonts w:ascii="Arial" w:eastAsia="Times New Roman" w:hAnsi="Arial" w:cs="Arial"/>
          <w:b/>
          <w:bCs/>
          <w:kern w:val="0"/>
          <w:sz w:val="22"/>
          <w:szCs w:val="22"/>
          <w:lang w:eastAsia="en-GB"/>
          <w14:ligatures w14:val="none"/>
        </w:rPr>
        <w:t xml:space="preserve">SDG 3 - Good Health and </w:t>
      </w:r>
      <w:r w:rsidR="00991BBA">
        <w:rPr>
          <w:rFonts w:ascii="Arial" w:eastAsia="Times New Roman" w:hAnsi="Arial" w:cs="Arial"/>
          <w:b/>
          <w:bCs/>
          <w:kern w:val="0"/>
          <w:sz w:val="22"/>
          <w:szCs w:val="22"/>
          <w:lang w:eastAsia="en-GB"/>
          <w14:ligatures w14:val="none"/>
        </w:rPr>
        <w:t>Well-being</w:t>
      </w:r>
    </w:p>
    <w:p w14:paraId="158F5A2C" w14:textId="77777777" w:rsidR="00271416" w:rsidRPr="001A30CB" w:rsidRDefault="00271416" w:rsidP="00925D26">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1A30CB">
        <w:rPr>
          <w:rFonts w:ascii="Arial" w:eastAsia="Times New Roman" w:hAnsi="Arial" w:cs="Arial"/>
          <w:b/>
          <w:bCs/>
          <w:kern w:val="0"/>
          <w:sz w:val="22"/>
          <w:szCs w:val="22"/>
          <w:lang w:eastAsia="en-GB"/>
          <w14:ligatures w14:val="none"/>
        </w:rPr>
        <w:t>Overview of SDG 3</w:t>
      </w:r>
    </w:p>
    <w:p w14:paraId="3783118B" w14:textId="56ABBF8E" w:rsidR="00271416" w:rsidRPr="00271416" w:rsidRDefault="00271416" w:rsidP="00925D26">
      <w:pPr>
        <w:spacing w:before="100" w:beforeAutospacing="1" w:after="100" w:afterAutospacing="1" w:line="360" w:lineRule="auto"/>
        <w:rPr>
          <w:rFonts w:ascii="Arial" w:eastAsia="Times New Roman" w:hAnsi="Arial" w:cs="Arial"/>
          <w:kern w:val="0"/>
          <w:sz w:val="22"/>
          <w:szCs w:val="22"/>
          <w:lang w:eastAsia="en-GB"/>
          <w14:ligatures w14:val="none"/>
        </w:rPr>
      </w:pPr>
      <w:r w:rsidRPr="00271416">
        <w:rPr>
          <w:rFonts w:ascii="Arial" w:eastAsia="Times New Roman" w:hAnsi="Arial" w:cs="Arial"/>
          <w:kern w:val="0"/>
          <w:sz w:val="22"/>
          <w:szCs w:val="22"/>
          <w:lang w:eastAsia="en-GB"/>
          <w14:ligatures w14:val="none"/>
        </w:rPr>
        <w:t>SDG 3, "Good Health and Well</w:t>
      </w:r>
      <w:r w:rsidR="00991BBA">
        <w:rPr>
          <w:rFonts w:ascii="Arial" w:eastAsia="Times New Roman" w:hAnsi="Arial" w:cs="Arial"/>
          <w:kern w:val="0"/>
          <w:sz w:val="22"/>
          <w:szCs w:val="22"/>
          <w:lang w:eastAsia="en-GB"/>
          <w14:ligatures w14:val="none"/>
        </w:rPr>
        <w:t>-</w:t>
      </w:r>
      <w:r w:rsidRPr="00271416">
        <w:rPr>
          <w:rFonts w:ascii="Arial" w:eastAsia="Times New Roman" w:hAnsi="Arial" w:cs="Arial"/>
          <w:kern w:val="0"/>
          <w:sz w:val="22"/>
          <w:szCs w:val="22"/>
          <w:lang w:eastAsia="en-GB"/>
          <w14:ligatures w14:val="none"/>
        </w:rPr>
        <w:t>being," is a critical goal within the United Nations' 2030 Agenda for Sustainable Development. Its aim is to ensure healthy lives and promote wellbeing for all at all ages (United Nations, 2015). The goal addresses a wide spectrum of health challenges, including reducing maternal and child mortality, combating infectious diseases, and promoting mental health (WHO, 2020). A central element of SDG 3 is universal health coverage (UHC), which strives to guarantee that everyone, everywhere has access to essential healthcare services (Atun et al., 2015). The goal also targets broader health determinants such as nutrition, sanitation, and education, acknowledging that health is influenced by social and environmental factors (Marmot, 2017).</w:t>
      </w:r>
    </w:p>
    <w:p w14:paraId="3A44C6E1" w14:textId="77777777" w:rsidR="00271416" w:rsidRPr="00271416" w:rsidRDefault="00271416" w:rsidP="00925D26">
      <w:pPr>
        <w:spacing w:before="100" w:beforeAutospacing="1" w:after="100" w:afterAutospacing="1" w:line="360" w:lineRule="auto"/>
        <w:rPr>
          <w:rFonts w:ascii="Arial" w:eastAsia="Times New Roman" w:hAnsi="Arial" w:cs="Arial"/>
          <w:kern w:val="0"/>
          <w:sz w:val="22"/>
          <w:szCs w:val="22"/>
          <w:lang w:eastAsia="en-GB"/>
          <w14:ligatures w14:val="none"/>
        </w:rPr>
      </w:pPr>
      <w:r w:rsidRPr="00271416">
        <w:rPr>
          <w:rFonts w:ascii="Arial" w:eastAsia="Times New Roman" w:hAnsi="Arial" w:cs="Arial"/>
          <w:kern w:val="0"/>
          <w:sz w:val="22"/>
          <w:szCs w:val="22"/>
          <w:lang w:eastAsia="en-GB"/>
          <w14:ligatures w14:val="none"/>
        </w:rPr>
        <w:t xml:space="preserve">SDG 3 includes targets focused on reducing premature deaths from communicable diseases like HIV/AIDS, tuberculosis, and malaria, as well as non-communicable diseases (NCDs) such as heart disease and diabetes (United Nations, 2015). It also aims to improve access to sexual and reproductive health services and to enhance mental health support (WHO, </w:t>
      </w:r>
      <w:r w:rsidRPr="00271416">
        <w:rPr>
          <w:rFonts w:ascii="Arial" w:eastAsia="Times New Roman" w:hAnsi="Arial" w:cs="Arial"/>
          <w:kern w:val="0"/>
          <w:sz w:val="22"/>
          <w:szCs w:val="22"/>
          <w:lang w:eastAsia="en-GB"/>
          <w14:ligatures w14:val="none"/>
        </w:rPr>
        <w:lastRenderedPageBreak/>
        <w:t>2020). The goal is to ensure health equity, ensuring that all people, regardless of their background, have the opportunity to live healthy lives (WHO, 2020).</w:t>
      </w:r>
    </w:p>
    <w:p w14:paraId="7B8E8737" w14:textId="77777777" w:rsidR="00271416" w:rsidRPr="00271416" w:rsidRDefault="00271416" w:rsidP="00925D26">
      <w:pPr>
        <w:spacing w:before="100" w:beforeAutospacing="1" w:after="100" w:afterAutospacing="1" w:line="360" w:lineRule="auto"/>
        <w:rPr>
          <w:rFonts w:ascii="Arial" w:eastAsia="Times New Roman" w:hAnsi="Arial" w:cs="Arial"/>
          <w:kern w:val="0"/>
          <w:sz w:val="22"/>
          <w:szCs w:val="22"/>
          <w:u w:val="single"/>
          <w:lang w:eastAsia="en-GB"/>
          <w14:ligatures w14:val="none"/>
        </w:rPr>
      </w:pPr>
      <w:r w:rsidRPr="00271416">
        <w:rPr>
          <w:rFonts w:ascii="Arial" w:eastAsia="Times New Roman" w:hAnsi="Arial" w:cs="Arial"/>
          <w:kern w:val="0"/>
          <w:sz w:val="22"/>
          <w:szCs w:val="22"/>
          <w:u w:val="single"/>
          <w:lang w:eastAsia="en-GB"/>
          <w14:ligatures w14:val="none"/>
        </w:rPr>
        <w:t>Global, National, and Local Policies and Initiatives</w:t>
      </w:r>
    </w:p>
    <w:p w14:paraId="25E65540" w14:textId="47EEF4CD" w:rsidR="00271416" w:rsidRPr="00271416" w:rsidRDefault="00271416" w:rsidP="00925D26">
      <w:pPr>
        <w:spacing w:before="100" w:beforeAutospacing="1" w:after="100" w:afterAutospacing="1" w:line="360" w:lineRule="auto"/>
        <w:rPr>
          <w:rFonts w:ascii="Arial" w:eastAsia="Times New Roman" w:hAnsi="Arial" w:cs="Arial"/>
          <w:kern w:val="0"/>
          <w:sz w:val="22"/>
          <w:szCs w:val="22"/>
          <w:lang w:eastAsia="en-GB"/>
          <w14:ligatures w14:val="none"/>
        </w:rPr>
      </w:pPr>
      <w:r w:rsidRPr="00271416">
        <w:rPr>
          <w:rFonts w:ascii="Arial" w:eastAsia="Times New Roman" w:hAnsi="Arial" w:cs="Arial"/>
          <w:kern w:val="0"/>
          <w:sz w:val="22"/>
          <w:szCs w:val="22"/>
          <w:lang w:eastAsia="en-GB"/>
          <w14:ligatures w14:val="none"/>
        </w:rPr>
        <w:t>The World Health Organi</w:t>
      </w:r>
      <w:r w:rsidR="00773FD5" w:rsidRPr="00925D26">
        <w:rPr>
          <w:rFonts w:ascii="Arial" w:eastAsia="Times New Roman" w:hAnsi="Arial" w:cs="Arial"/>
          <w:kern w:val="0"/>
          <w:sz w:val="22"/>
          <w:szCs w:val="22"/>
          <w:lang w:eastAsia="en-GB"/>
          <w14:ligatures w14:val="none"/>
        </w:rPr>
        <w:t>s</w:t>
      </w:r>
      <w:r w:rsidRPr="00271416">
        <w:rPr>
          <w:rFonts w:ascii="Arial" w:eastAsia="Times New Roman" w:hAnsi="Arial" w:cs="Arial"/>
          <w:kern w:val="0"/>
          <w:sz w:val="22"/>
          <w:szCs w:val="22"/>
          <w:lang w:eastAsia="en-GB"/>
          <w14:ligatures w14:val="none"/>
        </w:rPr>
        <w:t>ation (WHO) is the lead agency driving the global agenda for SDG 3. WHO’s Global Health Strategy provides technical support to countries in strengthening health systems and achieving universal health coverage (WHO, 2020). One of the WHO’s key initiatives is the Global Fund to Fight AIDS, Tuberculosis, and Malaria, which has made significant progress in combating infectious diseases globally (Global Fund, 2020). Another important initiative is the Global Health Workforce Alliance, which focuses on expanding the global healthcare workforce, essential for delivering UHC (WHO, 2020).</w:t>
      </w:r>
    </w:p>
    <w:p w14:paraId="10612CEE" w14:textId="402EBD13" w:rsidR="00271416" w:rsidRPr="00271416" w:rsidRDefault="00271416" w:rsidP="00925D26">
      <w:pPr>
        <w:spacing w:before="100" w:beforeAutospacing="1" w:after="100" w:afterAutospacing="1" w:line="360" w:lineRule="auto"/>
        <w:rPr>
          <w:rFonts w:ascii="Arial" w:eastAsia="Times New Roman" w:hAnsi="Arial" w:cs="Arial"/>
          <w:kern w:val="0"/>
          <w:sz w:val="22"/>
          <w:szCs w:val="22"/>
          <w:lang w:eastAsia="en-GB"/>
          <w14:ligatures w14:val="none"/>
        </w:rPr>
      </w:pPr>
      <w:r w:rsidRPr="00271416">
        <w:rPr>
          <w:rFonts w:ascii="Arial" w:eastAsia="Times New Roman" w:hAnsi="Arial" w:cs="Arial"/>
          <w:kern w:val="0"/>
          <w:sz w:val="22"/>
          <w:szCs w:val="22"/>
          <w:lang w:eastAsia="en-GB"/>
          <w14:ligatures w14:val="none"/>
        </w:rPr>
        <w:t>At the national level, the United Kingdom have made significant strides with their National Health Service (NHS), which offers publicly funded healthcare free at the point of delivery (Klein, 2013). This model of comprehensive healthcare for all citizens has been widely praised as a successful implementation of UHC and is a model for other nations aiming to expand health coverage (Klein, 2013). In India, the Ayushman Bharat program has made progress in providing healthcare insurance to low-income families, thus expanding healthcare access to underserved populations (National Health Authority, 2018). These national policies align with SDG 3’s targets of reducing health inequalities.</w:t>
      </w:r>
    </w:p>
    <w:p w14:paraId="7B054E2B" w14:textId="32E3DFAF" w:rsidR="00271416" w:rsidRPr="00271416" w:rsidRDefault="00271416" w:rsidP="00925D26">
      <w:pPr>
        <w:spacing w:before="100" w:beforeAutospacing="1" w:after="100" w:afterAutospacing="1" w:line="360" w:lineRule="auto"/>
        <w:rPr>
          <w:rFonts w:ascii="Arial" w:eastAsia="Times New Roman" w:hAnsi="Arial" w:cs="Arial"/>
          <w:kern w:val="0"/>
          <w:sz w:val="22"/>
          <w:szCs w:val="22"/>
          <w:lang w:eastAsia="en-GB"/>
          <w14:ligatures w14:val="none"/>
        </w:rPr>
      </w:pPr>
      <w:r w:rsidRPr="00271416">
        <w:rPr>
          <w:rFonts w:ascii="Arial" w:eastAsia="Times New Roman" w:hAnsi="Arial" w:cs="Arial"/>
          <w:kern w:val="0"/>
          <w:sz w:val="22"/>
          <w:szCs w:val="22"/>
          <w:lang w:eastAsia="en-GB"/>
          <w14:ligatures w14:val="none"/>
        </w:rPr>
        <w:t>Locally, mobile health clinics have been implemented in many rural and remote areas to improve healthcare accessibility. These clinics provide essential services such as immuni</w:t>
      </w:r>
      <w:r w:rsidR="00833317">
        <w:rPr>
          <w:rFonts w:ascii="Arial" w:eastAsia="Times New Roman" w:hAnsi="Arial" w:cs="Arial"/>
          <w:kern w:val="0"/>
          <w:sz w:val="22"/>
          <w:szCs w:val="22"/>
          <w:lang w:eastAsia="en-GB"/>
          <w14:ligatures w14:val="none"/>
        </w:rPr>
        <w:t>s</w:t>
      </w:r>
      <w:r w:rsidRPr="00271416">
        <w:rPr>
          <w:rFonts w:ascii="Arial" w:eastAsia="Times New Roman" w:hAnsi="Arial" w:cs="Arial"/>
          <w:kern w:val="0"/>
          <w:sz w:val="22"/>
          <w:szCs w:val="22"/>
          <w:lang w:eastAsia="en-GB"/>
          <w14:ligatures w14:val="none"/>
        </w:rPr>
        <w:t>ations, maternal healthcare, and disease screening (Muller et al., 2015). Community-driven initiatives also focus on health education campaigns about clean water, sanitation, and nutrition, which are vital for improving public health and contributing to SDG 3’s broader targets (Patel et al., 2017).</w:t>
      </w:r>
    </w:p>
    <w:p w14:paraId="1594D22B" w14:textId="77777777" w:rsidR="00271416" w:rsidRPr="00925D26" w:rsidRDefault="00271416" w:rsidP="00925D26">
      <w:pPr>
        <w:spacing w:before="100" w:beforeAutospacing="1" w:after="100" w:afterAutospacing="1" w:line="360" w:lineRule="auto"/>
        <w:rPr>
          <w:rFonts w:ascii="Arial" w:eastAsia="Times New Roman" w:hAnsi="Arial" w:cs="Arial"/>
          <w:kern w:val="0"/>
          <w:sz w:val="22"/>
          <w:szCs w:val="22"/>
          <w:u w:val="single"/>
          <w:lang w:eastAsia="en-GB"/>
          <w14:ligatures w14:val="none"/>
        </w:rPr>
      </w:pPr>
      <w:r w:rsidRPr="00271416">
        <w:rPr>
          <w:rFonts w:ascii="Arial" w:eastAsia="Times New Roman" w:hAnsi="Arial" w:cs="Arial"/>
          <w:kern w:val="0"/>
          <w:sz w:val="22"/>
          <w:szCs w:val="22"/>
          <w:u w:val="single"/>
          <w:lang w:eastAsia="en-GB"/>
          <w14:ligatures w14:val="none"/>
        </w:rPr>
        <w:t>Use of Health Theories</w:t>
      </w:r>
    </w:p>
    <w:p w14:paraId="606F8590" w14:textId="5ECE3B7E" w:rsidR="00773FD5" w:rsidRPr="00271416" w:rsidRDefault="00773FD5" w:rsidP="00925D26">
      <w:pPr>
        <w:spacing w:before="100" w:beforeAutospacing="1" w:after="100" w:afterAutospacing="1" w:line="360" w:lineRule="auto"/>
        <w:rPr>
          <w:rFonts w:ascii="Arial" w:eastAsia="Times New Roman" w:hAnsi="Arial" w:cs="Arial"/>
          <w:kern w:val="0"/>
          <w:sz w:val="22"/>
          <w:szCs w:val="22"/>
          <w:lang w:eastAsia="en-GB"/>
          <w14:ligatures w14:val="none"/>
        </w:rPr>
      </w:pPr>
      <w:r w:rsidRPr="00925D26">
        <w:rPr>
          <w:rFonts w:ascii="Arial" w:hAnsi="Arial" w:cs="Arial"/>
          <w:sz w:val="22"/>
          <w:szCs w:val="22"/>
        </w:rPr>
        <w:t xml:space="preserve">Health promotion theories are essential for achieving SDG 3. The </w:t>
      </w:r>
      <w:r w:rsidRPr="00925D26">
        <w:rPr>
          <w:rStyle w:val="Strong"/>
          <w:rFonts w:ascii="Arial" w:hAnsi="Arial" w:cs="Arial"/>
          <w:b w:val="0"/>
          <w:bCs w:val="0"/>
          <w:sz w:val="22"/>
          <w:szCs w:val="22"/>
        </w:rPr>
        <w:t>Social Ecological Model</w:t>
      </w:r>
      <w:r w:rsidRPr="00925D26">
        <w:rPr>
          <w:rFonts w:ascii="Arial" w:hAnsi="Arial" w:cs="Arial"/>
          <w:sz w:val="22"/>
          <w:szCs w:val="22"/>
        </w:rPr>
        <w:t xml:space="preserve"> (Bronfenbrenner, 1979) explains how multiple levels of influence</w:t>
      </w:r>
      <w:r w:rsidR="00053955">
        <w:rPr>
          <w:rFonts w:ascii="Arial" w:hAnsi="Arial" w:cs="Arial"/>
          <w:sz w:val="22"/>
          <w:szCs w:val="22"/>
        </w:rPr>
        <w:t>,</w:t>
      </w:r>
      <w:r w:rsidRPr="00925D26">
        <w:rPr>
          <w:rFonts w:ascii="Arial" w:hAnsi="Arial" w:cs="Arial"/>
          <w:sz w:val="22"/>
          <w:szCs w:val="22"/>
        </w:rPr>
        <w:t xml:space="preserve"> individual, social, environmental, and policy</w:t>
      </w:r>
      <w:r w:rsidR="00053955">
        <w:rPr>
          <w:rFonts w:ascii="Arial" w:hAnsi="Arial" w:cs="Arial"/>
          <w:sz w:val="22"/>
          <w:szCs w:val="22"/>
        </w:rPr>
        <w:t>,</w:t>
      </w:r>
      <w:r w:rsidRPr="00925D26">
        <w:rPr>
          <w:rFonts w:ascii="Arial" w:hAnsi="Arial" w:cs="Arial"/>
          <w:sz w:val="22"/>
          <w:szCs w:val="22"/>
        </w:rPr>
        <w:t xml:space="preserve"> affect health. It highlights that interventions must address not only individual behaviours but also broader societal factors, such as education, healthcare access, and social support (Bronfenbrenner, 1979). The </w:t>
      </w:r>
      <w:r w:rsidRPr="00925D26">
        <w:rPr>
          <w:rStyle w:val="Strong"/>
          <w:rFonts w:ascii="Arial" w:hAnsi="Arial" w:cs="Arial"/>
          <w:b w:val="0"/>
          <w:bCs w:val="0"/>
          <w:sz w:val="22"/>
          <w:szCs w:val="22"/>
        </w:rPr>
        <w:t>Health Belief Model</w:t>
      </w:r>
      <w:r w:rsidRPr="00925D26">
        <w:rPr>
          <w:rFonts w:ascii="Arial" w:hAnsi="Arial" w:cs="Arial"/>
          <w:sz w:val="22"/>
          <w:szCs w:val="22"/>
        </w:rPr>
        <w:t xml:space="preserve"> (Rosenstock, 1974) suggests that people are more likely to engage in health-promoting behaviours when they perceive a health threat, believe in the effectiveness of actions (like vaccination), and </w:t>
      </w:r>
      <w:r w:rsidRPr="00925D26">
        <w:rPr>
          <w:rFonts w:ascii="Arial" w:hAnsi="Arial" w:cs="Arial"/>
          <w:sz w:val="22"/>
          <w:szCs w:val="22"/>
        </w:rPr>
        <w:lastRenderedPageBreak/>
        <w:t xml:space="preserve">feel capable of making changes (self-efficacy). This model is valuable for shaping public health messaging, particularly for vaccination and disease prevention (Rosenstock, 1974). The </w:t>
      </w:r>
      <w:r w:rsidRPr="00925D26">
        <w:rPr>
          <w:rStyle w:val="Strong"/>
          <w:rFonts w:ascii="Arial" w:hAnsi="Arial" w:cs="Arial"/>
          <w:b w:val="0"/>
          <w:bCs w:val="0"/>
          <w:sz w:val="22"/>
          <w:szCs w:val="22"/>
        </w:rPr>
        <w:t>Social Determinants of Health (SDH)</w:t>
      </w:r>
      <w:r w:rsidRPr="00925D26">
        <w:rPr>
          <w:rFonts w:ascii="Arial" w:hAnsi="Arial" w:cs="Arial"/>
          <w:sz w:val="22"/>
          <w:szCs w:val="22"/>
        </w:rPr>
        <w:t xml:space="preserve"> framework emphasises that factors like income, education, and living conditions significantly impact health outcomes. Addressing these determinants through policies that improve education, housing, and social protection is key to reducing health inequities (Marmot, 2017).</w:t>
      </w:r>
    </w:p>
    <w:p w14:paraId="5D11C015" w14:textId="77777777" w:rsidR="00271416" w:rsidRPr="00271416" w:rsidRDefault="00271416" w:rsidP="00925D26">
      <w:pPr>
        <w:spacing w:before="100" w:beforeAutospacing="1" w:after="100" w:afterAutospacing="1" w:line="360" w:lineRule="auto"/>
        <w:rPr>
          <w:rFonts w:ascii="Arial" w:eastAsia="Times New Roman" w:hAnsi="Arial" w:cs="Arial"/>
          <w:kern w:val="0"/>
          <w:sz w:val="22"/>
          <w:szCs w:val="22"/>
          <w:u w:val="single"/>
          <w:lang w:eastAsia="en-GB"/>
          <w14:ligatures w14:val="none"/>
        </w:rPr>
      </w:pPr>
      <w:r w:rsidRPr="00271416">
        <w:rPr>
          <w:rFonts w:ascii="Arial" w:eastAsia="Times New Roman" w:hAnsi="Arial" w:cs="Arial"/>
          <w:kern w:val="0"/>
          <w:sz w:val="22"/>
          <w:szCs w:val="22"/>
          <w:u w:val="single"/>
          <w:lang w:eastAsia="en-GB"/>
          <w14:ligatures w14:val="none"/>
        </w:rPr>
        <w:t>Critical Evaluation of Policies and Initiatives</w:t>
      </w:r>
    </w:p>
    <w:p w14:paraId="0D02CFCE" w14:textId="0052540A" w:rsidR="00271416" w:rsidRPr="00271416" w:rsidRDefault="00271416" w:rsidP="00925D26">
      <w:pPr>
        <w:spacing w:before="100" w:beforeAutospacing="1" w:after="100" w:afterAutospacing="1" w:line="360" w:lineRule="auto"/>
        <w:rPr>
          <w:rFonts w:ascii="Arial" w:eastAsia="Times New Roman" w:hAnsi="Arial" w:cs="Arial"/>
          <w:kern w:val="0"/>
          <w:sz w:val="22"/>
          <w:szCs w:val="22"/>
          <w:lang w:eastAsia="en-GB"/>
          <w14:ligatures w14:val="none"/>
        </w:rPr>
      </w:pPr>
      <w:r w:rsidRPr="00271416">
        <w:rPr>
          <w:rFonts w:ascii="Arial" w:eastAsia="Times New Roman" w:hAnsi="Arial" w:cs="Arial"/>
          <w:kern w:val="0"/>
          <w:sz w:val="22"/>
          <w:szCs w:val="22"/>
          <w:lang w:eastAsia="en-GB"/>
          <w14:ligatures w14:val="none"/>
        </w:rPr>
        <w:t>While global efforts to achieve SDG 3 have led to improvements in life expectancy and disease prevention, challenges persist. One major issue is the continued health inequities, especially in low-income and conflict-affected areas. The COVID-19 pandemic underscored these disparities, with marginali</w:t>
      </w:r>
      <w:r w:rsidR="00773FD5" w:rsidRPr="00925D26">
        <w:rPr>
          <w:rFonts w:ascii="Arial" w:eastAsia="Times New Roman" w:hAnsi="Arial" w:cs="Arial"/>
          <w:kern w:val="0"/>
          <w:sz w:val="22"/>
          <w:szCs w:val="22"/>
          <w:lang w:eastAsia="en-GB"/>
          <w14:ligatures w14:val="none"/>
        </w:rPr>
        <w:t>s</w:t>
      </w:r>
      <w:r w:rsidRPr="00271416">
        <w:rPr>
          <w:rFonts w:ascii="Arial" w:eastAsia="Times New Roman" w:hAnsi="Arial" w:cs="Arial"/>
          <w:kern w:val="0"/>
          <w:sz w:val="22"/>
          <w:szCs w:val="22"/>
          <w:lang w:eastAsia="en-GB"/>
          <w14:ligatures w14:val="none"/>
        </w:rPr>
        <w:t>ed populations suffering disproportionately from both the direct effects of the virus and the indirect impacts such as economic hardships and reduced healthcare access (WHO, 2020). In sub-Saharan Africa, many countries still face insufficient healthcare infrastructure and limited access to trained medical professionals (Kieny et al., 2017).</w:t>
      </w:r>
    </w:p>
    <w:p w14:paraId="3FEAD413" w14:textId="18947506" w:rsidR="00271416" w:rsidRPr="00271416" w:rsidRDefault="00271416" w:rsidP="00925D26">
      <w:pPr>
        <w:spacing w:before="100" w:beforeAutospacing="1" w:after="100" w:afterAutospacing="1" w:line="360" w:lineRule="auto"/>
        <w:rPr>
          <w:rFonts w:ascii="Arial" w:eastAsia="Times New Roman" w:hAnsi="Arial" w:cs="Arial"/>
          <w:kern w:val="0"/>
          <w:sz w:val="22"/>
          <w:szCs w:val="22"/>
          <w:lang w:eastAsia="en-GB"/>
          <w14:ligatures w14:val="none"/>
        </w:rPr>
      </w:pPr>
      <w:r w:rsidRPr="00271416">
        <w:rPr>
          <w:rFonts w:ascii="Arial" w:eastAsia="Times New Roman" w:hAnsi="Arial" w:cs="Arial"/>
          <w:kern w:val="0"/>
          <w:sz w:val="22"/>
          <w:szCs w:val="22"/>
          <w:lang w:eastAsia="en-GB"/>
          <w14:ligatures w14:val="none"/>
        </w:rPr>
        <w:t xml:space="preserve">Moreover, the rising prevalence of non-communicable diseases (NCDs), including obesity, cardiovascular diseases, and diabetes, presents a significant challenge. These conditions are linked to lifestyle factors such as poor diet, lack of physical activity, and smoking, all of which are influenced by broader social determinants of health (Marmot, 2017). Tackling these conditions requires multi-sectoral approaches that go beyond healthcare systems, addressing the root causes of unhealthy </w:t>
      </w:r>
      <w:r w:rsidR="002D61D0" w:rsidRPr="00271416">
        <w:rPr>
          <w:rFonts w:ascii="Arial" w:eastAsia="Times New Roman" w:hAnsi="Arial" w:cs="Arial"/>
          <w:kern w:val="0"/>
          <w:sz w:val="22"/>
          <w:szCs w:val="22"/>
          <w:lang w:eastAsia="en-GB"/>
          <w14:ligatures w14:val="none"/>
        </w:rPr>
        <w:t>behaviours</w:t>
      </w:r>
      <w:r w:rsidRPr="00271416">
        <w:rPr>
          <w:rFonts w:ascii="Arial" w:eastAsia="Times New Roman" w:hAnsi="Arial" w:cs="Arial"/>
          <w:kern w:val="0"/>
          <w:sz w:val="22"/>
          <w:szCs w:val="22"/>
          <w:lang w:eastAsia="en-GB"/>
          <w14:ligatures w14:val="none"/>
        </w:rPr>
        <w:t xml:space="preserve"> through education, policy regulation, and environmental changes (WHO, 2020).</w:t>
      </w:r>
    </w:p>
    <w:p w14:paraId="2ED6A642" w14:textId="77777777" w:rsidR="00271416" w:rsidRPr="00271416" w:rsidRDefault="00271416" w:rsidP="00925D26">
      <w:pPr>
        <w:spacing w:before="100" w:beforeAutospacing="1" w:after="100" w:afterAutospacing="1" w:line="360" w:lineRule="auto"/>
        <w:rPr>
          <w:rFonts w:ascii="Arial" w:eastAsia="Times New Roman" w:hAnsi="Arial" w:cs="Arial"/>
          <w:kern w:val="0"/>
          <w:sz w:val="22"/>
          <w:szCs w:val="22"/>
          <w:u w:val="single"/>
          <w:lang w:eastAsia="en-GB"/>
          <w14:ligatures w14:val="none"/>
        </w:rPr>
      </w:pPr>
      <w:r w:rsidRPr="00271416">
        <w:rPr>
          <w:rFonts w:ascii="Arial" w:eastAsia="Times New Roman" w:hAnsi="Arial" w:cs="Arial"/>
          <w:kern w:val="0"/>
          <w:sz w:val="22"/>
          <w:szCs w:val="22"/>
          <w:u w:val="single"/>
          <w:lang w:eastAsia="en-GB"/>
          <w14:ligatures w14:val="none"/>
        </w:rPr>
        <w:t>Recommendations</w:t>
      </w:r>
    </w:p>
    <w:p w14:paraId="391BD3F7" w14:textId="77777777" w:rsidR="00773FD5" w:rsidRPr="00925D26" w:rsidRDefault="00773FD5" w:rsidP="00925D26">
      <w:pPr>
        <w:pStyle w:val="NormalWeb"/>
        <w:spacing w:line="360" w:lineRule="auto"/>
        <w:rPr>
          <w:rFonts w:ascii="Arial" w:hAnsi="Arial" w:cs="Arial"/>
          <w:sz w:val="22"/>
          <w:szCs w:val="22"/>
        </w:rPr>
      </w:pPr>
      <w:r w:rsidRPr="00925D26">
        <w:rPr>
          <w:rFonts w:ascii="Arial" w:hAnsi="Arial" w:cs="Arial"/>
          <w:sz w:val="22"/>
          <w:szCs w:val="22"/>
        </w:rPr>
        <w:t>To enhance SDG 3, the following recommendations are proposed:</w:t>
      </w:r>
    </w:p>
    <w:p w14:paraId="7B9F7AC0" w14:textId="77777777" w:rsidR="00773FD5" w:rsidRPr="00925D26" w:rsidRDefault="00773FD5" w:rsidP="00925D26">
      <w:pPr>
        <w:pStyle w:val="NormalWeb"/>
        <w:numPr>
          <w:ilvl w:val="0"/>
          <w:numId w:val="4"/>
        </w:numPr>
        <w:spacing w:line="360" w:lineRule="auto"/>
        <w:rPr>
          <w:rFonts w:ascii="Arial" w:hAnsi="Arial" w:cs="Arial"/>
          <w:sz w:val="22"/>
          <w:szCs w:val="22"/>
        </w:rPr>
      </w:pPr>
      <w:r w:rsidRPr="00925D26">
        <w:rPr>
          <w:rStyle w:val="Strong"/>
          <w:rFonts w:ascii="Arial" w:eastAsiaTheme="majorEastAsia" w:hAnsi="Arial" w:cs="Arial"/>
          <w:b w:val="0"/>
          <w:bCs w:val="0"/>
          <w:sz w:val="22"/>
          <w:szCs w:val="22"/>
        </w:rPr>
        <w:t>Strengthen healthcare systems</w:t>
      </w:r>
      <w:r w:rsidRPr="00925D26">
        <w:rPr>
          <w:rFonts w:ascii="Arial" w:hAnsi="Arial" w:cs="Arial"/>
          <w:sz w:val="22"/>
          <w:szCs w:val="22"/>
        </w:rPr>
        <w:t xml:space="preserve"> by investing in infrastructure, healthcare workers, and access to medicines, especially in underserved areas (Ghebreyesus, 2019).</w:t>
      </w:r>
    </w:p>
    <w:p w14:paraId="303517A7" w14:textId="77777777" w:rsidR="00773FD5" w:rsidRPr="00925D26" w:rsidRDefault="00773FD5" w:rsidP="00925D26">
      <w:pPr>
        <w:pStyle w:val="NormalWeb"/>
        <w:numPr>
          <w:ilvl w:val="0"/>
          <w:numId w:val="4"/>
        </w:numPr>
        <w:spacing w:line="360" w:lineRule="auto"/>
        <w:rPr>
          <w:rFonts w:ascii="Arial" w:hAnsi="Arial" w:cs="Arial"/>
          <w:sz w:val="22"/>
          <w:szCs w:val="22"/>
        </w:rPr>
      </w:pPr>
      <w:r w:rsidRPr="00925D26">
        <w:rPr>
          <w:rStyle w:val="Strong"/>
          <w:rFonts w:ascii="Arial" w:eastAsiaTheme="majorEastAsia" w:hAnsi="Arial" w:cs="Arial"/>
          <w:b w:val="0"/>
          <w:bCs w:val="0"/>
          <w:sz w:val="22"/>
          <w:szCs w:val="22"/>
        </w:rPr>
        <w:t>Promote health education</w:t>
      </w:r>
      <w:r w:rsidRPr="00925D26">
        <w:rPr>
          <w:rFonts w:ascii="Arial" w:hAnsi="Arial" w:cs="Arial"/>
          <w:sz w:val="22"/>
          <w:szCs w:val="22"/>
        </w:rPr>
        <w:t xml:space="preserve"> through campaigns focused on prevention, vaccination, and healthy lifestyles, using models like the Health Belief Model (Rosenstock, 1974).</w:t>
      </w:r>
    </w:p>
    <w:p w14:paraId="7FD93DE7" w14:textId="77777777" w:rsidR="00773FD5" w:rsidRPr="00925D26" w:rsidRDefault="00773FD5" w:rsidP="00925D26">
      <w:pPr>
        <w:pStyle w:val="NormalWeb"/>
        <w:numPr>
          <w:ilvl w:val="0"/>
          <w:numId w:val="4"/>
        </w:numPr>
        <w:spacing w:line="360" w:lineRule="auto"/>
        <w:rPr>
          <w:rFonts w:ascii="Arial" w:hAnsi="Arial" w:cs="Arial"/>
          <w:sz w:val="22"/>
          <w:szCs w:val="22"/>
        </w:rPr>
      </w:pPr>
      <w:r w:rsidRPr="00925D26">
        <w:rPr>
          <w:rStyle w:val="Strong"/>
          <w:rFonts w:ascii="Arial" w:eastAsiaTheme="majorEastAsia" w:hAnsi="Arial" w:cs="Arial"/>
          <w:b w:val="0"/>
          <w:bCs w:val="0"/>
          <w:sz w:val="22"/>
          <w:szCs w:val="22"/>
        </w:rPr>
        <w:t>Address social determinants of health</w:t>
      </w:r>
      <w:r w:rsidRPr="00925D26">
        <w:rPr>
          <w:rFonts w:ascii="Arial" w:hAnsi="Arial" w:cs="Arial"/>
          <w:sz w:val="22"/>
          <w:szCs w:val="22"/>
        </w:rPr>
        <w:t>, focusing on education, housing, and income inequality (Marmot, 2017).</w:t>
      </w:r>
    </w:p>
    <w:p w14:paraId="4C28B7C2" w14:textId="77777777" w:rsidR="00773FD5" w:rsidRPr="00925D26" w:rsidRDefault="00773FD5" w:rsidP="00925D26">
      <w:pPr>
        <w:pStyle w:val="NormalWeb"/>
        <w:numPr>
          <w:ilvl w:val="0"/>
          <w:numId w:val="4"/>
        </w:numPr>
        <w:spacing w:line="360" w:lineRule="auto"/>
        <w:rPr>
          <w:rFonts w:ascii="Arial" w:hAnsi="Arial" w:cs="Arial"/>
          <w:sz w:val="22"/>
          <w:szCs w:val="22"/>
        </w:rPr>
      </w:pPr>
      <w:r w:rsidRPr="00925D26">
        <w:rPr>
          <w:rStyle w:val="Strong"/>
          <w:rFonts w:ascii="Arial" w:eastAsiaTheme="majorEastAsia" w:hAnsi="Arial" w:cs="Arial"/>
          <w:b w:val="0"/>
          <w:bCs w:val="0"/>
          <w:sz w:val="22"/>
          <w:szCs w:val="22"/>
        </w:rPr>
        <w:t>Prevent non-communicable diseases</w:t>
      </w:r>
      <w:r w:rsidRPr="00925D26">
        <w:rPr>
          <w:rFonts w:ascii="Arial" w:hAnsi="Arial" w:cs="Arial"/>
          <w:sz w:val="22"/>
          <w:szCs w:val="22"/>
        </w:rPr>
        <w:t xml:space="preserve"> by encouraging healthier diets, physical activity, and regulating tobacco and alcohol (WHO, 2020).</w:t>
      </w:r>
    </w:p>
    <w:p w14:paraId="511E7C98" w14:textId="77777777" w:rsidR="00773FD5" w:rsidRPr="00925D26" w:rsidRDefault="00773FD5" w:rsidP="00925D26">
      <w:pPr>
        <w:pStyle w:val="NormalWeb"/>
        <w:numPr>
          <w:ilvl w:val="0"/>
          <w:numId w:val="4"/>
        </w:numPr>
        <w:spacing w:line="360" w:lineRule="auto"/>
        <w:rPr>
          <w:rFonts w:ascii="Arial" w:hAnsi="Arial" w:cs="Arial"/>
          <w:sz w:val="22"/>
          <w:szCs w:val="22"/>
        </w:rPr>
      </w:pPr>
      <w:r w:rsidRPr="00925D26">
        <w:rPr>
          <w:rStyle w:val="Strong"/>
          <w:rFonts w:ascii="Arial" w:eastAsiaTheme="majorEastAsia" w:hAnsi="Arial" w:cs="Arial"/>
          <w:b w:val="0"/>
          <w:bCs w:val="0"/>
          <w:sz w:val="22"/>
          <w:szCs w:val="22"/>
        </w:rPr>
        <w:lastRenderedPageBreak/>
        <w:t>Achieve Universal Health Coverage</w:t>
      </w:r>
      <w:r w:rsidRPr="00925D26">
        <w:rPr>
          <w:rFonts w:ascii="Arial" w:hAnsi="Arial" w:cs="Arial"/>
          <w:sz w:val="22"/>
          <w:szCs w:val="22"/>
        </w:rPr>
        <w:t xml:space="preserve"> by expanding health insurance and ensuring access to essential services for all (Atun et al., 2015).</w:t>
      </w:r>
    </w:p>
    <w:p w14:paraId="21FF776B" w14:textId="0D0320A2" w:rsidR="00730050" w:rsidRPr="00730050" w:rsidRDefault="00730050" w:rsidP="00925D26">
      <w:pPr>
        <w:spacing w:before="100" w:beforeAutospacing="1" w:after="100" w:afterAutospacing="1" w:line="360" w:lineRule="auto"/>
        <w:outlineLvl w:val="2"/>
        <w:rPr>
          <w:rFonts w:ascii="Arial" w:eastAsia="Times New Roman" w:hAnsi="Arial" w:cs="Arial"/>
          <w:b/>
          <w:bCs/>
          <w:kern w:val="0"/>
          <w:sz w:val="22"/>
          <w:szCs w:val="22"/>
          <w:u w:val="single"/>
          <w:lang w:eastAsia="en-GB"/>
          <w14:ligatures w14:val="none"/>
        </w:rPr>
      </w:pPr>
      <w:r w:rsidRPr="00730050">
        <w:rPr>
          <w:rFonts w:ascii="Arial" w:eastAsia="Times New Roman" w:hAnsi="Arial" w:cs="Arial"/>
          <w:b/>
          <w:bCs/>
          <w:kern w:val="0"/>
          <w:sz w:val="22"/>
          <w:szCs w:val="22"/>
          <w:u w:val="single"/>
          <w:lang w:eastAsia="en-GB"/>
          <w14:ligatures w14:val="none"/>
        </w:rPr>
        <w:t>SDG 2 - Zero Hunger</w:t>
      </w:r>
    </w:p>
    <w:p w14:paraId="6094FF70" w14:textId="77777777" w:rsidR="00730050" w:rsidRPr="00730050" w:rsidRDefault="00730050" w:rsidP="00925D26">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r w:rsidRPr="00730050">
        <w:rPr>
          <w:rFonts w:ascii="Arial" w:eastAsia="Times New Roman" w:hAnsi="Arial" w:cs="Arial"/>
          <w:b/>
          <w:bCs/>
          <w:kern w:val="0"/>
          <w:sz w:val="22"/>
          <w:szCs w:val="22"/>
          <w:u w:val="single"/>
          <w:lang w:eastAsia="en-GB"/>
          <w14:ligatures w14:val="none"/>
        </w:rPr>
        <w:t>Overview of SDG 2</w:t>
      </w:r>
    </w:p>
    <w:p w14:paraId="4F185509" w14:textId="77777777" w:rsidR="00730050" w:rsidRPr="00730050" w:rsidRDefault="00730050" w:rsidP="00925D26">
      <w:pPr>
        <w:spacing w:before="100" w:beforeAutospacing="1" w:after="100" w:afterAutospacing="1" w:line="360" w:lineRule="auto"/>
        <w:rPr>
          <w:rFonts w:ascii="Arial" w:eastAsia="Times New Roman" w:hAnsi="Arial" w:cs="Arial"/>
          <w:kern w:val="0"/>
          <w:sz w:val="22"/>
          <w:szCs w:val="22"/>
          <w:lang w:eastAsia="en-GB"/>
          <w14:ligatures w14:val="none"/>
        </w:rPr>
      </w:pPr>
      <w:r w:rsidRPr="00730050">
        <w:rPr>
          <w:rFonts w:ascii="Arial" w:eastAsia="Times New Roman" w:hAnsi="Arial" w:cs="Arial"/>
          <w:kern w:val="0"/>
          <w:sz w:val="22"/>
          <w:szCs w:val="22"/>
          <w:lang w:eastAsia="en-GB"/>
          <w14:ligatures w14:val="none"/>
        </w:rPr>
        <w:t>SDG 2, "Zero Hunger," aims to end hunger, achieve food security, improve nutrition, and promote sustainable agriculture by 2030 (United Nations, 2015). While significant progress has been made, approximately 820 million people remain chronically hungry, and many others face various forms of malnutrition (FAO, 2020). Achieving this goal requires not only providing sufficient and nutritious food but also addressing the broader determinants of hunger, such as economic inequality, poverty, and climate change.</w:t>
      </w:r>
    </w:p>
    <w:p w14:paraId="738322F1" w14:textId="42C5B3A0" w:rsidR="00730050" w:rsidRPr="00730050" w:rsidRDefault="00730050" w:rsidP="00925D26">
      <w:pPr>
        <w:spacing w:before="100" w:beforeAutospacing="1" w:after="100" w:afterAutospacing="1" w:line="360" w:lineRule="auto"/>
        <w:rPr>
          <w:rFonts w:ascii="Arial" w:eastAsia="Times New Roman" w:hAnsi="Arial" w:cs="Arial"/>
          <w:kern w:val="0"/>
          <w:sz w:val="22"/>
          <w:szCs w:val="22"/>
          <w:lang w:eastAsia="en-GB"/>
          <w14:ligatures w14:val="none"/>
        </w:rPr>
      </w:pPr>
      <w:r w:rsidRPr="00730050">
        <w:rPr>
          <w:rFonts w:ascii="Arial" w:eastAsia="Times New Roman" w:hAnsi="Arial" w:cs="Arial"/>
          <w:kern w:val="0"/>
          <w:sz w:val="22"/>
          <w:szCs w:val="22"/>
          <w:lang w:eastAsia="en-GB"/>
          <w14:ligatures w14:val="none"/>
        </w:rPr>
        <w:t>The goal encompasses targets like eliminating all forms of malnutrition, doubling agricultural productivity and incomes of small-scale food producers, and ensuring sustainable food systems (United Nations, 2015). SDG 2 recogni</w:t>
      </w:r>
      <w:r w:rsidR="00925D26">
        <w:rPr>
          <w:rFonts w:ascii="Arial" w:eastAsia="Times New Roman" w:hAnsi="Arial" w:cs="Arial"/>
          <w:kern w:val="0"/>
          <w:sz w:val="22"/>
          <w:szCs w:val="22"/>
          <w:lang w:eastAsia="en-GB"/>
          <w14:ligatures w14:val="none"/>
        </w:rPr>
        <w:t>s</w:t>
      </w:r>
      <w:r w:rsidRPr="00730050">
        <w:rPr>
          <w:rFonts w:ascii="Arial" w:eastAsia="Times New Roman" w:hAnsi="Arial" w:cs="Arial"/>
          <w:kern w:val="0"/>
          <w:sz w:val="22"/>
          <w:szCs w:val="22"/>
          <w:lang w:eastAsia="en-GB"/>
          <w14:ligatures w14:val="none"/>
        </w:rPr>
        <w:t>es the link between hunger and poverty and emphasi</w:t>
      </w:r>
      <w:r w:rsidR="00925D26">
        <w:rPr>
          <w:rFonts w:ascii="Arial" w:eastAsia="Times New Roman" w:hAnsi="Arial" w:cs="Arial"/>
          <w:kern w:val="0"/>
          <w:sz w:val="22"/>
          <w:szCs w:val="22"/>
          <w:lang w:eastAsia="en-GB"/>
          <w14:ligatures w14:val="none"/>
        </w:rPr>
        <w:t>s</w:t>
      </w:r>
      <w:r w:rsidRPr="00730050">
        <w:rPr>
          <w:rFonts w:ascii="Arial" w:eastAsia="Times New Roman" w:hAnsi="Arial" w:cs="Arial"/>
          <w:kern w:val="0"/>
          <w:sz w:val="22"/>
          <w:szCs w:val="22"/>
          <w:lang w:eastAsia="en-GB"/>
          <w14:ligatures w14:val="none"/>
        </w:rPr>
        <w:t>es the importance of sustainable agricultural practices, improved food systems, and equitable access to food (FAO, 2020). A systems approach is needed to address food insecurity, as hunger often stems from factors like inadequate access to resources, poor food distribution, and systemic inequality.</w:t>
      </w:r>
    </w:p>
    <w:p w14:paraId="08E06E3E" w14:textId="77777777" w:rsidR="00730050" w:rsidRPr="00730050" w:rsidRDefault="00730050" w:rsidP="00925D26">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r w:rsidRPr="00730050">
        <w:rPr>
          <w:rFonts w:ascii="Arial" w:eastAsia="Times New Roman" w:hAnsi="Arial" w:cs="Arial"/>
          <w:b/>
          <w:bCs/>
          <w:kern w:val="0"/>
          <w:sz w:val="22"/>
          <w:szCs w:val="22"/>
          <w:u w:val="single"/>
          <w:lang w:eastAsia="en-GB"/>
          <w14:ligatures w14:val="none"/>
        </w:rPr>
        <w:t>Global, National, and Local Policies and Initiatives</w:t>
      </w:r>
    </w:p>
    <w:p w14:paraId="24F1E936" w14:textId="6B4C9E33" w:rsidR="00730050" w:rsidRPr="00730050" w:rsidRDefault="00730050" w:rsidP="00925D26">
      <w:pPr>
        <w:spacing w:before="100" w:beforeAutospacing="1" w:after="100" w:afterAutospacing="1" w:line="360" w:lineRule="auto"/>
        <w:rPr>
          <w:rFonts w:ascii="Arial" w:eastAsia="Times New Roman" w:hAnsi="Arial" w:cs="Arial"/>
          <w:kern w:val="0"/>
          <w:sz w:val="22"/>
          <w:szCs w:val="22"/>
          <w:lang w:eastAsia="en-GB"/>
          <w14:ligatures w14:val="none"/>
        </w:rPr>
      </w:pPr>
      <w:r w:rsidRPr="00730050">
        <w:rPr>
          <w:rFonts w:ascii="Arial" w:eastAsia="Times New Roman" w:hAnsi="Arial" w:cs="Arial"/>
          <w:kern w:val="0"/>
          <w:sz w:val="22"/>
          <w:szCs w:val="22"/>
          <w:lang w:eastAsia="en-GB"/>
          <w14:ligatures w14:val="none"/>
        </w:rPr>
        <w:t>At the global level, agencies such as the World Food Programme (WFP) and the Food and Agriculture Organi</w:t>
      </w:r>
      <w:r w:rsidR="00925D26">
        <w:rPr>
          <w:rFonts w:ascii="Arial" w:eastAsia="Times New Roman" w:hAnsi="Arial" w:cs="Arial"/>
          <w:kern w:val="0"/>
          <w:sz w:val="22"/>
          <w:szCs w:val="22"/>
          <w:lang w:eastAsia="en-GB"/>
          <w14:ligatures w14:val="none"/>
        </w:rPr>
        <w:t>s</w:t>
      </w:r>
      <w:r w:rsidRPr="00730050">
        <w:rPr>
          <w:rFonts w:ascii="Arial" w:eastAsia="Times New Roman" w:hAnsi="Arial" w:cs="Arial"/>
          <w:kern w:val="0"/>
          <w:sz w:val="22"/>
          <w:szCs w:val="22"/>
          <w:lang w:eastAsia="en-GB"/>
          <w14:ligatures w14:val="none"/>
        </w:rPr>
        <w:t>ation (FAO) are central to tackling hunger. The WFP provides emergency food aid in crisis situations and supports long-term solutions to food insecurity (WFP, 2020). It works in areas such as education, nutrition, and disaster response to help build resilient food systems. Similarly, the FAO plays a leading role in promoting sustainable agriculture through technical support and policy guidance (FAO, 2020).</w:t>
      </w:r>
    </w:p>
    <w:p w14:paraId="6F8C884B" w14:textId="0DD98314" w:rsidR="00730050" w:rsidRPr="00730050" w:rsidRDefault="00730050" w:rsidP="00925D26">
      <w:pPr>
        <w:spacing w:before="100" w:beforeAutospacing="1" w:after="100" w:afterAutospacing="1" w:line="360" w:lineRule="auto"/>
        <w:rPr>
          <w:rFonts w:ascii="Arial" w:eastAsia="Times New Roman" w:hAnsi="Arial" w:cs="Arial"/>
          <w:kern w:val="0"/>
          <w:sz w:val="22"/>
          <w:szCs w:val="22"/>
          <w:lang w:eastAsia="en-GB"/>
          <w14:ligatures w14:val="none"/>
        </w:rPr>
      </w:pPr>
      <w:r w:rsidRPr="00730050">
        <w:rPr>
          <w:rFonts w:ascii="Arial" w:eastAsia="Times New Roman" w:hAnsi="Arial" w:cs="Arial"/>
          <w:kern w:val="0"/>
          <w:sz w:val="22"/>
          <w:szCs w:val="22"/>
          <w:lang w:eastAsia="en-GB"/>
          <w14:ligatures w14:val="none"/>
        </w:rPr>
        <w:t xml:space="preserve">Nationally, countries such as India and Brazil have adopted comprehensive approaches to combat hunger. India’s National Food Security Act (NFSA) guarantees food subsidies to over 800 million people, aiming to ensure food access for vulnerable populations like children, pregnant women, and the elderly (Government of India, 2020). Brazil's Zero Hunger Program, which combines food distribution with conditional cash transfers, has been effective in reducing hunger by promoting income support and food access (FAO, 2019). </w:t>
      </w:r>
      <w:r w:rsidRPr="00730050">
        <w:rPr>
          <w:rFonts w:ascii="Arial" w:eastAsia="Times New Roman" w:hAnsi="Arial" w:cs="Arial"/>
          <w:kern w:val="0"/>
          <w:sz w:val="22"/>
          <w:szCs w:val="22"/>
          <w:lang w:eastAsia="en-GB"/>
          <w14:ligatures w14:val="none"/>
        </w:rPr>
        <w:lastRenderedPageBreak/>
        <w:t xml:space="preserve">These national policies </w:t>
      </w:r>
      <w:r w:rsidR="00053955">
        <w:rPr>
          <w:rFonts w:ascii="Arial" w:eastAsia="Times New Roman" w:hAnsi="Arial" w:cs="Arial"/>
          <w:kern w:val="0"/>
          <w:sz w:val="22"/>
          <w:szCs w:val="22"/>
          <w:lang w:eastAsia="en-GB"/>
          <w14:ligatures w14:val="none"/>
        </w:rPr>
        <w:t>emphasise</w:t>
      </w:r>
      <w:r w:rsidRPr="00730050">
        <w:rPr>
          <w:rFonts w:ascii="Arial" w:eastAsia="Times New Roman" w:hAnsi="Arial" w:cs="Arial"/>
          <w:kern w:val="0"/>
          <w:sz w:val="22"/>
          <w:szCs w:val="22"/>
          <w:lang w:eastAsia="en-GB"/>
          <w14:ligatures w14:val="none"/>
        </w:rPr>
        <w:t xml:space="preserve"> both immediate food assistance and longer-term solutions to hunger and poverty.</w:t>
      </w:r>
    </w:p>
    <w:p w14:paraId="7D55909D" w14:textId="58E835D2" w:rsidR="00730050" w:rsidRPr="00730050" w:rsidRDefault="00730050" w:rsidP="00925D26">
      <w:pPr>
        <w:spacing w:before="100" w:beforeAutospacing="1" w:after="100" w:afterAutospacing="1" w:line="360" w:lineRule="auto"/>
        <w:rPr>
          <w:rFonts w:ascii="Arial" w:eastAsia="Times New Roman" w:hAnsi="Arial" w:cs="Arial"/>
          <w:kern w:val="0"/>
          <w:sz w:val="22"/>
          <w:szCs w:val="22"/>
          <w:lang w:eastAsia="en-GB"/>
          <w14:ligatures w14:val="none"/>
        </w:rPr>
      </w:pPr>
      <w:r w:rsidRPr="00730050">
        <w:rPr>
          <w:rFonts w:ascii="Arial" w:eastAsia="Times New Roman" w:hAnsi="Arial" w:cs="Arial"/>
          <w:kern w:val="0"/>
          <w:sz w:val="22"/>
          <w:szCs w:val="22"/>
          <w:lang w:eastAsia="en-GB"/>
          <w14:ligatures w14:val="none"/>
        </w:rPr>
        <w:t xml:space="preserve">At the local level, initiatives such as community gardens, food banks, and urban agriculture have proven essential in addressing food insecurity in </w:t>
      </w:r>
      <w:r w:rsidR="00EE31B1">
        <w:rPr>
          <w:rFonts w:ascii="Arial" w:eastAsia="Times New Roman" w:hAnsi="Arial" w:cs="Arial"/>
          <w:kern w:val="0"/>
          <w:sz w:val="22"/>
          <w:szCs w:val="22"/>
          <w:lang w:eastAsia="en-GB"/>
          <w14:ligatures w14:val="none"/>
        </w:rPr>
        <w:t>marginalised</w:t>
      </w:r>
      <w:r w:rsidRPr="00730050">
        <w:rPr>
          <w:rFonts w:ascii="Arial" w:eastAsia="Times New Roman" w:hAnsi="Arial" w:cs="Arial"/>
          <w:kern w:val="0"/>
          <w:sz w:val="22"/>
          <w:szCs w:val="22"/>
          <w:lang w:eastAsia="en-GB"/>
          <w14:ligatures w14:val="none"/>
        </w:rPr>
        <w:t xml:space="preserve"> communities. In Mexico City, urban agriculture projects have successfully empowered communities by increasing food production in urban areas, thus improving local food security and providing affordable, nutritious food (Garrido et al., 2017).</w:t>
      </w:r>
    </w:p>
    <w:p w14:paraId="5699E27A" w14:textId="77777777" w:rsidR="00730050" w:rsidRPr="00925D26" w:rsidRDefault="00730050" w:rsidP="00925D26">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r w:rsidRPr="00730050">
        <w:rPr>
          <w:rFonts w:ascii="Arial" w:eastAsia="Times New Roman" w:hAnsi="Arial" w:cs="Arial"/>
          <w:b/>
          <w:bCs/>
          <w:kern w:val="0"/>
          <w:sz w:val="22"/>
          <w:szCs w:val="22"/>
          <w:u w:val="single"/>
          <w:lang w:eastAsia="en-GB"/>
          <w14:ligatures w14:val="none"/>
        </w:rPr>
        <w:t>Use of Theories</w:t>
      </w:r>
    </w:p>
    <w:p w14:paraId="239E09CA" w14:textId="0D8A51F6" w:rsidR="00925D26" w:rsidRPr="00925D26" w:rsidRDefault="00925D26" w:rsidP="00925D26">
      <w:pPr>
        <w:pStyle w:val="NormalWeb"/>
        <w:spacing w:line="360" w:lineRule="auto"/>
        <w:rPr>
          <w:rFonts w:ascii="Arial" w:hAnsi="Arial" w:cs="Arial"/>
          <w:sz w:val="22"/>
          <w:szCs w:val="22"/>
        </w:rPr>
      </w:pPr>
      <w:r w:rsidRPr="00925D26">
        <w:rPr>
          <w:rFonts w:ascii="Arial" w:hAnsi="Arial" w:cs="Arial"/>
          <w:sz w:val="22"/>
          <w:szCs w:val="22"/>
        </w:rPr>
        <w:t xml:space="preserve">The </w:t>
      </w:r>
      <w:r w:rsidRPr="00925D26">
        <w:rPr>
          <w:rStyle w:val="Strong"/>
          <w:rFonts w:ascii="Arial" w:eastAsiaTheme="majorEastAsia" w:hAnsi="Arial" w:cs="Arial"/>
          <w:b w:val="0"/>
          <w:bCs w:val="0"/>
          <w:sz w:val="22"/>
          <w:szCs w:val="22"/>
        </w:rPr>
        <w:t>Social Cognitive Theory (SCT)</w:t>
      </w:r>
      <w:r w:rsidRPr="00925D26">
        <w:rPr>
          <w:rFonts w:ascii="Arial" w:hAnsi="Arial" w:cs="Arial"/>
          <w:sz w:val="22"/>
          <w:szCs w:val="22"/>
        </w:rPr>
        <w:t xml:space="preserve"> (Bandura, 1986) and </w:t>
      </w:r>
      <w:r w:rsidRPr="00925D26">
        <w:rPr>
          <w:rStyle w:val="Strong"/>
          <w:rFonts w:ascii="Arial" w:eastAsiaTheme="majorEastAsia" w:hAnsi="Arial" w:cs="Arial"/>
          <w:b w:val="0"/>
          <w:bCs w:val="0"/>
          <w:sz w:val="22"/>
          <w:szCs w:val="22"/>
        </w:rPr>
        <w:t>Health Belief Model (HBM)</w:t>
      </w:r>
      <w:r w:rsidRPr="00925D26">
        <w:rPr>
          <w:rFonts w:ascii="Arial" w:hAnsi="Arial" w:cs="Arial"/>
          <w:sz w:val="22"/>
          <w:szCs w:val="22"/>
        </w:rPr>
        <w:t xml:space="preserve"> (Rosenstock, 1974) provide key insights for SDG 2. SCT emphasi</w:t>
      </w:r>
      <w:r>
        <w:rPr>
          <w:rFonts w:ascii="Arial" w:hAnsi="Arial" w:cs="Arial"/>
          <w:sz w:val="22"/>
          <w:szCs w:val="22"/>
        </w:rPr>
        <w:t>s</w:t>
      </w:r>
      <w:r w:rsidRPr="00925D26">
        <w:rPr>
          <w:rFonts w:ascii="Arial" w:hAnsi="Arial" w:cs="Arial"/>
          <w:sz w:val="22"/>
          <w:szCs w:val="22"/>
        </w:rPr>
        <w:t xml:space="preserve">es </w:t>
      </w:r>
      <w:r w:rsidRPr="00925D26">
        <w:rPr>
          <w:rStyle w:val="Strong"/>
          <w:rFonts w:ascii="Arial" w:eastAsiaTheme="majorEastAsia" w:hAnsi="Arial" w:cs="Arial"/>
          <w:b w:val="0"/>
          <w:bCs w:val="0"/>
          <w:sz w:val="22"/>
          <w:szCs w:val="22"/>
        </w:rPr>
        <w:t>self-efficacy</w:t>
      </w:r>
      <w:r w:rsidRPr="00925D26">
        <w:rPr>
          <w:rFonts w:ascii="Arial" w:hAnsi="Arial" w:cs="Arial"/>
          <w:sz w:val="22"/>
          <w:szCs w:val="22"/>
        </w:rPr>
        <w:t xml:space="preserve"> and </w:t>
      </w:r>
      <w:r w:rsidRPr="00925D26">
        <w:rPr>
          <w:rStyle w:val="Strong"/>
          <w:rFonts w:ascii="Arial" w:eastAsiaTheme="majorEastAsia" w:hAnsi="Arial" w:cs="Arial"/>
          <w:b w:val="0"/>
          <w:bCs w:val="0"/>
          <w:sz w:val="22"/>
          <w:szCs w:val="22"/>
        </w:rPr>
        <w:t>observational learning</w:t>
      </w:r>
      <w:r w:rsidRPr="00925D26">
        <w:rPr>
          <w:rFonts w:ascii="Arial" w:hAnsi="Arial" w:cs="Arial"/>
          <w:sz w:val="22"/>
          <w:szCs w:val="22"/>
        </w:rPr>
        <w:t xml:space="preserve"> as crucial for behaviour change. Empowering individuals, especially smallholder farmers, by providing them with skills and knowledge to improve agricultural practices can increase their productivity and self-sufficiency, thereby enhancing food security.</w:t>
      </w:r>
    </w:p>
    <w:p w14:paraId="00EA450E" w14:textId="5E1D0EB1" w:rsidR="00925D26" w:rsidRPr="00925D26" w:rsidRDefault="00925D26" w:rsidP="00925D26">
      <w:pPr>
        <w:pStyle w:val="NormalWeb"/>
        <w:spacing w:line="360" w:lineRule="auto"/>
        <w:rPr>
          <w:rFonts w:ascii="Arial" w:hAnsi="Arial" w:cs="Arial"/>
          <w:sz w:val="22"/>
          <w:szCs w:val="22"/>
        </w:rPr>
      </w:pPr>
      <w:r w:rsidRPr="00925D26">
        <w:rPr>
          <w:rFonts w:ascii="Arial" w:hAnsi="Arial" w:cs="Arial"/>
          <w:sz w:val="22"/>
          <w:szCs w:val="22"/>
        </w:rPr>
        <w:t xml:space="preserve">The </w:t>
      </w:r>
      <w:r w:rsidRPr="00925D26">
        <w:rPr>
          <w:rStyle w:val="Strong"/>
          <w:rFonts w:ascii="Arial" w:eastAsiaTheme="majorEastAsia" w:hAnsi="Arial" w:cs="Arial"/>
          <w:b w:val="0"/>
          <w:bCs w:val="0"/>
          <w:sz w:val="22"/>
          <w:szCs w:val="22"/>
        </w:rPr>
        <w:t>Health Belief Model</w:t>
      </w:r>
      <w:r w:rsidRPr="00925D26">
        <w:rPr>
          <w:rFonts w:ascii="Arial" w:hAnsi="Arial" w:cs="Arial"/>
          <w:sz w:val="22"/>
          <w:szCs w:val="22"/>
        </w:rPr>
        <w:t xml:space="preserve"> suggests that behaviour change is influenced by </w:t>
      </w:r>
      <w:r w:rsidRPr="00925D26">
        <w:rPr>
          <w:rStyle w:val="Strong"/>
          <w:rFonts w:ascii="Arial" w:eastAsiaTheme="majorEastAsia" w:hAnsi="Arial" w:cs="Arial"/>
          <w:b w:val="0"/>
          <w:bCs w:val="0"/>
          <w:sz w:val="22"/>
          <w:szCs w:val="22"/>
        </w:rPr>
        <w:t>perceived severity</w:t>
      </w:r>
      <w:r w:rsidRPr="00925D26">
        <w:rPr>
          <w:rFonts w:ascii="Arial" w:hAnsi="Arial" w:cs="Arial"/>
          <w:sz w:val="22"/>
          <w:szCs w:val="22"/>
        </w:rPr>
        <w:t xml:space="preserve"> and </w:t>
      </w:r>
      <w:r w:rsidRPr="00925D26">
        <w:rPr>
          <w:rStyle w:val="Strong"/>
          <w:rFonts w:ascii="Arial" w:eastAsiaTheme="majorEastAsia" w:hAnsi="Arial" w:cs="Arial"/>
          <w:b w:val="0"/>
          <w:bCs w:val="0"/>
          <w:sz w:val="22"/>
          <w:szCs w:val="22"/>
        </w:rPr>
        <w:t>perceived benefits</w:t>
      </w:r>
      <w:r w:rsidRPr="00925D26">
        <w:rPr>
          <w:rFonts w:ascii="Arial" w:hAnsi="Arial" w:cs="Arial"/>
          <w:sz w:val="22"/>
          <w:szCs w:val="22"/>
        </w:rPr>
        <w:t xml:space="preserve">. For SDG 2, interventions should highlight the risks of malnutrition and the benefits of healthier diets. However, the model also underscores the importance of </w:t>
      </w:r>
      <w:r w:rsidRPr="00925D26">
        <w:rPr>
          <w:rStyle w:val="Strong"/>
          <w:rFonts w:ascii="Arial" w:eastAsiaTheme="majorEastAsia" w:hAnsi="Arial" w:cs="Arial"/>
          <w:b w:val="0"/>
          <w:bCs w:val="0"/>
          <w:sz w:val="22"/>
          <w:szCs w:val="22"/>
        </w:rPr>
        <w:t>self-efficacy</w:t>
      </w:r>
      <w:r w:rsidRPr="00925D26">
        <w:rPr>
          <w:rFonts w:ascii="Arial" w:hAnsi="Arial" w:cs="Arial"/>
          <w:sz w:val="22"/>
          <w:szCs w:val="22"/>
        </w:rPr>
        <w:t xml:space="preserve">, as individuals must feel capable of improving their nutrition. Programs focusing on </w:t>
      </w:r>
      <w:r w:rsidRPr="00925D26">
        <w:rPr>
          <w:rStyle w:val="Strong"/>
          <w:rFonts w:ascii="Arial" w:eastAsiaTheme="majorEastAsia" w:hAnsi="Arial" w:cs="Arial"/>
          <w:b w:val="0"/>
          <w:bCs w:val="0"/>
          <w:sz w:val="22"/>
          <w:szCs w:val="22"/>
        </w:rPr>
        <w:t>nutrition education</w:t>
      </w:r>
      <w:r w:rsidRPr="00925D26">
        <w:rPr>
          <w:rFonts w:ascii="Arial" w:hAnsi="Arial" w:cs="Arial"/>
          <w:sz w:val="22"/>
          <w:szCs w:val="22"/>
        </w:rPr>
        <w:t xml:space="preserve"> and </w:t>
      </w:r>
      <w:r w:rsidRPr="00925D26">
        <w:rPr>
          <w:rStyle w:val="Strong"/>
          <w:rFonts w:ascii="Arial" w:eastAsiaTheme="majorEastAsia" w:hAnsi="Arial" w:cs="Arial"/>
          <w:b w:val="0"/>
          <w:bCs w:val="0"/>
          <w:sz w:val="22"/>
          <w:szCs w:val="22"/>
        </w:rPr>
        <w:t>self-reliance</w:t>
      </w:r>
      <w:r w:rsidRPr="00925D26">
        <w:rPr>
          <w:rFonts w:ascii="Arial" w:hAnsi="Arial" w:cs="Arial"/>
          <w:sz w:val="22"/>
          <w:szCs w:val="22"/>
        </w:rPr>
        <w:t xml:space="preserve"> can build confidence in making healthier food choices.</w:t>
      </w:r>
    </w:p>
    <w:p w14:paraId="3667E62E" w14:textId="77777777" w:rsidR="00925D26" w:rsidRPr="00925D26" w:rsidRDefault="00925D26" w:rsidP="00925D26">
      <w:pPr>
        <w:pStyle w:val="NormalWeb"/>
        <w:spacing w:line="360" w:lineRule="auto"/>
        <w:rPr>
          <w:rFonts w:ascii="Arial" w:hAnsi="Arial" w:cs="Arial"/>
          <w:sz w:val="22"/>
          <w:szCs w:val="22"/>
        </w:rPr>
      </w:pPr>
      <w:r w:rsidRPr="00925D26">
        <w:rPr>
          <w:rFonts w:ascii="Arial" w:hAnsi="Arial" w:cs="Arial"/>
          <w:sz w:val="22"/>
          <w:szCs w:val="22"/>
        </w:rPr>
        <w:t xml:space="preserve">The </w:t>
      </w:r>
      <w:r w:rsidRPr="00925D26">
        <w:rPr>
          <w:rStyle w:val="Strong"/>
          <w:rFonts w:ascii="Arial" w:eastAsiaTheme="majorEastAsia" w:hAnsi="Arial" w:cs="Arial"/>
          <w:b w:val="0"/>
          <w:bCs w:val="0"/>
          <w:sz w:val="22"/>
          <w:szCs w:val="22"/>
        </w:rPr>
        <w:t>Food Systems Approach</w:t>
      </w:r>
      <w:r w:rsidRPr="00925D26">
        <w:rPr>
          <w:rFonts w:ascii="Arial" w:hAnsi="Arial" w:cs="Arial"/>
          <w:sz w:val="22"/>
          <w:szCs w:val="22"/>
        </w:rPr>
        <w:t xml:space="preserve"> (FAO, 2020) stresses the interconnectedness of food production, distribution, and consumption, advocating for sustainable, equitable, and community-driven food systems to achieve lasting food security.</w:t>
      </w:r>
    </w:p>
    <w:p w14:paraId="5D31140D" w14:textId="77777777" w:rsidR="00730050" w:rsidRPr="00925D26" w:rsidRDefault="00730050" w:rsidP="00925D26">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r w:rsidRPr="00730050">
        <w:rPr>
          <w:rFonts w:ascii="Arial" w:eastAsia="Times New Roman" w:hAnsi="Arial" w:cs="Arial"/>
          <w:b/>
          <w:bCs/>
          <w:kern w:val="0"/>
          <w:sz w:val="22"/>
          <w:szCs w:val="22"/>
          <w:u w:val="single"/>
          <w:lang w:eastAsia="en-GB"/>
          <w14:ligatures w14:val="none"/>
        </w:rPr>
        <w:t>Critical Evaluation of Policies and Initiatives</w:t>
      </w:r>
    </w:p>
    <w:p w14:paraId="09D8290E" w14:textId="22655266" w:rsidR="00925D26" w:rsidRPr="00925D26" w:rsidRDefault="00925D26" w:rsidP="00925D26">
      <w:pPr>
        <w:pStyle w:val="NormalWeb"/>
        <w:spacing w:line="360" w:lineRule="auto"/>
        <w:rPr>
          <w:rFonts w:ascii="Arial" w:hAnsi="Arial" w:cs="Arial"/>
          <w:sz w:val="22"/>
          <w:szCs w:val="22"/>
        </w:rPr>
      </w:pPr>
      <w:r w:rsidRPr="00925D26">
        <w:rPr>
          <w:rFonts w:ascii="Arial" w:hAnsi="Arial" w:cs="Arial"/>
          <w:sz w:val="22"/>
          <w:szCs w:val="22"/>
        </w:rPr>
        <w:t>While SDG 2 has achieved significant progress, challenges persist. Global food assistance programs, while crucial in emergencies, often prioriti</w:t>
      </w:r>
      <w:r>
        <w:rPr>
          <w:rFonts w:ascii="Arial" w:hAnsi="Arial" w:cs="Arial"/>
          <w:sz w:val="22"/>
          <w:szCs w:val="22"/>
        </w:rPr>
        <w:t>s</w:t>
      </w:r>
      <w:r w:rsidRPr="00925D26">
        <w:rPr>
          <w:rFonts w:ascii="Arial" w:hAnsi="Arial" w:cs="Arial"/>
          <w:sz w:val="22"/>
          <w:szCs w:val="22"/>
        </w:rPr>
        <w:t>e short-term relief over long-term solutions. Food aid is necessary during crises, but it does not address the structural causes of hunger</w:t>
      </w:r>
      <w:r w:rsidR="00BD5AE1">
        <w:rPr>
          <w:rFonts w:ascii="Arial" w:hAnsi="Arial" w:cs="Arial"/>
          <w:sz w:val="22"/>
          <w:szCs w:val="22"/>
        </w:rPr>
        <w:t>,</w:t>
      </w:r>
      <w:r w:rsidRPr="00925D26">
        <w:rPr>
          <w:rFonts w:ascii="Arial" w:hAnsi="Arial" w:cs="Arial"/>
          <w:sz w:val="22"/>
          <w:szCs w:val="22"/>
        </w:rPr>
        <w:t xml:space="preserve"> such as poverty, inequality, and limited access to resources (WFP, 2020). For instance, India's </w:t>
      </w:r>
      <w:r w:rsidRPr="00925D26">
        <w:rPr>
          <w:rStyle w:val="Strong"/>
          <w:rFonts w:ascii="Arial" w:eastAsiaTheme="majorEastAsia" w:hAnsi="Arial" w:cs="Arial"/>
          <w:b w:val="0"/>
          <w:bCs w:val="0"/>
          <w:sz w:val="22"/>
          <w:szCs w:val="22"/>
        </w:rPr>
        <w:t>National Food Security Act (NFSA)</w:t>
      </w:r>
      <w:r w:rsidRPr="00925D26">
        <w:rPr>
          <w:rFonts w:ascii="Arial" w:hAnsi="Arial" w:cs="Arial"/>
          <w:sz w:val="22"/>
          <w:szCs w:val="22"/>
        </w:rPr>
        <w:t>, despite providing food access to millions, faces criticisms regarding inefficiency, corruption, and the poor quality of food distributed, which leads to reliance on subsidi</w:t>
      </w:r>
      <w:r>
        <w:rPr>
          <w:rFonts w:ascii="Arial" w:hAnsi="Arial" w:cs="Arial"/>
          <w:sz w:val="22"/>
          <w:szCs w:val="22"/>
        </w:rPr>
        <w:t>s</w:t>
      </w:r>
      <w:r w:rsidRPr="00925D26">
        <w:rPr>
          <w:rFonts w:ascii="Arial" w:hAnsi="Arial" w:cs="Arial"/>
          <w:sz w:val="22"/>
          <w:szCs w:val="22"/>
        </w:rPr>
        <w:t>ed, low-nutrient foods (Ghosh, 2018).</w:t>
      </w:r>
    </w:p>
    <w:p w14:paraId="44ABAB58" w14:textId="6C690BA7" w:rsidR="00925D26" w:rsidRPr="00925D26" w:rsidRDefault="00925D26" w:rsidP="00925D26">
      <w:pPr>
        <w:pStyle w:val="NormalWeb"/>
        <w:spacing w:line="360" w:lineRule="auto"/>
        <w:rPr>
          <w:rFonts w:ascii="Arial" w:hAnsi="Arial" w:cs="Arial"/>
          <w:sz w:val="22"/>
          <w:szCs w:val="22"/>
        </w:rPr>
      </w:pPr>
      <w:r w:rsidRPr="00925D26">
        <w:rPr>
          <w:rFonts w:ascii="Arial" w:hAnsi="Arial" w:cs="Arial"/>
          <w:sz w:val="22"/>
          <w:szCs w:val="22"/>
        </w:rPr>
        <w:lastRenderedPageBreak/>
        <w:t xml:space="preserve">Similarly, </w:t>
      </w:r>
      <w:r w:rsidRPr="00925D26">
        <w:rPr>
          <w:rStyle w:val="Strong"/>
          <w:rFonts w:ascii="Arial" w:eastAsiaTheme="majorEastAsia" w:hAnsi="Arial" w:cs="Arial"/>
          <w:b w:val="0"/>
          <w:bCs w:val="0"/>
          <w:sz w:val="22"/>
          <w:szCs w:val="22"/>
        </w:rPr>
        <w:t>Brazil’s Zero Hunger Program</w:t>
      </w:r>
      <w:r w:rsidRPr="00925D26">
        <w:rPr>
          <w:rFonts w:ascii="Arial" w:hAnsi="Arial" w:cs="Arial"/>
          <w:sz w:val="22"/>
          <w:szCs w:val="22"/>
        </w:rPr>
        <w:t xml:space="preserve"> has been successful in reducing hunger, but challenges related to economic instability and political fluctuations undermine its sustainability. Regional disparities in food access remain, leaving rural and marginali</w:t>
      </w:r>
      <w:r>
        <w:rPr>
          <w:rFonts w:ascii="Arial" w:hAnsi="Arial" w:cs="Arial"/>
          <w:sz w:val="22"/>
          <w:szCs w:val="22"/>
        </w:rPr>
        <w:t>s</w:t>
      </w:r>
      <w:r w:rsidRPr="00925D26">
        <w:rPr>
          <w:rFonts w:ascii="Arial" w:hAnsi="Arial" w:cs="Arial"/>
          <w:sz w:val="22"/>
          <w:szCs w:val="22"/>
        </w:rPr>
        <w:t xml:space="preserve">ed communities with limited resources to achieve food security (FAO, 2019). Additionally, the rise of </w:t>
      </w:r>
      <w:r w:rsidRPr="00925D26">
        <w:rPr>
          <w:rStyle w:val="Strong"/>
          <w:rFonts w:ascii="Arial" w:eastAsiaTheme="majorEastAsia" w:hAnsi="Arial" w:cs="Arial"/>
          <w:b w:val="0"/>
          <w:bCs w:val="0"/>
          <w:sz w:val="22"/>
          <w:szCs w:val="22"/>
        </w:rPr>
        <w:t>non-communicable diseases (NCDs)</w:t>
      </w:r>
      <w:r w:rsidRPr="00925D26">
        <w:rPr>
          <w:rFonts w:ascii="Arial" w:hAnsi="Arial" w:cs="Arial"/>
          <w:sz w:val="22"/>
          <w:szCs w:val="22"/>
        </w:rPr>
        <w:t>, such as obesity and diabetes, exacerbates food insecurity. These diseases, often linked to the consumption of unhealthy, processed foods, further complicate efforts to achieve Zero Hunger (Baker et al., 2019).</w:t>
      </w:r>
    </w:p>
    <w:p w14:paraId="08D91DB9" w14:textId="77777777" w:rsidR="00925D26" w:rsidRPr="00925D26" w:rsidRDefault="00925D26" w:rsidP="00925D26">
      <w:pPr>
        <w:pStyle w:val="NormalWeb"/>
        <w:spacing w:line="360" w:lineRule="auto"/>
        <w:rPr>
          <w:rFonts w:ascii="Arial" w:hAnsi="Arial" w:cs="Arial"/>
          <w:sz w:val="22"/>
          <w:szCs w:val="22"/>
        </w:rPr>
      </w:pPr>
      <w:r w:rsidRPr="00925D26">
        <w:rPr>
          <w:rFonts w:ascii="Arial" w:hAnsi="Arial" w:cs="Arial"/>
          <w:sz w:val="22"/>
          <w:szCs w:val="22"/>
        </w:rPr>
        <w:t xml:space="preserve">A key limitation of current policies is their reliance on food aid instead of addressing the root causes of food insecurity. Furthermore, </w:t>
      </w:r>
      <w:r w:rsidRPr="00925D26">
        <w:rPr>
          <w:rStyle w:val="Strong"/>
          <w:rFonts w:ascii="Arial" w:eastAsiaTheme="majorEastAsia" w:hAnsi="Arial" w:cs="Arial"/>
          <w:b w:val="0"/>
          <w:bCs w:val="0"/>
          <w:sz w:val="22"/>
          <w:szCs w:val="22"/>
        </w:rPr>
        <w:t>gender inequality</w:t>
      </w:r>
      <w:r w:rsidRPr="00925D26">
        <w:rPr>
          <w:rFonts w:ascii="Arial" w:hAnsi="Arial" w:cs="Arial"/>
          <w:sz w:val="22"/>
          <w:szCs w:val="22"/>
        </w:rPr>
        <w:t xml:space="preserve"> in food systems remains a significant barrier, as women, particularly in rural areas, lack access to resources and decision-making power, thus limiting their ability to improve food security (FAO, 2019).</w:t>
      </w:r>
    </w:p>
    <w:p w14:paraId="5A7BD74B" w14:textId="77777777" w:rsidR="00730050" w:rsidRPr="00730050" w:rsidRDefault="00730050" w:rsidP="00925D26">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r w:rsidRPr="00730050">
        <w:rPr>
          <w:rFonts w:ascii="Arial" w:eastAsia="Times New Roman" w:hAnsi="Arial" w:cs="Arial"/>
          <w:b/>
          <w:bCs/>
          <w:kern w:val="0"/>
          <w:sz w:val="22"/>
          <w:szCs w:val="22"/>
          <w:u w:val="single"/>
          <w:lang w:eastAsia="en-GB"/>
          <w14:ligatures w14:val="none"/>
        </w:rPr>
        <w:t>Alternative Solutions and Recommendations</w:t>
      </w:r>
    </w:p>
    <w:p w14:paraId="5BFF34B5" w14:textId="77777777" w:rsidR="00730050" w:rsidRPr="00730050" w:rsidRDefault="00730050" w:rsidP="00925D26">
      <w:pPr>
        <w:spacing w:before="100" w:beforeAutospacing="1" w:after="100" w:afterAutospacing="1" w:line="360" w:lineRule="auto"/>
        <w:rPr>
          <w:rFonts w:ascii="Arial" w:eastAsia="Times New Roman" w:hAnsi="Arial" w:cs="Arial"/>
          <w:kern w:val="0"/>
          <w:sz w:val="22"/>
          <w:szCs w:val="22"/>
          <w:lang w:eastAsia="en-GB"/>
          <w14:ligatures w14:val="none"/>
        </w:rPr>
      </w:pPr>
      <w:r w:rsidRPr="00730050">
        <w:rPr>
          <w:rFonts w:ascii="Arial" w:eastAsia="Times New Roman" w:hAnsi="Arial" w:cs="Arial"/>
          <w:kern w:val="0"/>
          <w:sz w:val="22"/>
          <w:szCs w:val="22"/>
          <w:lang w:eastAsia="en-GB"/>
          <w14:ligatures w14:val="none"/>
        </w:rPr>
        <w:t>To better address hunger and malnutrition, the following strategies should be considered:</w:t>
      </w:r>
    </w:p>
    <w:p w14:paraId="58F2B41D" w14:textId="3C6CB2EA" w:rsidR="00925D26" w:rsidRPr="00925D26" w:rsidRDefault="00925D26" w:rsidP="00925D26">
      <w:pPr>
        <w:pStyle w:val="NormalWeb"/>
        <w:numPr>
          <w:ilvl w:val="0"/>
          <w:numId w:val="8"/>
        </w:numPr>
        <w:spacing w:line="360" w:lineRule="auto"/>
        <w:rPr>
          <w:rFonts w:ascii="Arial" w:hAnsi="Arial" w:cs="Arial"/>
          <w:sz w:val="22"/>
          <w:szCs w:val="22"/>
        </w:rPr>
      </w:pPr>
      <w:r w:rsidRPr="00925D26">
        <w:rPr>
          <w:rStyle w:val="Strong"/>
          <w:rFonts w:ascii="Arial" w:eastAsiaTheme="majorEastAsia" w:hAnsi="Arial" w:cs="Arial"/>
          <w:b w:val="0"/>
          <w:bCs w:val="0"/>
          <w:sz w:val="22"/>
          <w:szCs w:val="22"/>
        </w:rPr>
        <w:t>Promote Sustainable Agriculture</w:t>
      </w:r>
      <w:r w:rsidRPr="00925D26">
        <w:rPr>
          <w:rFonts w:ascii="Arial" w:hAnsi="Arial" w:cs="Arial"/>
          <w:sz w:val="22"/>
          <w:szCs w:val="22"/>
        </w:rPr>
        <w:t>: Support smallholder farmers with access to land, credit, and education to boost food production while protecting the environment (FAO, 2020).</w:t>
      </w:r>
    </w:p>
    <w:p w14:paraId="71F4A19C" w14:textId="769E06AF" w:rsidR="00925D26" w:rsidRPr="00925D26" w:rsidRDefault="00925D26" w:rsidP="00925D26">
      <w:pPr>
        <w:pStyle w:val="NormalWeb"/>
        <w:numPr>
          <w:ilvl w:val="0"/>
          <w:numId w:val="8"/>
        </w:numPr>
        <w:spacing w:line="360" w:lineRule="auto"/>
        <w:rPr>
          <w:rFonts w:ascii="Arial" w:hAnsi="Arial" w:cs="Arial"/>
          <w:sz w:val="22"/>
          <w:szCs w:val="22"/>
        </w:rPr>
      </w:pPr>
      <w:r w:rsidRPr="00925D26">
        <w:rPr>
          <w:rStyle w:val="Strong"/>
          <w:rFonts w:ascii="Arial" w:eastAsiaTheme="majorEastAsia" w:hAnsi="Arial" w:cs="Arial"/>
          <w:b w:val="0"/>
          <w:bCs w:val="0"/>
          <w:sz w:val="22"/>
          <w:szCs w:val="22"/>
        </w:rPr>
        <w:t>Enhance Nutrition Education</w:t>
      </w:r>
      <w:r w:rsidRPr="00925D26">
        <w:rPr>
          <w:rFonts w:ascii="Arial" w:hAnsi="Arial" w:cs="Arial"/>
          <w:sz w:val="22"/>
          <w:szCs w:val="22"/>
        </w:rPr>
        <w:t>: Public health campaigns should focus on teaching healthier food choices and skills to grow or prepare nutritious meals (Baker et al., 2019).</w:t>
      </w:r>
    </w:p>
    <w:p w14:paraId="50E8DF26" w14:textId="4E309E40" w:rsidR="00925D26" w:rsidRPr="00925D26" w:rsidRDefault="00925D26" w:rsidP="00925D26">
      <w:pPr>
        <w:pStyle w:val="NormalWeb"/>
        <w:numPr>
          <w:ilvl w:val="0"/>
          <w:numId w:val="8"/>
        </w:numPr>
        <w:spacing w:line="360" w:lineRule="auto"/>
        <w:rPr>
          <w:rFonts w:ascii="Arial" w:hAnsi="Arial" w:cs="Arial"/>
          <w:sz w:val="22"/>
          <w:szCs w:val="22"/>
        </w:rPr>
      </w:pPr>
      <w:r w:rsidRPr="00925D26">
        <w:rPr>
          <w:rStyle w:val="Strong"/>
          <w:rFonts w:ascii="Arial" w:eastAsiaTheme="majorEastAsia" w:hAnsi="Arial" w:cs="Arial"/>
          <w:b w:val="0"/>
          <w:bCs w:val="0"/>
          <w:sz w:val="22"/>
          <w:szCs w:val="22"/>
        </w:rPr>
        <w:t>Address Gender Inequality</w:t>
      </w:r>
      <w:r w:rsidRPr="00925D26">
        <w:rPr>
          <w:rFonts w:ascii="Arial" w:hAnsi="Arial" w:cs="Arial"/>
          <w:sz w:val="22"/>
          <w:szCs w:val="22"/>
        </w:rPr>
        <w:t>: Ensure women have equal access to resources, land, and decision-making power in agriculture (FAO, 2019).</w:t>
      </w:r>
    </w:p>
    <w:p w14:paraId="10C589DA" w14:textId="54EE3B66" w:rsidR="00925D26" w:rsidRPr="00925D26" w:rsidRDefault="00925D26" w:rsidP="00925D26">
      <w:pPr>
        <w:pStyle w:val="NormalWeb"/>
        <w:numPr>
          <w:ilvl w:val="0"/>
          <w:numId w:val="8"/>
        </w:numPr>
        <w:spacing w:line="360" w:lineRule="auto"/>
        <w:rPr>
          <w:rFonts w:ascii="Arial" w:hAnsi="Arial" w:cs="Arial"/>
          <w:sz w:val="22"/>
          <w:szCs w:val="22"/>
        </w:rPr>
      </w:pPr>
      <w:r w:rsidRPr="00925D26">
        <w:rPr>
          <w:rStyle w:val="Strong"/>
          <w:rFonts w:ascii="Arial" w:eastAsiaTheme="majorEastAsia" w:hAnsi="Arial" w:cs="Arial"/>
          <w:b w:val="0"/>
          <w:bCs w:val="0"/>
          <w:sz w:val="22"/>
          <w:szCs w:val="22"/>
        </w:rPr>
        <w:t>Invest in Climate-Resilient Agriculture</w:t>
      </w:r>
      <w:r w:rsidRPr="00925D26">
        <w:rPr>
          <w:rFonts w:ascii="Arial" w:hAnsi="Arial" w:cs="Arial"/>
          <w:sz w:val="22"/>
          <w:szCs w:val="22"/>
        </w:rPr>
        <w:t>: Prioriti</w:t>
      </w:r>
      <w:r>
        <w:rPr>
          <w:rFonts w:ascii="Arial" w:hAnsi="Arial" w:cs="Arial"/>
          <w:sz w:val="22"/>
          <w:szCs w:val="22"/>
        </w:rPr>
        <w:t>s</w:t>
      </w:r>
      <w:r w:rsidRPr="00925D26">
        <w:rPr>
          <w:rFonts w:ascii="Arial" w:hAnsi="Arial" w:cs="Arial"/>
          <w:sz w:val="22"/>
          <w:szCs w:val="22"/>
        </w:rPr>
        <w:t>e climate-resilient crops and sustainable practices (IPCC, 2019).</w:t>
      </w:r>
    </w:p>
    <w:p w14:paraId="054629E5" w14:textId="62B074BA" w:rsidR="00925D26" w:rsidRPr="00925D26" w:rsidRDefault="00925D26" w:rsidP="00925D26">
      <w:pPr>
        <w:pStyle w:val="NormalWeb"/>
        <w:numPr>
          <w:ilvl w:val="0"/>
          <w:numId w:val="8"/>
        </w:numPr>
        <w:spacing w:line="360" w:lineRule="auto"/>
        <w:rPr>
          <w:rFonts w:ascii="Arial" w:hAnsi="Arial" w:cs="Arial"/>
          <w:sz w:val="22"/>
          <w:szCs w:val="22"/>
        </w:rPr>
      </w:pPr>
      <w:r w:rsidRPr="00925D26">
        <w:rPr>
          <w:rStyle w:val="Strong"/>
          <w:rFonts w:ascii="Arial" w:eastAsiaTheme="majorEastAsia" w:hAnsi="Arial" w:cs="Arial"/>
          <w:b w:val="0"/>
          <w:bCs w:val="0"/>
          <w:sz w:val="22"/>
          <w:szCs w:val="22"/>
        </w:rPr>
        <w:t>Expand Social Protection Programs</w:t>
      </w:r>
      <w:r w:rsidRPr="00925D26">
        <w:rPr>
          <w:rFonts w:ascii="Arial" w:hAnsi="Arial" w:cs="Arial"/>
          <w:sz w:val="22"/>
          <w:szCs w:val="22"/>
        </w:rPr>
        <w:t>: Strengthen cash transfers and food vouchers for vulnerable populations (WFP, 2020).</w:t>
      </w:r>
    </w:p>
    <w:p w14:paraId="11343565" w14:textId="77777777" w:rsidR="006F114A" w:rsidRPr="006F114A" w:rsidRDefault="006F114A" w:rsidP="006F114A">
      <w:pPr>
        <w:pStyle w:val="NormalWeb"/>
        <w:spacing w:line="360" w:lineRule="auto"/>
        <w:rPr>
          <w:rFonts w:ascii="Arial" w:hAnsi="Arial" w:cs="Arial"/>
          <w:sz w:val="22"/>
          <w:szCs w:val="22"/>
        </w:rPr>
      </w:pPr>
      <w:r w:rsidRPr="006F114A">
        <w:rPr>
          <w:rStyle w:val="Strong"/>
          <w:rFonts w:ascii="Arial" w:eastAsiaTheme="majorEastAsia" w:hAnsi="Arial" w:cs="Arial"/>
          <w:sz w:val="22"/>
          <w:szCs w:val="22"/>
        </w:rPr>
        <w:t>Conclusion</w:t>
      </w:r>
    </w:p>
    <w:p w14:paraId="1AF12ABA" w14:textId="09FB2C36" w:rsidR="006F114A" w:rsidRPr="006F114A" w:rsidRDefault="006F114A" w:rsidP="006F114A">
      <w:pPr>
        <w:pStyle w:val="NormalWeb"/>
        <w:spacing w:line="360" w:lineRule="auto"/>
        <w:rPr>
          <w:rFonts w:ascii="Arial" w:hAnsi="Arial" w:cs="Arial"/>
          <w:sz w:val="22"/>
          <w:szCs w:val="22"/>
        </w:rPr>
      </w:pPr>
      <w:r w:rsidRPr="006F114A">
        <w:rPr>
          <w:rFonts w:ascii="Arial" w:hAnsi="Arial" w:cs="Arial"/>
          <w:sz w:val="22"/>
          <w:szCs w:val="22"/>
        </w:rPr>
        <w:t>In conclusion, SDG 2 (Zero Hunger) and SDG 3 (Good Health and Well</w:t>
      </w:r>
      <w:r w:rsidR="00C93D81">
        <w:rPr>
          <w:rFonts w:ascii="Arial" w:hAnsi="Arial" w:cs="Arial"/>
          <w:sz w:val="22"/>
          <w:szCs w:val="22"/>
        </w:rPr>
        <w:t>-</w:t>
      </w:r>
      <w:r w:rsidRPr="006F114A">
        <w:rPr>
          <w:rFonts w:ascii="Arial" w:hAnsi="Arial" w:cs="Arial"/>
          <w:sz w:val="22"/>
          <w:szCs w:val="22"/>
        </w:rPr>
        <w:t xml:space="preserve">being) are deeply interconnected, as both aim to improve global health outcomes and address systemic inequalities. The key findings of this report </w:t>
      </w:r>
      <w:r w:rsidR="00C93D81">
        <w:rPr>
          <w:rFonts w:ascii="Arial" w:hAnsi="Arial" w:cs="Arial"/>
          <w:sz w:val="22"/>
          <w:szCs w:val="22"/>
        </w:rPr>
        <w:t>emphasise</w:t>
      </w:r>
      <w:r w:rsidRPr="006F114A">
        <w:rPr>
          <w:rFonts w:ascii="Arial" w:hAnsi="Arial" w:cs="Arial"/>
          <w:sz w:val="22"/>
          <w:szCs w:val="22"/>
        </w:rPr>
        <w:t xml:space="preserve"> the need for sustainable agricultural practices, enhanced nutrition education, and gender equality to reduce hunger and malnutrition. Policies like India’s National Food Security Act and Brazil's Zero Hunger Program have shown progress, but challenges like inefficiency, corruption, and regional </w:t>
      </w:r>
      <w:r w:rsidRPr="006F114A">
        <w:rPr>
          <w:rFonts w:ascii="Arial" w:hAnsi="Arial" w:cs="Arial"/>
          <w:sz w:val="22"/>
          <w:szCs w:val="22"/>
        </w:rPr>
        <w:lastRenderedPageBreak/>
        <w:t>disparities persist. Similarly, while SDG 3's universal health coverage is critical to promoting health, non-communicable diseases (NCDs) linked to poor nutrition complicate progress.</w:t>
      </w:r>
    </w:p>
    <w:p w14:paraId="3100DC8A" w14:textId="77777777" w:rsidR="006F114A" w:rsidRPr="006F114A" w:rsidRDefault="006F114A" w:rsidP="006F114A">
      <w:pPr>
        <w:pStyle w:val="NormalWeb"/>
        <w:spacing w:line="360" w:lineRule="auto"/>
        <w:rPr>
          <w:rFonts w:ascii="Arial" w:hAnsi="Arial" w:cs="Arial"/>
          <w:sz w:val="22"/>
          <w:szCs w:val="22"/>
        </w:rPr>
      </w:pPr>
      <w:r w:rsidRPr="006F114A">
        <w:rPr>
          <w:rFonts w:ascii="Arial" w:hAnsi="Arial" w:cs="Arial"/>
          <w:sz w:val="22"/>
          <w:szCs w:val="22"/>
        </w:rPr>
        <w:t>The interlinking of these SDGs highlights the importance of a holistic approach. Hunger and malnutrition exacerbate poor health outcomes, and inadequate health systems further hinder efforts to reduce food insecurity. Addressing the social determinants of health and improving food systems, including agriculture, education, and gender equity, is essential for achieving both SDGs. The broader implications point to the need for integrated policies that tackle the root causes of hunger and health disparities, focusing not just on food access, but on sustainable development, resilience, and long-term well-being.</w:t>
      </w:r>
    </w:p>
    <w:p w14:paraId="0919721A" w14:textId="2D3ABC21" w:rsidR="006F114A" w:rsidRPr="006F114A" w:rsidRDefault="006F114A" w:rsidP="006F114A">
      <w:pPr>
        <w:pStyle w:val="NormalWeb"/>
        <w:spacing w:line="360" w:lineRule="auto"/>
        <w:rPr>
          <w:rFonts w:ascii="Arial" w:hAnsi="Arial" w:cs="Arial"/>
          <w:sz w:val="22"/>
          <w:szCs w:val="22"/>
        </w:rPr>
      </w:pPr>
      <w:r w:rsidRPr="006F114A">
        <w:rPr>
          <w:rFonts w:ascii="Arial" w:hAnsi="Arial" w:cs="Arial"/>
          <w:sz w:val="22"/>
          <w:szCs w:val="22"/>
        </w:rPr>
        <w:t xml:space="preserve">To achieve these goals, more robust investment in climate-resilient agriculture, inclusive policies, and strengthened social protection systems will be essential in building a healthier, more food-secure world by 2030. Only by tackling hunger and health in tandem can we hope to achieve the overarching goals of the 2030 </w:t>
      </w:r>
      <w:r w:rsidR="002871C9">
        <w:rPr>
          <w:rFonts w:ascii="Arial" w:hAnsi="Arial" w:cs="Arial"/>
          <w:sz w:val="22"/>
          <w:szCs w:val="22"/>
        </w:rPr>
        <w:t>a</w:t>
      </w:r>
      <w:r w:rsidRPr="006F114A">
        <w:rPr>
          <w:rFonts w:ascii="Arial" w:hAnsi="Arial" w:cs="Arial"/>
          <w:sz w:val="22"/>
          <w:szCs w:val="22"/>
        </w:rPr>
        <w:t>genda.</w:t>
      </w:r>
    </w:p>
    <w:p w14:paraId="6B2D2EBA" w14:textId="77777777" w:rsidR="006F114A" w:rsidRDefault="006F114A" w:rsidP="00773FD5">
      <w:pPr>
        <w:pStyle w:val="NormalWeb"/>
      </w:pPr>
    </w:p>
    <w:p w14:paraId="512A6DED" w14:textId="77777777" w:rsidR="00773FD5" w:rsidRDefault="00773FD5" w:rsidP="00773FD5">
      <w:pPr>
        <w:pStyle w:val="NormalWeb"/>
      </w:pPr>
    </w:p>
    <w:p w14:paraId="0BFCA879" w14:textId="77777777" w:rsidR="00773FD5" w:rsidRDefault="00773FD5" w:rsidP="00773FD5">
      <w:pPr>
        <w:pStyle w:val="NormalWeb"/>
      </w:pPr>
    </w:p>
    <w:p w14:paraId="50DE2DF0" w14:textId="77777777" w:rsidR="00773FD5" w:rsidRDefault="00773FD5" w:rsidP="00773FD5">
      <w:pPr>
        <w:pStyle w:val="NormalWeb"/>
      </w:pPr>
    </w:p>
    <w:p w14:paraId="53D61C13" w14:textId="77777777" w:rsidR="00773FD5" w:rsidRDefault="00773FD5" w:rsidP="00773FD5">
      <w:pPr>
        <w:pStyle w:val="NormalWeb"/>
      </w:pPr>
    </w:p>
    <w:p w14:paraId="11414BF8" w14:textId="77777777" w:rsidR="00773FD5" w:rsidRDefault="00773FD5" w:rsidP="00773FD5">
      <w:pPr>
        <w:pStyle w:val="NormalWeb"/>
      </w:pPr>
    </w:p>
    <w:p w14:paraId="1B73FEE6" w14:textId="77777777" w:rsidR="00773FD5" w:rsidRDefault="00773FD5" w:rsidP="00773FD5">
      <w:pPr>
        <w:pStyle w:val="NormalWeb"/>
      </w:pPr>
    </w:p>
    <w:p w14:paraId="3166EC55" w14:textId="77777777" w:rsidR="00773FD5" w:rsidRDefault="00773FD5" w:rsidP="00773FD5">
      <w:pPr>
        <w:pStyle w:val="NormalWeb"/>
      </w:pPr>
    </w:p>
    <w:p w14:paraId="1A0DEB28" w14:textId="77777777" w:rsidR="00773FD5" w:rsidRDefault="00773FD5" w:rsidP="00773FD5">
      <w:pPr>
        <w:pStyle w:val="NormalWeb"/>
      </w:pPr>
    </w:p>
    <w:p w14:paraId="48CFBE77" w14:textId="77777777" w:rsidR="00773FD5" w:rsidRDefault="00773FD5" w:rsidP="00773FD5">
      <w:pPr>
        <w:pStyle w:val="NormalWeb"/>
      </w:pPr>
    </w:p>
    <w:p w14:paraId="50FB74EA" w14:textId="77777777" w:rsidR="00773FD5" w:rsidRDefault="00773FD5" w:rsidP="00773FD5">
      <w:pPr>
        <w:pStyle w:val="NormalWeb"/>
      </w:pPr>
    </w:p>
    <w:p w14:paraId="60FE4E80" w14:textId="77777777" w:rsidR="00773FD5" w:rsidRDefault="00773FD5" w:rsidP="00773FD5">
      <w:pPr>
        <w:pStyle w:val="NormalWeb"/>
      </w:pPr>
    </w:p>
    <w:p w14:paraId="508FBCE1" w14:textId="77777777" w:rsidR="00773FD5" w:rsidRDefault="00773FD5" w:rsidP="00773FD5">
      <w:pPr>
        <w:pStyle w:val="NormalWeb"/>
      </w:pPr>
    </w:p>
    <w:p w14:paraId="0928B232" w14:textId="77777777" w:rsidR="00773FD5" w:rsidRDefault="00773FD5" w:rsidP="00773FD5">
      <w:pPr>
        <w:pStyle w:val="NormalWeb"/>
      </w:pPr>
    </w:p>
    <w:p w14:paraId="7E10125D" w14:textId="77777777" w:rsidR="00773FD5" w:rsidRDefault="00773FD5" w:rsidP="00773FD5">
      <w:pPr>
        <w:pStyle w:val="NormalWeb"/>
      </w:pPr>
    </w:p>
    <w:p w14:paraId="384B6521" w14:textId="77777777" w:rsidR="003749F0" w:rsidRDefault="003749F0" w:rsidP="00925D26">
      <w:pPr>
        <w:pStyle w:val="NormalWeb"/>
        <w:spacing w:line="360" w:lineRule="auto"/>
        <w:rPr>
          <w:rFonts w:ascii="Arial" w:hAnsi="Arial" w:cs="Arial"/>
          <w:b/>
          <w:bCs/>
          <w:sz w:val="22"/>
          <w:szCs w:val="22"/>
          <w:u w:val="single"/>
        </w:rPr>
      </w:pPr>
      <w:r w:rsidRPr="003749F0">
        <w:rPr>
          <w:rFonts w:ascii="Arial" w:hAnsi="Arial" w:cs="Arial"/>
          <w:b/>
          <w:bCs/>
          <w:sz w:val="22"/>
          <w:szCs w:val="22"/>
          <w:u w:val="single"/>
        </w:rPr>
        <w:lastRenderedPageBreak/>
        <w:t>References</w:t>
      </w:r>
    </w:p>
    <w:p w14:paraId="6BF5D801" w14:textId="77777777" w:rsidR="00BD5AE1" w:rsidRPr="00BD5AE1" w:rsidRDefault="00BD5AE1" w:rsidP="00BD5AE1">
      <w:pPr>
        <w:pStyle w:val="NormalWeb"/>
        <w:spacing w:line="360" w:lineRule="auto"/>
        <w:rPr>
          <w:rFonts w:ascii="Arial" w:hAnsi="Arial" w:cs="Arial"/>
          <w:b/>
          <w:bCs/>
          <w:sz w:val="22"/>
          <w:szCs w:val="22"/>
          <w:u w:val="single"/>
        </w:rPr>
      </w:pPr>
      <w:r w:rsidRPr="00BD5AE1">
        <w:rPr>
          <w:rFonts w:ascii="Arial" w:hAnsi="Arial" w:cs="Arial"/>
          <w:sz w:val="22"/>
          <w:szCs w:val="22"/>
        </w:rPr>
        <w:t xml:space="preserve">Atun, R., de Andrade, L.O., Almeida, G., et al. (2015) ‘Health-System Reform and Universal Health Coverage in Latin America,’ </w:t>
      </w:r>
      <w:r w:rsidRPr="00BD5AE1">
        <w:rPr>
          <w:rStyle w:val="Emphasis"/>
          <w:rFonts w:ascii="Arial" w:eastAsiaTheme="majorEastAsia" w:hAnsi="Arial" w:cs="Arial"/>
          <w:sz w:val="22"/>
          <w:szCs w:val="22"/>
        </w:rPr>
        <w:t>The Lancet</w:t>
      </w:r>
      <w:r w:rsidRPr="00BD5AE1">
        <w:rPr>
          <w:rFonts w:ascii="Arial" w:hAnsi="Arial" w:cs="Arial"/>
          <w:sz w:val="22"/>
          <w:szCs w:val="22"/>
        </w:rPr>
        <w:t>, 385(9976), pp. 1230-1244.</w:t>
      </w:r>
    </w:p>
    <w:p w14:paraId="516C7CFF" w14:textId="77777777" w:rsidR="00BD5AE1" w:rsidRPr="00BD5AE1" w:rsidRDefault="00BD5AE1" w:rsidP="00BD5AE1">
      <w:pPr>
        <w:pStyle w:val="NormalWeb"/>
        <w:spacing w:line="360" w:lineRule="auto"/>
        <w:rPr>
          <w:rFonts w:ascii="Arial" w:hAnsi="Arial" w:cs="Arial"/>
          <w:sz w:val="22"/>
          <w:szCs w:val="22"/>
        </w:rPr>
      </w:pPr>
      <w:r w:rsidRPr="00BD5AE1">
        <w:rPr>
          <w:rFonts w:ascii="Arial" w:hAnsi="Arial" w:cs="Arial"/>
          <w:sz w:val="22"/>
          <w:szCs w:val="22"/>
        </w:rPr>
        <w:t xml:space="preserve">Baker, P., Machado, P., Santos, T., et al. (2019) ‘Ultra-processed Food and Health Outcomes: A Systematic Review of Epidemiological Studies,’ </w:t>
      </w:r>
      <w:r w:rsidRPr="00BD5AE1">
        <w:rPr>
          <w:rStyle w:val="Emphasis"/>
          <w:rFonts w:ascii="Arial" w:eastAsiaTheme="majorEastAsia" w:hAnsi="Arial" w:cs="Arial"/>
          <w:sz w:val="22"/>
          <w:szCs w:val="22"/>
        </w:rPr>
        <w:t>British Medical Journal</w:t>
      </w:r>
      <w:r w:rsidRPr="00BD5AE1">
        <w:rPr>
          <w:rFonts w:ascii="Arial" w:hAnsi="Arial" w:cs="Arial"/>
          <w:sz w:val="22"/>
          <w:szCs w:val="22"/>
        </w:rPr>
        <w:t>, 365, pp. 1-10.</w:t>
      </w:r>
    </w:p>
    <w:p w14:paraId="4A042C5C" w14:textId="77777777" w:rsidR="00BD5AE1" w:rsidRPr="00BD5AE1" w:rsidRDefault="00BD5AE1" w:rsidP="00BD5AE1">
      <w:pPr>
        <w:pStyle w:val="NormalWeb"/>
        <w:spacing w:line="360" w:lineRule="auto"/>
        <w:rPr>
          <w:rFonts w:ascii="Arial" w:hAnsi="Arial" w:cs="Arial"/>
          <w:sz w:val="22"/>
          <w:szCs w:val="22"/>
        </w:rPr>
      </w:pPr>
      <w:r w:rsidRPr="00BD5AE1">
        <w:rPr>
          <w:rFonts w:ascii="Arial" w:hAnsi="Arial" w:cs="Arial"/>
          <w:sz w:val="22"/>
          <w:szCs w:val="22"/>
        </w:rPr>
        <w:t xml:space="preserve">Bronfenbrenner, U. (1979) </w:t>
      </w:r>
      <w:r w:rsidRPr="00BD5AE1">
        <w:rPr>
          <w:rStyle w:val="Emphasis"/>
          <w:rFonts w:ascii="Arial" w:eastAsiaTheme="majorEastAsia" w:hAnsi="Arial" w:cs="Arial"/>
          <w:sz w:val="22"/>
          <w:szCs w:val="22"/>
        </w:rPr>
        <w:t>The Ecology of Human Development: Experiments by Nature and Design</w:t>
      </w:r>
      <w:r w:rsidRPr="00BD5AE1">
        <w:rPr>
          <w:rFonts w:ascii="Arial" w:hAnsi="Arial" w:cs="Arial"/>
          <w:sz w:val="22"/>
          <w:szCs w:val="22"/>
        </w:rPr>
        <w:t>. Harvard University Press.</w:t>
      </w:r>
    </w:p>
    <w:p w14:paraId="1D26AA94" w14:textId="77777777" w:rsidR="00BD5AE1" w:rsidRPr="00BD5AE1" w:rsidRDefault="00BD5AE1" w:rsidP="00BD5AE1">
      <w:pPr>
        <w:pStyle w:val="NormalWeb"/>
        <w:spacing w:line="360" w:lineRule="auto"/>
        <w:rPr>
          <w:rFonts w:ascii="Arial" w:hAnsi="Arial" w:cs="Arial"/>
          <w:sz w:val="22"/>
          <w:szCs w:val="22"/>
        </w:rPr>
      </w:pPr>
      <w:r w:rsidRPr="00BD5AE1">
        <w:rPr>
          <w:rFonts w:ascii="Arial" w:hAnsi="Arial" w:cs="Arial"/>
          <w:sz w:val="22"/>
          <w:szCs w:val="22"/>
        </w:rPr>
        <w:t xml:space="preserve">FAO (2019) </w:t>
      </w:r>
      <w:r w:rsidRPr="00BD5AE1">
        <w:rPr>
          <w:rStyle w:val="Emphasis"/>
          <w:rFonts w:ascii="Arial" w:eastAsiaTheme="majorEastAsia" w:hAnsi="Arial" w:cs="Arial"/>
          <w:sz w:val="22"/>
          <w:szCs w:val="22"/>
        </w:rPr>
        <w:t>The State of Food Security and Nutrition in the World 2019</w:t>
      </w:r>
      <w:r w:rsidRPr="00BD5AE1">
        <w:rPr>
          <w:rFonts w:ascii="Arial" w:hAnsi="Arial" w:cs="Arial"/>
          <w:sz w:val="22"/>
          <w:szCs w:val="22"/>
        </w:rPr>
        <w:t>. Food and Agriculture Organisation of the United Nations</w:t>
      </w:r>
    </w:p>
    <w:p w14:paraId="6F6AAB7B" w14:textId="77777777" w:rsidR="00BD5AE1" w:rsidRPr="00BD5AE1" w:rsidRDefault="00BD5AE1" w:rsidP="00BD5AE1">
      <w:pPr>
        <w:pStyle w:val="NormalWeb"/>
        <w:spacing w:line="360" w:lineRule="auto"/>
        <w:rPr>
          <w:rFonts w:ascii="Arial" w:hAnsi="Arial" w:cs="Arial"/>
          <w:sz w:val="22"/>
          <w:szCs w:val="22"/>
        </w:rPr>
      </w:pPr>
      <w:r w:rsidRPr="00BD5AE1">
        <w:rPr>
          <w:rFonts w:ascii="Arial" w:hAnsi="Arial" w:cs="Arial"/>
          <w:sz w:val="22"/>
          <w:szCs w:val="22"/>
        </w:rPr>
        <w:t xml:space="preserve">FAO (2020) </w:t>
      </w:r>
      <w:r w:rsidRPr="00BD5AE1">
        <w:rPr>
          <w:rStyle w:val="Emphasis"/>
          <w:rFonts w:ascii="Arial" w:eastAsiaTheme="majorEastAsia" w:hAnsi="Arial" w:cs="Arial"/>
          <w:sz w:val="22"/>
          <w:szCs w:val="22"/>
        </w:rPr>
        <w:t>Food Security and Nutrition Around the World</w:t>
      </w:r>
      <w:r w:rsidRPr="00BD5AE1">
        <w:rPr>
          <w:rFonts w:ascii="Arial" w:hAnsi="Arial" w:cs="Arial"/>
          <w:sz w:val="22"/>
          <w:szCs w:val="22"/>
        </w:rPr>
        <w:t xml:space="preserve">. Food and Agriculture Organisation of the United Nations. </w:t>
      </w:r>
    </w:p>
    <w:p w14:paraId="6A4184F8" w14:textId="77777777" w:rsidR="00BD5AE1" w:rsidRPr="00BD5AE1" w:rsidRDefault="00BD5AE1" w:rsidP="00BD5AE1">
      <w:pPr>
        <w:pStyle w:val="NormalWeb"/>
        <w:spacing w:line="360" w:lineRule="auto"/>
        <w:rPr>
          <w:rFonts w:ascii="Arial" w:hAnsi="Arial" w:cs="Arial"/>
          <w:sz w:val="22"/>
          <w:szCs w:val="22"/>
        </w:rPr>
      </w:pPr>
      <w:r w:rsidRPr="00BD5AE1">
        <w:rPr>
          <w:rFonts w:ascii="Arial" w:hAnsi="Arial" w:cs="Arial"/>
          <w:sz w:val="22"/>
          <w:szCs w:val="22"/>
        </w:rPr>
        <w:t xml:space="preserve">Garrido, J., Medina, F., and Sánchez, D. (2017) ‘Urban Agriculture and Food Security: A Review of Mexican Experiences,’ </w:t>
      </w:r>
      <w:r w:rsidRPr="00BD5AE1">
        <w:rPr>
          <w:rStyle w:val="Emphasis"/>
          <w:rFonts w:ascii="Arial" w:eastAsiaTheme="majorEastAsia" w:hAnsi="Arial" w:cs="Arial"/>
          <w:sz w:val="22"/>
          <w:szCs w:val="22"/>
        </w:rPr>
        <w:t>Urban Agriculture Magazine</w:t>
      </w:r>
      <w:r w:rsidRPr="00BD5AE1">
        <w:rPr>
          <w:rFonts w:ascii="Arial" w:hAnsi="Arial" w:cs="Arial"/>
          <w:sz w:val="22"/>
          <w:szCs w:val="22"/>
        </w:rPr>
        <w:t>, 27, pp. 12-14.</w:t>
      </w:r>
    </w:p>
    <w:p w14:paraId="6E96FE86" w14:textId="77777777" w:rsidR="00BD5AE1" w:rsidRPr="00BD5AE1" w:rsidRDefault="00BD5AE1" w:rsidP="00BD5AE1">
      <w:pPr>
        <w:pStyle w:val="NormalWeb"/>
        <w:spacing w:line="360" w:lineRule="auto"/>
        <w:rPr>
          <w:rFonts w:ascii="Arial" w:hAnsi="Arial" w:cs="Arial"/>
          <w:sz w:val="22"/>
          <w:szCs w:val="22"/>
        </w:rPr>
      </w:pPr>
      <w:r w:rsidRPr="00BD5AE1">
        <w:rPr>
          <w:rFonts w:ascii="Arial" w:hAnsi="Arial" w:cs="Arial"/>
          <w:sz w:val="22"/>
          <w:szCs w:val="22"/>
        </w:rPr>
        <w:t xml:space="preserve">Ghebreyesus, T.A. (2019) </w:t>
      </w:r>
      <w:r w:rsidRPr="00BD5AE1">
        <w:rPr>
          <w:rStyle w:val="Emphasis"/>
          <w:rFonts w:ascii="Arial" w:eastAsiaTheme="majorEastAsia" w:hAnsi="Arial" w:cs="Arial"/>
          <w:sz w:val="22"/>
          <w:szCs w:val="22"/>
        </w:rPr>
        <w:t>Universal Health Coverage: Key to Achieving Health for All</w:t>
      </w:r>
      <w:r w:rsidRPr="00BD5AE1">
        <w:rPr>
          <w:rFonts w:ascii="Arial" w:hAnsi="Arial" w:cs="Arial"/>
          <w:sz w:val="22"/>
          <w:szCs w:val="22"/>
        </w:rPr>
        <w:t xml:space="preserve">. World Health Organisation. </w:t>
      </w:r>
    </w:p>
    <w:p w14:paraId="31AF521E" w14:textId="77777777" w:rsidR="00BD5AE1" w:rsidRPr="00BD5AE1" w:rsidRDefault="00BD5AE1" w:rsidP="00BD5AE1">
      <w:pPr>
        <w:pStyle w:val="NormalWeb"/>
        <w:spacing w:line="360" w:lineRule="auto"/>
        <w:rPr>
          <w:rFonts w:ascii="Arial" w:hAnsi="Arial" w:cs="Arial"/>
          <w:sz w:val="22"/>
          <w:szCs w:val="22"/>
        </w:rPr>
      </w:pPr>
      <w:r w:rsidRPr="00BD5AE1">
        <w:rPr>
          <w:rFonts w:ascii="Arial" w:hAnsi="Arial" w:cs="Arial"/>
          <w:sz w:val="22"/>
          <w:szCs w:val="22"/>
        </w:rPr>
        <w:t xml:space="preserve">Ghosh, J. (2018) </w:t>
      </w:r>
      <w:r w:rsidRPr="00BD5AE1">
        <w:rPr>
          <w:rStyle w:val="Emphasis"/>
          <w:rFonts w:ascii="Arial" w:eastAsiaTheme="majorEastAsia" w:hAnsi="Arial" w:cs="Arial"/>
          <w:sz w:val="22"/>
          <w:szCs w:val="22"/>
        </w:rPr>
        <w:t>The Politics of Food Security: Understanding India's National Food Security Act</w:t>
      </w:r>
      <w:r w:rsidRPr="00BD5AE1">
        <w:rPr>
          <w:rFonts w:ascii="Arial" w:hAnsi="Arial" w:cs="Arial"/>
          <w:sz w:val="22"/>
          <w:szCs w:val="22"/>
        </w:rPr>
        <w:t>. Cambridge University Press.</w:t>
      </w:r>
    </w:p>
    <w:p w14:paraId="2DEE110E" w14:textId="77777777" w:rsidR="00BD5AE1" w:rsidRPr="00BD5AE1" w:rsidRDefault="00BD5AE1" w:rsidP="00BD5AE1">
      <w:pPr>
        <w:pStyle w:val="NormalWeb"/>
        <w:spacing w:line="360" w:lineRule="auto"/>
        <w:rPr>
          <w:rFonts w:ascii="Arial" w:hAnsi="Arial" w:cs="Arial"/>
          <w:sz w:val="22"/>
          <w:szCs w:val="22"/>
        </w:rPr>
      </w:pPr>
      <w:r w:rsidRPr="00BD5AE1">
        <w:rPr>
          <w:rFonts w:ascii="Arial" w:hAnsi="Arial" w:cs="Arial"/>
          <w:sz w:val="22"/>
          <w:szCs w:val="22"/>
        </w:rPr>
        <w:t xml:space="preserve">Global Fund (2020) </w:t>
      </w:r>
      <w:r w:rsidRPr="00BD5AE1">
        <w:rPr>
          <w:rStyle w:val="Emphasis"/>
          <w:rFonts w:ascii="Arial" w:eastAsiaTheme="majorEastAsia" w:hAnsi="Arial" w:cs="Arial"/>
          <w:sz w:val="22"/>
          <w:szCs w:val="22"/>
        </w:rPr>
        <w:t>Annual Report 2020</w:t>
      </w:r>
      <w:r w:rsidRPr="00BD5AE1">
        <w:rPr>
          <w:rFonts w:ascii="Arial" w:hAnsi="Arial" w:cs="Arial"/>
          <w:sz w:val="22"/>
          <w:szCs w:val="22"/>
        </w:rPr>
        <w:t>. Available at: https://www.theglobalfund.org/en/annual-report/ (Accessed: 3 March 2026).</w:t>
      </w:r>
    </w:p>
    <w:p w14:paraId="21111CDB" w14:textId="77777777" w:rsidR="00BD5AE1" w:rsidRPr="00BD5AE1" w:rsidRDefault="00BD5AE1" w:rsidP="00BD5AE1">
      <w:pPr>
        <w:pStyle w:val="NormalWeb"/>
        <w:spacing w:line="360" w:lineRule="auto"/>
        <w:rPr>
          <w:rFonts w:ascii="Arial" w:hAnsi="Arial" w:cs="Arial"/>
          <w:sz w:val="22"/>
          <w:szCs w:val="22"/>
        </w:rPr>
      </w:pPr>
      <w:r w:rsidRPr="00BD5AE1">
        <w:rPr>
          <w:rFonts w:ascii="Arial" w:hAnsi="Arial" w:cs="Arial"/>
          <w:sz w:val="22"/>
          <w:szCs w:val="22"/>
        </w:rPr>
        <w:t xml:space="preserve">IPCC (2019) </w:t>
      </w:r>
      <w:r w:rsidRPr="00BD5AE1">
        <w:rPr>
          <w:rStyle w:val="Emphasis"/>
          <w:rFonts w:ascii="Arial" w:eastAsiaTheme="majorEastAsia" w:hAnsi="Arial" w:cs="Arial"/>
          <w:sz w:val="22"/>
          <w:szCs w:val="22"/>
        </w:rPr>
        <w:t>Climate Change and Land: Special Report</w:t>
      </w:r>
      <w:r w:rsidRPr="00BD5AE1">
        <w:rPr>
          <w:rFonts w:ascii="Arial" w:hAnsi="Arial" w:cs="Arial"/>
          <w:sz w:val="22"/>
          <w:szCs w:val="22"/>
        </w:rPr>
        <w:t xml:space="preserve">. Intergovernmental Panel on Climate Change. Available at: </w:t>
      </w:r>
      <w:hyperlink r:id="rId5" w:tgtFrame="_new" w:history="1">
        <w:r w:rsidRPr="00BD5AE1">
          <w:rPr>
            <w:rStyle w:val="Hyperlink"/>
            <w:rFonts w:ascii="Arial" w:eastAsiaTheme="majorEastAsia" w:hAnsi="Arial" w:cs="Arial"/>
            <w:sz w:val="22"/>
            <w:szCs w:val="22"/>
          </w:rPr>
          <w:t>https://www.ipcc.ch/srccl/</w:t>
        </w:r>
      </w:hyperlink>
    </w:p>
    <w:p w14:paraId="288CBE13" w14:textId="77777777" w:rsidR="00BD5AE1" w:rsidRPr="00BD5AE1" w:rsidRDefault="00BD5AE1" w:rsidP="00BD5AE1">
      <w:pPr>
        <w:pStyle w:val="NormalWeb"/>
        <w:spacing w:line="360" w:lineRule="auto"/>
        <w:rPr>
          <w:rFonts w:ascii="Arial" w:hAnsi="Arial" w:cs="Arial"/>
          <w:sz w:val="22"/>
          <w:szCs w:val="22"/>
        </w:rPr>
      </w:pPr>
      <w:r w:rsidRPr="00BD5AE1">
        <w:rPr>
          <w:rFonts w:ascii="Arial" w:hAnsi="Arial" w:cs="Arial"/>
          <w:sz w:val="22"/>
          <w:szCs w:val="22"/>
        </w:rPr>
        <w:t xml:space="preserve">Kieny, M.P., </w:t>
      </w:r>
      <w:proofErr w:type="spellStart"/>
      <w:r w:rsidRPr="00BD5AE1">
        <w:rPr>
          <w:rFonts w:ascii="Arial" w:hAnsi="Arial" w:cs="Arial"/>
          <w:sz w:val="22"/>
          <w:szCs w:val="22"/>
        </w:rPr>
        <w:t>Bekedam</w:t>
      </w:r>
      <w:proofErr w:type="spellEnd"/>
      <w:r w:rsidRPr="00BD5AE1">
        <w:rPr>
          <w:rFonts w:ascii="Arial" w:hAnsi="Arial" w:cs="Arial"/>
          <w:sz w:val="22"/>
          <w:szCs w:val="22"/>
        </w:rPr>
        <w:t xml:space="preserve">, H., </w:t>
      </w:r>
      <w:proofErr w:type="spellStart"/>
      <w:r w:rsidRPr="00BD5AE1">
        <w:rPr>
          <w:rFonts w:ascii="Arial" w:hAnsi="Arial" w:cs="Arial"/>
          <w:sz w:val="22"/>
          <w:szCs w:val="22"/>
        </w:rPr>
        <w:t>Dovlo</w:t>
      </w:r>
      <w:proofErr w:type="spellEnd"/>
      <w:r w:rsidRPr="00BD5AE1">
        <w:rPr>
          <w:rFonts w:ascii="Arial" w:hAnsi="Arial" w:cs="Arial"/>
          <w:sz w:val="22"/>
          <w:szCs w:val="22"/>
        </w:rPr>
        <w:t xml:space="preserve">, D., et al. (2017) ‘Strengthening Health Systems for Universal Health Coverage and Sustainable Development,’ </w:t>
      </w:r>
      <w:r w:rsidRPr="00BD5AE1">
        <w:rPr>
          <w:rStyle w:val="Emphasis"/>
          <w:rFonts w:ascii="Arial" w:eastAsiaTheme="majorEastAsia" w:hAnsi="Arial" w:cs="Arial"/>
          <w:sz w:val="22"/>
          <w:szCs w:val="22"/>
        </w:rPr>
        <w:t>Bulletin of the World Health Organisation</w:t>
      </w:r>
      <w:r w:rsidRPr="00BD5AE1">
        <w:rPr>
          <w:rFonts w:ascii="Arial" w:hAnsi="Arial" w:cs="Arial"/>
          <w:sz w:val="22"/>
          <w:szCs w:val="22"/>
        </w:rPr>
        <w:t>, 95(10), pp. 675-681.</w:t>
      </w:r>
    </w:p>
    <w:p w14:paraId="3A64A170" w14:textId="77777777" w:rsidR="00BD5AE1" w:rsidRPr="00BD5AE1" w:rsidRDefault="00BD5AE1" w:rsidP="00BD5AE1">
      <w:pPr>
        <w:pStyle w:val="NormalWeb"/>
        <w:spacing w:line="360" w:lineRule="auto"/>
        <w:rPr>
          <w:rFonts w:ascii="Arial" w:hAnsi="Arial" w:cs="Arial"/>
          <w:sz w:val="22"/>
          <w:szCs w:val="22"/>
        </w:rPr>
      </w:pPr>
      <w:r w:rsidRPr="00BD5AE1">
        <w:rPr>
          <w:rFonts w:ascii="Arial" w:hAnsi="Arial" w:cs="Arial"/>
          <w:sz w:val="22"/>
          <w:szCs w:val="22"/>
        </w:rPr>
        <w:t xml:space="preserve">Klein, R. (2013) </w:t>
      </w:r>
      <w:r w:rsidRPr="00BD5AE1">
        <w:rPr>
          <w:rStyle w:val="Emphasis"/>
          <w:rFonts w:ascii="Arial" w:eastAsiaTheme="majorEastAsia" w:hAnsi="Arial" w:cs="Arial"/>
          <w:sz w:val="22"/>
          <w:szCs w:val="22"/>
        </w:rPr>
        <w:t>The New Politics of the NHS: From Creation to Reinvention</w:t>
      </w:r>
      <w:r w:rsidRPr="00BD5AE1">
        <w:rPr>
          <w:rFonts w:ascii="Arial" w:hAnsi="Arial" w:cs="Arial"/>
          <w:sz w:val="22"/>
          <w:szCs w:val="22"/>
        </w:rPr>
        <w:t>. 6th ed. Oxford: Routledge.</w:t>
      </w:r>
    </w:p>
    <w:p w14:paraId="41922AEA" w14:textId="77777777" w:rsidR="00BD5AE1" w:rsidRPr="00BD5AE1" w:rsidRDefault="00BD5AE1" w:rsidP="00BD5AE1">
      <w:pPr>
        <w:pStyle w:val="NormalWeb"/>
        <w:spacing w:line="360" w:lineRule="auto"/>
        <w:rPr>
          <w:rFonts w:ascii="Arial" w:hAnsi="Arial" w:cs="Arial"/>
          <w:sz w:val="22"/>
          <w:szCs w:val="22"/>
        </w:rPr>
      </w:pPr>
      <w:r w:rsidRPr="00BD5AE1">
        <w:rPr>
          <w:rFonts w:ascii="Arial" w:hAnsi="Arial" w:cs="Arial"/>
          <w:sz w:val="22"/>
          <w:szCs w:val="22"/>
        </w:rPr>
        <w:lastRenderedPageBreak/>
        <w:t xml:space="preserve">Marmot, M. (2017) </w:t>
      </w:r>
      <w:r w:rsidRPr="00BD5AE1">
        <w:rPr>
          <w:rStyle w:val="Emphasis"/>
          <w:rFonts w:ascii="Arial" w:eastAsiaTheme="majorEastAsia" w:hAnsi="Arial" w:cs="Arial"/>
          <w:sz w:val="22"/>
          <w:szCs w:val="22"/>
        </w:rPr>
        <w:t>The Health Gap: The Challenge of an Unequal World</w:t>
      </w:r>
      <w:r w:rsidRPr="00BD5AE1">
        <w:rPr>
          <w:rFonts w:ascii="Arial" w:hAnsi="Arial" w:cs="Arial"/>
          <w:sz w:val="22"/>
          <w:szCs w:val="22"/>
        </w:rPr>
        <w:t>. Bloomsbury Publishing.</w:t>
      </w:r>
    </w:p>
    <w:p w14:paraId="1F853C0F" w14:textId="77777777" w:rsidR="00BD5AE1" w:rsidRPr="00BD5AE1" w:rsidRDefault="00BD5AE1" w:rsidP="00BD5AE1">
      <w:pPr>
        <w:pStyle w:val="NormalWeb"/>
        <w:spacing w:line="360" w:lineRule="auto"/>
        <w:rPr>
          <w:rFonts w:ascii="Arial" w:hAnsi="Arial" w:cs="Arial"/>
          <w:sz w:val="22"/>
          <w:szCs w:val="22"/>
        </w:rPr>
      </w:pPr>
      <w:r w:rsidRPr="00BD5AE1">
        <w:rPr>
          <w:rFonts w:ascii="Arial" w:hAnsi="Arial" w:cs="Arial"/>
          <w:sz w:val="22"/>
          <w:szCs w:val="22"/>
        </w:rPr>
        <w:t xml:space="preserve">Ministry of Health and Family Welfare (MHFW) (2018) </w:t>
      </w:r>
      <w:r w:rsidRPr="00BD5AE1">
        <w:rPr>
          <w:rStyle w:val="Emphasis"/>
          <w:rFonts w:ascii="Arial" w:eastAsiaTheme="majorEastAsia" w:hAnsi="Arial" w:cs="Arial"/>
          <w:sz w:val="22"/>
          <w:szCs w:val="22"/>
        </w:rPr>
        <w:t>Ayushman Bharat: National Health Protection Scheme</w:t>
      </w:r>
      <w:r w:rsidRPr="00BD5AE1">
        <w:rPr>
          <w:rFonts w:ascii="Arial" w:hAnsi="Arial" w:cs="Arial"/>
          <w:sz w:val="22"/>
          <w:szCs w:val="22"/>
        </w:rPr>
        <w:t xml:space="preserve">. Available at: </w:t>
      </w:r>
      <w:hyperlink r:id="rId6" w:tgtFrame="_new" w:history="1">
        <w:r w:rsidRPr="00BD5AE1">
          <w:rPr>
            <w:rStyle w:val="Hyperlink"/>
            <w:rFonts w:ascii="Arial" w:eastAsiaTheme="majorEastAsia" w:hAnsi="Arial" w:cs="Arial"/>
            <w:sz w:val="22"/>
            <w:szCs w:val="22"/>
          </w:rPr>
          <w:t>https://www.pmjay.gov.in/</w:t>
        </w:r>
      </w:hyperlink>
      <w:r w:rsidRPr="00BD5AE1">
        <w:rPr>
          <w:rFonts w:ascii="Arial" w:hAnsi="Arial" w:cs="Arial"/>
          <w:sz w:val="22"/>
          <w:szCs w:val="22"/>
        </w:rPr>
        <w:t xml:space="preserve"> </w:t>
      </w:r>
    </w:p>
    <w:p w14:paraId="555DD840" w14:textId="77777777" w:rsidR="00BD5AE1" w:rsidRPr="00BD5AE1" w:rsidRDefault="00BD5AE1" w:rsidP="00BD5AE1">
      <w:pPr>
        <w:pStyle w:val="NormalWeb"/>
        <w:spacing w:line="360" w:lineRule="auto"/>
        <w:rPr>
          <w:rFonts w:ascii="Arial" w:hAnsi="Arial" w:cs="Arial"/>
          <w:sz w:val="22"/>
          <w:szCs w:val="22"/>
        </w:rPr>
      </w:pPr>
      <w:r w:rsidRPr="00BD5AE1">
        <w:rPr>
          <w:rFonts w:ascii="Arial" w:hAnsi="Arial" w:cs="Arial"/>
          <w:sz w:val="22"/>
          <w:szCs w:val="22"/>
        </w:rPr>
        <w:t xml:space="preserve">Muller, R., van der Hoeven, M., and Walker, M. (2015) ‘Mobile Health Clinics: A Solution to Healthcare Accessibility in Rural Areas,’ </w:t>
      </w:r>
      <w:r w:rsidRPr="00BD5AE1">
        <w:rPr>
          <w:rStyle w:val="Emphasis"/>
          <w:rFonts w:ascii="Arial" w:eastAsiaTheme="majorEastAsia" w:hAnsi="Arial" w:cs="Arial"/>
          <w:sz w:val="22"/>
          <w:szCs w:val="22"/>
        </w:rPr>
        <w:t>Journal of Community Health</w:t>
      </w:r>
      <w:r w:rsidRPr="00BD5AE1">
        <w:rPr>
          <w:rFonts w:ascii="Arial" w:hAnsi="Arial" w:cs="Arial"/>
          <w:sz w:val="22"/>
          <w:szCs w:val="22"/>
        </w:rPr>
        <w:t>, 40(5), pp. 909-915.</w:t>
      </w:r>
    </w:p>
    <w:p w14:paraId="0C3DF010" w14:textId="77777777" w:rsidR="00BD5AE1" w:rsidRPr="00BD5AE1" w:rsidRDefault="00BD5AE1" w:rsidP="00BD5AE1">
      <w:pPr>
        <w:pStyle w:val="NormalWeb"/>
        <w:spacing w:line="360" w:lineRule="auto"/>
        <w:rPr>
          <w:rFonts w:ascii="Arial" w:hAnsi="Arial" w:cs="Arial"/>
          <w:sz w:val="22"/>
          <w:szCs w:val="22"/>
        </w:rPr>
      </w:pPr>
      <w:r w:rsidRPr="00BD5AE1">
        <w:rPr>
          <w:rFonts w:ascii="Arial" w:hAnsi="Arial" w:cs="Arial"/>
          <w:sz w:val="22"/>
          <w:szCs w:val="22"/>
        </w:rPr>
        <w:t xml:space="preserve">Patel, V., Ramasundarahettige, C., and Vijayakumar, L. (2017) ‘Health System Strengthening for the Global Mental Health Agenda,’ </w:t>
      </w:r>
      <w:r w:rsidRPr="00BD5AE1">
        <w:rPr>
          <w:rStyle w:val="Emphasis"/>
          <w:rFonts w:ascii="Arial" w:eastAsiaTheme="majorEastAsia" w:hAnsi="Arial" w:cs="Arial"/>
          <w:sz w:val="22"/>
          <w:szCs w:val="22"/>
        </w:rPr>
        <w:t>The Lancet Psychiatry</w:t>
      </w:r>
      <w:r w:rsidRPr="00BD5AE1">
        <w:rPr>
          <w:rFonts w:ascii="Arial" w:hAnsi="Arial" w:cs="Arial"/>
          <w:sz w:val="22"/>
          <w:szCs w:val="22"/>
        </w:rPr>
        <w:t>, 4(7), pp. 514-525.</w:t>
      </w:r>
    </w:p>
    <w:p w14:paraId="3F2F3D00" w14:textId="77777777" w:rsidR="00BD5AE1" w:rsidRPr="00BD5AE1" w:rsidRDefault="00BD5AE1" w:rsidP="00BD5AE1">
      <w:pPr>
        <w:pStyle w:val="NormalWeb"/>
        <w:spacing w:line="360" w:lineRule="auto"/>
        <w:rPr>
          <w:rFonts w:ascii="Arial" w:hAnsi="Arial" w:cs="Arial"/>
          <w:sz w:val="22"/>
          <w:szCs w:val="22"/>
        </w:rPr>
      </w:pPr>
      <w:r w:rsidRPr="00BD5AE1">
        <w:rPr>
          <w:rFonts w:ascii="Arial" w:hAnsi="Arial" w:cs="Arial"/>
          <w:sz w:val="22"/>
          <w:szCs w:val="22"/>
        </w:rPr>
        <w:t xml:space="preserve">Rosenstock, I.M. (1974) ‘Historical Origins of the Health Belief Model,’ </w:t>
      </w:r>
      <w:r w:rsidRPr="00BD5AE1">
        <w:rPr>
          <w:rStyle w:val="Emphasis"/>
          <w:rFonts w:ascii="Arial" w:eastAsiaTheme="majorEastAsia" w:hAnsi="Arial" w:cs="Arial"/>
          <w:sz w:val="22"/>
          <w:szCs w:val="22"/>
        </w:rPr>
        <w:t>Health Education Monographs</w:t>
      </w:r>
      <w:r w:rsidRPr="00BD5AE1">
        <w:rPr>
          <w:rFonts w:ascii="Arial" w:hAnsi="Arial" w:cs="Arial"/>
          <w:sz w:val="22"/>
          <w:szCs w:val="22"/>
        </w:rPr>
        <w:t>, 2(4), pp. 328-335.</w:t>
      </w:r>
    </w:p>
    <w:p w14:paraId="124402C4" w14:textId="77777777" w:rsidR="00BD5AE1" w:rsidRPr="00BD5AE1" w:rsidRDefault="00BD5AE1" w:rsidP="00BD5AE1">
      <w:pPr>
        <w:pStyle w:val="NormalWeb"/>
        <w:spacing w:line="360" w:lineRule="auto"/>
        <w:rPr>
          <w:rFonts w:ascii="Arial" w:hAnsi="Arial" w:cs="Arial"/>
          <w:sz w:val="22"/>
          <w:szCs w:val="22"/>
        </w:rPr>
      </w:pPr>
      <w:r w:rsidRPr="00BD5AE1">
        <w:rPr>
          <w:rFonts w:ascii="Arial" w:hAnsi="Arial" w:cs="Arial"/>
          <w:sz w:val="22"/>
          <w:szCs w:val="22"/>
        </w:rPr>
        <w:t xml:space="preserve">United Nations (2015) </w:t>
      </w:r>
      <w:r w:rsidRPr="00BD5AE1">
        <w:rPr>
          <w:rStyle w:val="Emphasis"/>
          <w:rFonts w:ascii="Arial" w:eastAsiaTheme="majorEastAsia" w:hAnsi="Arial" w:cs="Arial"/>
          <w:sz w:val="22"/>
          <w:szCs w:val="22"/>
        </w:rPr>
        <w:t>Transforming Our World: The 2030 Agenda for Sustainable Development</w:t>
      </w:r>
      <w:r w:rsidRPr="00BD5AE1">
        <w:rPr>
          <w:rFonts w:ascii="Arial" w:hAnsi="Arial" w:cs="Arial"/>
          <w:sz w:val="22"/>
          <w:szCs w:val="22"/>
        </w:rPr>
        <w:t xml:space="preserve">. Available at: </w:t>
      </w:r>
      <w:hyperlink r:id="rId7" w:tgtFrame="_new" w:history="1">
        <w:r w:rsidRPr="00BD5AE1">
          <w:rPr>
            <w:rStyle w:val="Hyperlink"/>
            <w:rFonts w:ascii="Arial" w:eastAsiaTheme="majorEastAsia" w:hAnsi="Arial" w:cs="Arial"/>
            <w:sz w:val="22"/>
            <w:szCs w:val="22"/>
          </w:rPr>
          <w:t>https://sdgs.un.org/2030agenda</w:t>
        </w:r>
      </w:hyperlink>
      <w:r w:rsidRPr="00BD5AE1">
        <w:rPr>
          <w:rFonts w:ascii="Arial" w:hAnsi="Arial" w:cs="Arial"/>
          <w:sz w:val="22"/>
          <w:szCs w:val="22"/>
        </w:rPr>
        <w:t xml:space="preserve"> </w:t>
      </w:r>
    </w:p>
    <w:p w14:paraId="562AE3E8" w14:textId="77777777" w:rsidR="00BD5AE1" w:rsidRPr="00BD5AE1" w:rsidRDefault="00BD5AE1" w:rsidP="00BD5AE1">
      <w:pPr>
        <w:pStyle w:val="NormalWeb"/>
        <w:spacing w:line="360" w:lineRule="auto"/>
        <w:rPr>
          <w:rFonts w:ascii="Arial" w:hAnsi="Arial" w:cs="Arial"/>
          <w:sz w:val="22"/>
          <w:szCs w:val="22"/>
        </w:rPr>
      </w:pPr>
      <w:r w:rsidRPr="00BD5AE1">
        <w:rPr>
          <w:rFonts w:ascii="Arial" w:hAnsi="Arial" w:cs="Arial"/>
          <w:sz w:val="22"/>
          <w:szCs w:val="22"/>
        </w:rPr>
        <w:t xml:space="preserve">WFP (2020) </w:t>
      </w:r>
      <w:r w:rsidRPr="00BD5AE1">
        <w:rPr>
          <w:rStyle w:val="Emphasis"/>
          <w:rFonts w:ascii="Arial" w:eastAsiaTheme="majorEastAsia" w:hAnsi="Arial" w:cs="Arial"/>
          <w:sz w:val="22"/>
          <w:szCs w:val="22"/>
        </w:rPr>
        <w:t>World Food Programme Annual Report 2020</w:t>
      </w:r>
      <w:r w:rsidRPr="00BD5AE1">
        <w:rPr>
          <w:rFonts w:ascii="Arial" w:hAnsi="Arial" w:cs="Arial"/>
          <w:sz w:val="22"/>
          <w:szCs w:val="22"/>
        </w:rPr>
        <w:t xml:space="preserve">. World Food Programme. </w:t>
      </w:r>
    </w:p>
    <w:p w14:paraId="467618CB" w14:textId="77777777" w:rsidR="00BD5AE1" w:rsidRPr="00BD5AE1" w:rsidRDefault="00BD5AE1" w:rsidP="00BD5AE1">
      <w:pPr>
        <w:pStyle w:val="NormalWeb"/>
        <w:spacing w:line="360" w:lineRule="auto"/>
        <w:rPr>
          <w:rFonts w:ascii="Arial" w:hAnsi="Arial" w:cs="Arial"/>
          <w:sz w:val="22"/>
          <w:szCs w:val="22"/>
        </w:rPr>
      </w:pPr>
      <w:r w:rsidRPr="00BD5AE1">
        <w:rPr>
          <w:rFonts w:ascii="Arial" w:hAnsi="Arial" w:cs="Arial"/>
          <w:sz w:val="22"/>
          <w:szCs w:val="22"/>
        </w:rPr>
        <w:t xml:space="preserve">WHO (2020) </w:t>
      </w:r>
      <w:r w:rsidRPr="00BD5AE1">
        <w:rPr>
          <w:rStyle w:val="Emphasis"/>
          <w:rFonts w:ascii="Arial" w:eastAsiaTheme="majorEastAsia" w:hAnsi="Arial" w:cs="Arial"/>
          <w:sz w:val="22"/>
          <w:szCs w:val="22"/>
        </w:rPr>
        <w:t>Universal Health Coverage (UHC)</w:t>
      </w:r>
      <w:r w:rsidRPr="00BD5AE1">
        <w:rPr>
          <w:rFonts w:ascii="Arial" w:hAnsi="Arial" w:cs="Arial"/>
          <w:sz w:val="22"/>
          <w:szCs w:val="22"/>
        </w:rPr>
        <w:t xml:space="preserve">. World Health Organisation. Available at: </w:t>
      </w:r>
      <w:hyperlink r:id="rId8" w:tgtFrame="_new" w:history="1">
        <w:r w:rsidRPr="00BD5AE1">
          <w:rPr>
            <w:rStyle w:val="Hyperlink"/>
            <w:rFonts w:ascii="Arial" w:eastAsiaTheme="majorEastAsia" w:hAnsi="Arial" w:cs="Arial"/>
            <w:sz w:val="22"/>
            <w:szCs w:val="22"/>
          </w:rPr>
          <w:t>https://www.who.int/health-topics/universal-health-coverage</w:t>
        </w:r>
      </w:hyperlink>
      <w:r w:rsidRPr="00BD5AE1">
        <w:rPr>
          <w:rFonts w:ascii="Arial" w:hAnsi="Arial" w:cs="Arial"/>
          <w:sz w:val="22"/>
          <w:szCs w:val="22"/>
        </w:rPr>
        <w:t xml:space="preserve"> </w:t>
      </w:r>
    </w:p>
    <w:sectPr w:rsidR="00BD5AE1" w:rsidRPr="00BD5A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E518E"/>
    <w:multiLevelType w:val="hybridMultilevel"/>
    <w:tmpl w:val="157801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DD50D1"/>
    <w:multiLevelType w:val="multilevel"/>
    <w:tmpl w:val="2EF834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35D3F6E"/>
    <w:multiLevelType w:val="multilevel"/>
    <w:tmpl w:val="5D982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67024A6"/>
    <w:multiLevelType w:val="multilevel"/>
    <w:tmpl w:val="7D3CD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C2436C6"/>
    <w:multiLevelType w:val="multilevel"/>
    <w:tmpl w:val="08E6B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2F572E4"/>
    <w:multiLevelType w:val="multilevel"/>
    <w:tmpl w:val="C3BA4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48E305E"/>
    <w:multiLevelType w:val="multilevel"/>
    <w:tmpl w:val="6A42CE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A334315"/>
    <w:multiLevelType w:val="multilevel"/>
    <w:tmpl w:val="85EEA4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81505601">
    <w:abstractNumId w:val="4"/>
  </w:num>
  <w:num w:numId="2" w16cid:durableId="840197718">
    <w:abstractNumId w:val="7"/>
  </w:num>
  <w:num w:numId="3" w16cid:durableId="74599093">
    <w:abstractNumId w:val="6"/>
  </w:num>
  <w:num w:numId="4" w16cid:durableId="234440476">
    <w:abstractNumId w:val="1"/>
  </w:num>
  <w:num w:numId="5" w16cid:durableId="1738169862">
    <w:abstractNumId w:val="2"/>
  </w:num>
  <w:num w:numId="6" w16cid:durableId="1869877766">
    <w:abstractNumId w:val="3"/>
  </w:num>
  <w:num w:numId="7" w16cid:durableId="1603489848">
    <w:abstractNumId w:val="5"/>
  </w:num>
  <w:num w:numId="8" w16cid:durableId="14824557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19FE"/>
    <w:rsid w:val="00053955"/>
    <w:rsid w:val="0019395B"/>
    <w:rsid w:val="001A30CB"/>
    <w:rsid w:val="002401FA"/>
    <w:rsid w:val="00271416"/>
    <w:rsid w:val="0028468B"/>
    <w:rsid w:val="002871C9"/>
    <w:rsid w:val="002D61D0"/>
    <w:rsid w:val="00347A9E"/>
    <w:rsid w:val="003749F0"/>
    <w:rsid w:val="003B746B"/>
    <w:rsid w:val="004242C7"/>
    <w:rsid w:val="00505B9D"/>
    <w:rsid w:val="00576A99"/>
    <w:rsid w:val="0064600C"/>
    <w:rsid w:val="006604B9"/>
    <w:rsid w:val="00675AC4"/>
    <w:rsid w:val="006F114A"/>
    <w:rsid w:val="00730050"/>
    <w:rsid w:val="007634A2"/>
    <w:rsid w:val="00773FD5"/>
    <w:rsid w:val="00780B2B"/>
    <w:rsid w:val="00833317"/>
    <w:rsid w:val="00925D26"/>
    <w:rsid w:val="00991BBA"/>
    <w:rsid w:val="009D19FE"/>
    <w:rsid w:val="00A7296E"/>
    <w:rsid w:val="00BB58B8"/>
    <w:rsid w:val="00BD5AE1"/>
    <w:rsid w:val="00C50AEC"/>
    <w:rsid w:val="00C93D81"/>
    <w:rsid w:val="00CC49EA"/>
    <w:rsid w:val="00E53AD4"/>
    <w:rsid w:val="00EE31B1"/>
    <w:rsid w:val="00F54B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69CA8"/>
  <w15:chartTrackingRefBased/>
  <w15:docId w15:val="{905B7BEC-FD37-4974-9AE5-1490BE76A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19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19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D19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19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19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19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19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19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19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19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19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D19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19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19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19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19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19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19FE"/>
    <w:rPr>
      <w:rFonts w:eastAsiaTheme="majorEastAsia" w:cstheme="majorBidi"/>
      <w:color w:val="272727" w:themeColor="text1" w:themeTint="D8"/>
    </w:rPr>
  </w:style>
  <w:style w:type="paragraph" w:styleId="Title">
    <w:name w:val="Title"/>
    <w:basedOn w:val="Normal"/>
    <w:next w:val="Normal"/>
    <w:link w:val="TitleChar"/>
    <w:uiPriority w:val="10"/>
    <w:qFormat/>
    <w:rsid w:val="009D19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19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19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19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19FE"/>
    <w:pPr>
      <w:spacing w:before="160"/>
      <w:jc w:val="center"/>
    </w:pPr>
    <w:rPr>
      <w:i/>
      <w:iCs/>
      <w:color w:val="404040" w:themeColor="text1" w:themeTint="BF"/>
    </w:rPr>
  </w:style>
  <w:style w:type="character" w:customStyle="1" w:styleId="QuoteChar">
    <w:name w:val="Quote Char"/>
    <w:basedOn w:val="DefaultParagraphFont"/>
    <w:link w:val="Quote"/>
    <w:uiPriority w:val="29"/>
    <w:rsid w:val="009D19FE"/>
    <w:rPr>
      <w:i/>
      <w:iCs/>
      <w:color w:val="404040" w:themeColor="text1" w:themeTint="BF"/>
    </w:rPr>
  </w:style>
  <w:style w:type="paragraph" w:styleId="ListParagraph">
    <w:name w:val="List Paragraph"/>
    <w:basedOn w:val="Normal"/>
    <w:uiPriority w:val="34"/>
    <w:qFormat/>
    <w:rsid w:val="009D19FE"/>
    <w:pPr>
      <w:ind w:left="720"/>
      <w:contextualSpacing/>
    </w:pPr>
  </w:style>
  <w:style w:type="character" w:styleId="IntenseEmphasis">
    <w:name w:val="Intense Emphasis"/>
    <w:basedOn w:val="DefaultParagraphFont"/>
    <w:uiPriority w:val="21"/>
    <w:qFormat/>
    <w:rsid w:val="009D19FE"/>
    <w:rPr>
      <w:i/>
      <w:iCs/>
      <w:color w:val="0F4761" w:themeColor="accent1" w:themeShade="BF"/>
    </w:rPr>
  </w:style>
  <w:style w:type="paragraph" w:styleId="IntenseQuote">
    <w:name w:val="Intense Quote"/>
    <w:basedOn w:val="Normal"/>
    <w:next w:val="Normal"/>
    <w:link w:val="IntenseQuoteChar"/>
    <w:uiPriority w:val="30"/>
    <w:qFormat/>
    <w:rsid w:val="009D19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19FE"/>
    <w:rPr>
      <w:i/>
      <w:iCs/>
      <w:color w:val="0F4761" w:themeColor="accent1" w:themeShade="BF"/>
    </w:rPr>
  </w:style>
  <w:style w:type="character" w:styleId="IntenseReference">
    <w:name w:val="Intense Reference"/>
    <w:basedOn w:val="DefaultParagraphFont"/>
    <w:uiPriority w:val="32"/>
    <w:qFormat/>
    <w:rsid w:val="009D19FE"/>
    <w:rPr>
      <w:b/>
      <w:bCs/>
      <w:smallCaps/>
      <w:color w:val="0F4761" w:themeColor="accent1" w:themeShade="BF"/>
      <w:spacing w:val="5"/>
    </w:rPr>
  </w:style>
  <w:style w:type="paragraph" w:styleId="NormalWeb">
    <w:name w:val="Normal (Web)"/>
    <w:basedOn w:val="Normal"/>
    <w:uiPriority w:val="99"/>
    <w:semiHidden/>
    <w:unhideWhenUsed/>
    <w:rsid w:val="009D19F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9D19FE"/>
    <w:rPr>
      <w:b/>
      <w:bCs/>
    </w:rPr>
  </w:style>
  <w:style w:type="character" w:styleId="Emphasis">
    <w:name w:val="Emphasis"/>
    <w:basedOn w:val="DefaultParagraphFont"/>
    <w:uiPriority w:val="20"/>
    <w:qFormat/>
    <w:rsid w:val="00271416"/>
    <w:rPr>
      <w:i/>
      <w:iCs/>
    </w:rPr>
  </w:style>
  <w:style w:type="character" w:styleId="Hyperlink">
    <w:name w:val="Hyperlink"/>
    <w:basedOn w:val="DefaultParagraphFont"/>
    <w:uiPriority w:val="99"/>
    <w:semiHidden/>
    <w:unhideWhenUsed/>
    <w:rsid w:val="0027141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health-topics/universal-health-coverage" TargetMode="External"/><Relationship Id="rId3" Type="http://schemas.openxmlformats.org/officeDocument/2006/relationships/settings" Target="settings.xml"/><Relationship Id="rId7" Type="http://schemas.openxmlformats.org/officeDocument/2006/relationships/hyperlink" Target="https://sdgs.un.org/2030agend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mjay.gov.in/" TargetMode="External"/><Relationship Id="rId5" Type="http://schemas.openxmlformats.org/officeDocument/2006/relationships/hyperlink" Target="https://www.ipcc.ch/srcc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64</TotalTime>
  <Pages>10</Pages>
  <Words>2664</Words>
  <Characters>16390</Characters>
  <Application>Microsoft Office Word</Application>
  <DocSecurity>0</DocSecurity>
  <Lines>287</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Misbah Khan</dc:creator>
  <cp:keywords/>
  <dc:description/>
  <cp:lastModifiedBy>Misbah Khan</cp:lastModifiedBy>
  <cp:revision>20</cp:revision>
  <dcterms:created xsi:type="dcterms:W3CDTF">2026-03-03T11:55:00Z</dcterms:created>
  <dcterms:modified xsi:type="dcterms:W3CDTF">2026-03-19T14:40:00Z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662affec-f953-48da-8bc8-e97bd162c2b9</vt:lpwstr>
  </property>
</Properties>
</file>