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36267" w:rsidRDefault="0051726C" w14:paraId="409F3A37" w14:textId="1819D674">
      <w:pPr>
        <w:spacing w:before="720"/>
        <w:jc w:val="center"/>
      </w:pPr>
      <w:r>
        <w:rPr>
          <w:b/>
          <w:noProof/>
          <w:sz w:val="24"/>
        </w:rPr>
        <w:drawing>
          <wp:inline distT="0" distB="0" distL="0" distR="0" wp14:anchorId="0C87EC36" wp14:editId="1F489E25">
            <wp:extent cx="2286000" cy="1270848"/>
            <wp:effectExtent l="0" t="0" r="0" b="5715"/>
            <wp:docPr id="121289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92531" name="Picture 1212892531"/>
                    <pic:cNvPicPr/>
                  </pic:nvPicPr>
                  <pic:blipFill>
                    <a:blip r:embed="rId8"/>
                    <a:stretch>
                      <a:fillRect/>
                    </a:stretch>
                  </pic:blipFill>
                  <pic:spPr>
                    <a:xfrm>
                      <a:off x="0" y="0"/>
                      <a:ext cx="2301129" cy="1279258"/>
                    </a:xfrm>
                    <a:prstGeom prst="rect">
                      <a:avLst/>
                    </a:prstGeom>
                  </pic:spPr>
                </pic:pic>
              </a:graphicData>
            </a:graphic>
          </wp:inline>
        </w:drawing>
      </w:r>
    </w:p>
    <w:p w:rsidRPr="005E512D" w:rsidR="00C36267" w:rsidP="005E512D" w:rsidRDefault="00000000" w14:paraId="378916F1" w14:textId="39B21DF8">
      <w:pPr>
        <w:spacing w:before="480" w:after="720"/>
        <w:jc w:val="center"/>
        <w:rPr>
          <w:b/>
          <w:color w:val="000000" w:themeColor="text1"/>
          <w:sz w:val="28"/>
          <w:szCs w:val="20"/>
        </w:rPr>
      </w:pPr>
      <w:r w:rsidRPr="005259FC">
        <w:rPr>
          <w:b/>
          <w:color w:val="000000" w:themeColor="text1"/>
          <w:sz w:val="30"/>
        </w:rPr>
        <w:t>COMPONENT 1: WRITTEN ASSIGNMENT (CASE STUDY REPORT)</w:t>
      </w:r>
      <w:r w:rsidR="005E512D">
        <w:rPr>
          <w:b/>
          <w:color w:val="000000" w:themeColor="text1"/>
          <w:sz w:val="30"/>
        </w:rPr>
        <w:br/>
      </w:r>
      <w:r w:rsidRPr="005E512D">
        <w:rPr>
          <w:bCs/>
          <w:color w:val="000000" w:themeColor="text1"/>
          <w:sz w:val="28"/>
          <w:szCs w:val="20"/>
        </w:rPr>
        <w:t>CASE STUDY 1: DIABETES MANAGEMENT AND PHYSIOLOGY</w:t>
      </w:r>
    </w:p>
    <w:p w:rsidR="0051726C" w:rsidP="005E512D" w:rsidRDefault="0051726C" w14:paraId="19DC21D5" w14:textId="24E7EC9D">
      <w:pPr>
        <w:jc w:val="left"/>
        <w:rPr>
          <w:color w:val="000000" w:themeColor="text1"/>
        </w:rPr>
      </w:pPr>
      <w:r w:rsidRPr="55267A4D" w:rsidR="60ABDF74">
        <w:rPr>
          <w:b w:val="1"/>
          <w:bCs w:val="1"/>
          <w:color w:val="000000" w:themeColor="text1" w:themeTint="FF" w:themeShade="FF"/>
        </w:rPr>
        <w:t>Student Name:</w:t>
      </w:r>
      <w:r w:rsidRPr="55267A4D" w:rsidR="60ABDF74">
        <w:rPr>
          <w:b w:val="1"/>
          <w:bCs w:val="1"/>
          <w:color w:val="000000" w:themeColor="text1" w:themeTint="FF" w:themeShade="FF"/>
        </w:rPr>
        <w:t xml:space="preserve"> </w:t>
      </w:r>
      <w:r w:rsidRPr="55267A4D" w:rsidR="60ABDF74">
        <w:rPr>
          <w:color w:val="000000" w:themeColor="text1" w:themeTint="FF" w:themeShade="FF"/>
        </w:rPr>
        <w:t>M</w:t>
      </w:r>
      <w:r w:rsidRPr="55267A4D" w:rsidR="6C80BBA5">
        <w:rPr>
          <w:color w:val="000000" w:themeColor="text1" w:themeTint="FF" w:themeShade="FF"/>
        </w:rPr>
        <w:t>azaffar Hussain</w:t>
      </w:r>
    </w:p>
    <w:p w:rsidR="005E512D" w:rsidP="005E512D" w:rsidRDefault="005E512D" w14:paraId="00F2C5AF" w14:textId="0589837F">
      <w:pPr>
        <w:jc w:val="left"/>
        <w:rPr>
          <w:color w:val="000000" w:themeColor="text1"/>
        </w:rPr>
      </w:pPr>
      <w:r w:rsidRPr="55267A4D" w:rsidR="1E8B2733">
        <w:rPr>
          <w:color w:val="000000" w:themeColor="text1" w:themeTint="FF" w:themeShade="FF"/>
        </w:rPr>
        <w:t>Student ID: _</w:t>
      </w:r>
      <w:r w:rsidRPr="55267A4D" w:rsidR="58F83F8D">
        <w:rPr>
          <w:color w:val="000000" w:themeColor="text1" w:themeTint="FF" w:themeShade="FF"/>
        </w:rPr>
        <w:t>2512318</w:t>
      </w:r>
      <w:r w:rsidRPr="55267A4D" w:rsidR="1E8B2733">
        <w:rPr>
          <w:color w:val="000000" w:themeColor="text1" w:themeTint="FF" w:themeShade="FF"/>
        </w:rPr>
        <w:t>______</w:t>
      </w:r>
    </w:p>
    <w:p w:rsidR="0051726C" w:rsidP="005E512D" w:rsidRDefault="0051726C" w14:paraId="1772DE99" w14:textId="2CD25047">
      <w:pPr>
        <w:jc w:val="left"/>
      </w:pPr>
      <w:r w:rsidRPr="0051726C">
        <w:rPr>
          <w:b/>
          <w:bCs/>
        </w:rPr>
        <w:t xml:space="preserve">Program: </w:t>
      </w:r>
      <w:r w:rsidRPr="0051726C">
        <w:t>BSc Health and Social Care</w:t>
      </w:r>
    </w:p>
    <w:p w:rsidR="005E512D" w:rsidP="005E512D" w:rsidRDefault="005E512D" w14:paraId="7164C6C0" w14:textId="1CC9F953">
      <w:pPr>
        <w:jc w:val="left"/>
        <w:rPr>
          <w:b/>
          <w:bCs/>
          <w:color w:val="000000" w:themeColor="text1"/>
        </w:rPr>
      </w:pPr>
      <w:r w:rsidRPr="0051726C">
        <w:rPr>
          <w:b/>
          <w:bCs/>
          <w:color w:val="000000" w:themeColor="text1"/>
        </w:rPr>
        <w:t>Module</w:t>
      </w:r>
      <w:r>
        <w:rPr>
          <w:b/>
          <w:bCs/>
          <w:color w:val="000000" w:themeColor="text1"/>
        </w:rPr>
        <w:t xml:space="preserve">: </w:t>
      </w:r>
      <w:r w:rsidRPr="0051726C">
        <w:rPr>
          <w:color w:val="000000" w:themeColor="text1"/>
        </w:rPr>
        <w:t>Introduction to Physiology</w:t>
      </w:r>
    </w:p>
    <w:p w:rsidRPr="0051726C" w:rsidR="0051726C" w:rsidP="005E512D" w:rsidRDefault="0051726C" w14:paraId="7CD86054" w14:textId="3B13DFB9">
      <w:pPr>
        <w:jc w:val="left"/>
        <w:rPr>
          <w:color w:val="000000" w:themeColor="text1"/>
        </w:rPr>
      </w:pPr>
      <w:r w:rsidRPr="0051726C">
        <w:rPr>
          <w:b/>
          <w:bCs/>
          <w:color w:val="000000" w:themeColor="text1"/>
        </w:rPr>
        <w:t>Module Code:</w:t>
      </w:r>
      <w:r>
        <w:rPr>
          <w:color w:val="000000" w:themeColor="text1"/>
        </w:rPr>
        <w:t xml:space="preserve"> </w:t>
      </w:r>
      <w:r w:rsidRPr="0051726C">
        <w:rPr>
          <w:color w:val="000000" w:themeColor="text1"/>
        </w:rPr>
        <w:t xml:space="preserve">BMHP5023 </w:t>
      </w:r>
    </w:p>
    <w:p w:rsidR="0051726C" w:rsidP="005E512D" w:rsidRDefault="0051726C" w14:paraId="17E970BF" w14:textId="13F4839C">
      <w:pPr>
        <w:jc w:val="left"/>
        <w:rPr>
          <w:color w:val="000000" w:themeColor="text1"/>
        </w:rPr>
      </w:pPr>
      <w:r w:rsidRPr="0051726C">
        <w:rPr>
          <w:b/>
          <w:bCs/>
          <w:color w:val="000000" w:themeColor="text1"/>
        </w:rPr>
        <w:t>Lecturer(s):</w:t>
      </w:r>
      <w:r w:rsidRPr="0051726C">
        <w:rPr>
          <w:color w:val="000000" w:themeColor="text1"/>
        </w:rPr>
        <w:t xml:space="preserve"> Gillian Weaver, Samuel Assan, Farah Islam</w:t>
      </w:r>
    </w:p>
    <w:p w:rsidR="0051726C" w:rsidP="005E512D" w:rsidRDefault="0051726C" w14:paraId="54382ADD" w14:textId="156594D5">
      <w:pPr>
        <w:jc w:val="left"/>
      </w:pPr>
      <w:r w:rsidRPr="0051726C">
        <w:rPr>
          <w:b/>
          <w:bCs/>
        </w:rPr>
        <w:t>Submission Deadline:</w:t>
      </w:r>
      <w:r>
        <w:rPr>
          <w:b/>
          <w:bCs/>
        </w:rPr>
        <w:t xml:space="preserve"> </w:t>
      </w:r>
      <w:r w:rsidRPr="0051726C">
        <w:t>Monday 26th October 2026</w:t>
      </w:r>
    </w:p>
    <w:p w:rsidRPr="005259FC" w:rsidR="00C36267" w:rsidP="0051726C" w:rsidRDefault="0051726C" w14:paraId="09D141C5" w14:textId="3C535D83">
      <w:pPr>
        <w:rPr>
          <w:color w:val="000000" w:themeColor="text1"/>
        </w:rPr>
      </w:pPr>
      <w:r>
        <w:br w:type="column"/>
      </w:r>
      <w:r w:rsidRPr="005259FC">
        <w:rPr>
          <w:b/>
          <w:color w:val="000000" w:themeColor="text1"/>
          <w:sz w:val="28"/>
        </w:rPr>
        <w:lastRenderedPageBreak/>
        <w:t>1. Introduction</w:t>
      </w:r>
    </w:p>
    <w:p w:rsidRPr="005259FC" w:rsidR="00C36267" w:rsidRDefault="001D072C" w14:paraId="3BD4E21B" w14:textId="1A123426">
      <w:pPr>
        <w:rPr>
          <w:color w:val="000000" w:themeColor="text1"/>
        </w:rPr>
      </w:pPr>
      <w:r w:rsidRPr="005259FC">
        <w:rPr>
          <w:color w:val="000000" w:themeColor="text1"/>
        </w:rPr>
        <w:t>Diabetes Mellitus is part of the global public health issue and it is described as a condition where hyperglycemia occurs either because of the issue with the production of insulin or due to the problem of its functionality (American Diabetes Association, 2023). When it comes to primary healthcare, a nurse practitioner normally works with patients who have difficulties understanding the quite complicated pathophysiology of the disorder. It is known that knowledge about the disease process helps patients participate in treatment (World Health Organization, 2022).</w:t>
      </w:r>
    </w:p>
    <w:p w:rsidRPr="005259FC" w:rsidR="00C36267" w:rsidRDefault="001D072C" w14:paraId="70F300D8" w14:textId="543B89F3">
      <w:pPr>
        <w:rPr>
          <w:color w:val="000000" w:themeColor="text1"/>
        </w:rPr>
      </w:pPr>
      <w:r w:rsidRPr="005259FC">
        <w:rPr>
          <w:color w:val="000000" w:themeColor="text1"/>
        </w:rPr>
        <w:t>Etiology-wise, the two main types of diabetes are Type 1 Diabetes Mellitus (T1DM) and Type 2 Diabetes Mellitus (T2DM). The type 1 diabetes mellitus is described as autoimmune disease with selective destruction of pancreatic beta cells resulting in an absolute deficiency of insulin. Nevertheless, T2DM makes up 90-95% of all diabetic patients and results in insulin resistance of peripheral tissues (skeletal muscles, liver, and adipose tissue) and insulin deficiency in the beta cells of the pancreas (Galicia-Garcia et al., 2020). Diabetic patients with T2DM are usually confused about the reason for their high blood glucose levels because at first, they make enough insulin.</w:t>
      </w:r>
    </w:p>
    <w:p w:rsidRPr="005259FC" w:rsidR="00C36267" w:rsidRDefault="00D91FD0" w14:paraId="357452E9" w14:textId="6600576F">
      <w:pPr>
        <w:rPr>
          <w:color w:val="000000" w:themeColor="text1"/>
        </w:rPr>
      </w:pPr>
      <w:r w:rsidRPr="005259FC">
        <w:rPr>
          <w:color w:val="000000" w:themeColor="text1"/>
        </w:rPr>
        <w:t>The pathogenesis of T2DM involves the effect of multiple factors that include the interplay between genetic and non-genetic risk factors that result in the development of the disease. Unmodifiable risk factors consist of advanced age (those who are over 45 years old), a history of metabolic diseases in the family, and some specific ethnicities (South Asians, Afro-Caribbeans). Modifiable risk factors are significant from the point of view of T2DM treatment. The central adiposity and obesity (the BMI of 30 kg/m² and higher) are very important as free fatty acids lead to low-grade inflammation and insulin resistance at the cellular level (Galicia-Garcia et al., 2020). The other modifiable risk factors are physical inactivity, poor diet (sugar and saturated fat consumption), stress, and smoking.</w:t>
      </w:r>
    </w:p>
    <w:p w:rsidRPr="005259FC" w:rsidR="00C36267" w:rsidRDefault="00000000" w14:paraId="4A9D729C" w14:textId="77777777">
      <w:pPr>
        <w:keepNext/>
        <w:spacing w:before="360"/>
        <w:jc w:val="left"/>
        <w:rPr>
          <w:color w:val="000000" w:themeColor="text1"/>
        </w:rPr>
      </w:pPr>
      <w:r w:rsidRPr="005259FC">
        <w:rPr>
          <w:b/>
          <w:color w:val="000000" w:themeColor="text1"/>
          <w:sz w:val="28"/>
        </w:rPr>
        <w:t>2. Physiology of Blood Glucose Homeostasis</w:t>
      </w:r>
    </w:p>
    <w:p w:rsidRPr="005259FC" w:rsidR="00C36267" w:rsidRDefault="00D91FD0" w14:paraId="1542ACD5" w14:textId="2C3071C0">
      <w:pPr>
        <w:rPr>
          <w:color w:val="000000" w:themeColor="text1"/>
        </w:rPr>
      </w:pPr>
      <w:r w:rsidRPr="005259FC">
        <w:rPr>
          <w:color w:val="000000" w:themeColor="text1"/>
        </w:rPr>
        <w:t>To achieve maximum functioning of the body and keep life going, the concentration of glucose in the blood needs to be kept constant within a certain physiological range (4.0-7.8 mmol/L). The brain cells use glucose as their source of energy since they cannot store any type of energy. This is achieved by using negative feedback hormonal system that relies heavily on endocrine pancreas.</w:t>
      </w:r>
    </w:p>
    <w:p w:rsidRPr="005259FC" w:rsidR="00C36267" w:rsidRDefault="00000000" w14:paraId="39ED18E8" w14:textId="77777777">
      <w:pPr>
        <w:keepNext/>
        <w:spacing w:before="240" w:after="80"/>
        <w:jc w:val="left"/>
        <w:rPr>
          <w:color w:val="000000" w:themeColor="text1"/>
        </w:rPr>
      </w:pPr>
      <w:r w:rsidRPr="005259FC">
        <w:rPr>
          <w:b/>
          <w:color w:val="000000" w:themeColor="text1"/>
          <w:sz w:val="24"/>
        </w:rPr>
        <w:lastRenderedPageBreak/>
        <w:t>2.1 The Endocrine Pancreas and Hormonal Regulation</w:t>
      </w:r>
    </w:p>
    <w:p w:rsidRPr="005259FC" w:rsidR="00C36267" w:rsidRDefault="00D91FD0" w14:paraId="57E15897" w14:textId="7F24B767">
      <w:pPr>
        <w:rPr>
          <w:color w:val="000000" w:themeColor="text1"/>
        </w:rPr>
      </w:pPr>
      <w:r w:rsidRPr="005259FC">
        <w:rPr>
          <w:color w:val="000000" w:themeColor="text1"/>
        </w:rPr>
        <w:t>The pancreas has unique glands referred to as Islets of Langerhans. The Islets of Langerhans have unique cells that are involved in the secretion of hormones. The unique cells include the alpha and beta cells. The beta cells are responsible for insulin secretion, where the insulin is an anabolic hormone secreted during high blood glucose levels, such as after eating carbohydrates. The alpha cells release a hormone known as glucagon, which is a catabolic hormone secreted during hypoglycemia and high metabolic needs (Roder et al., 2016).</w:t>
      </w:r>
    </w:p>
    <w:p w:rsidRPr="005259FC" w:rsidR="00C36267" w:rsidRDefault="00000000" w14:paraId="7B1090AA" w14:textId="77777777">
      <w:pPr>
        <w:keepNext/>
        <w:spacing w:before="240" w:after="80"/>
        <w:jc w:val="left"/>
        <w:rPr>
          <w:color w:val="000000" w:themeColor="text1"/>
        </w:rPr>
      </w:pPr>
      <w:r w:rsidRPr="005259FC">
        <w:rPr>
          <w:b/>
          <w:color w:val="000000" w:themeColor="text1"/>
          <w:sz w:val="24"/>
        </w:rPr>
        <w:t>2.2 Hyperglycemia and Insulin Action</w:t>
      </w:r>
    </w:p>
    <w:p w:rsidRPr="005259FC" w:rsidR="00C36267" w:rsidRDefault="00D91FD0" w14:paraId="458AB49B" w14:textId="7FC46DA4">
      <w:pPr>
        <w:rPr>
          <w:color w:val="000000" w:themeColor="text1"/>
        </w:rPr>
      </w:pPr>
      <w:r w:rsidRPr="005259FC">
        <w:rPr>
          <w:color w:val="000000" w:themeColor="text1"/>
        </w:rPr>
        <w:t>In case of increased glucose concentration in the blood after eating, the uptake of glucose by the beta cells of the pancreas is achieved through glucose transporters (GLUT1 and GLUT2). The increased metabolism of glucose leads to increased ATP production and hence an increase in ATP/ADP ratio. This will result in the closing of ATP-sensitive potassium channels and hence depolarization of the cell membrane. The opening of the calcium channels results in the release of insulin granules in the portal vein (Roder et al., 2016). The insulin in the blood acts on the tyrosine kinase receptors of the target cells.</w:t>
      </w:r>
    </w:p>
    <w:p w:rsidRPr="005259FC" w:rsidR="00C36267" w:rsidRDefault="00D91FD0" w14:paraId="753F790B" w14:textId="4F0D9F6D">
      <w:pPr>
        <w:rPr>
          <w:color w:val="000000" w:themeColor="text1"/>
        </w:rPr>
      </w:pPr>
      <w:r w:rsidRPr="005259FC">
        <w:rPr>
          <w:color w:val="000000" w:themeColor="text1"/>
        </w:rPr>
        <w:t>In contrast, insulin affects the liver hepatocytes stimulating their glycolysis (creation of glycogen from glucose), lipogenesis, and inhibiting their glycogenolysis and gluconeogenesis which leads to glucose liberation into the bloodstream. Absorption of glucose by target cells and inhibition of glucose secretion by hepatocytes result in reduced levels of glucose in the bloodstream. Therefore, lower stimulation of the beta cells occurs, and insulin production is stopped because of the negative feedback system (Roder et al., 2016; Galicia-Garcia et al., 2020).</w:t>
      </w:r>
    </w:p>
    <w:p w:rsidRPr="005259FC" w:rsidR="00C36267" w:rsidRDefault="00000000" w14:paraId="1F1399ED" w14:textId="77777777">
      <w:pPr>
        <w:keepNext/>
        <w:spacing w:before="240" w:after="80"/>
        <w:jc w:val="left"/>
        <w:rPr>
          <w:color w:val="000000" w:themeColor="text1"/>
        </w:rPr>
      </w:pPr>
      <w:r w:rsidRPr="005259FC">
        <w:rPr>
          <w:b/>
          <w:color w:val="000000" w:themeColor="text1"/>
          <w:sz w:val="24"/>
        </w:rPr>
        <w:t>2.3 Hypoglycemia and Glucagon Action</w:t>
      </w:r>
    </w:p>
    <w:p w:rsidRPr="005259FC" w:rsidR="00C36267" w:rsidRDefault="004318F7" w14:paraId="4E04E78C" w14:textId="5C73BDA1">
      <w:pPr>
        <w:rPr>
          <w:color w:val="000000" w:themeColor="text1"/>
        </w:rPr>
      </w:pPr>
      <w:r w:rsidRPr="005259FC">
        <w:rPr>
          <w:color w:val="000000" w:themeColor="text1"/>
        </w:rPr>
        <w:t>In case of fasting, between meals, and during exercise, there is going to be a decrease in the level of glucose in the plasma. This is due to low absorption of glucose by the pancreatic alpha cells that lead to the secretion of glucagon. As a result of the effect on glucagon receptors on the hepatocytes using G protein coupled receptors mechanism, the process of activation of adenylate cyclase is achieved. This causes an increase in the formation of cAMP. This activates the pathway of glycogen phosphorylase which breaks down the glycogen (Roder et al., 2016). This hormone activates the gluconeogenic pathway whereby lactate, glycerol, and amino acids are converted to glucose.</w:t>
      </w:r>
    </w:p>
    <w:p w:rsidRPr="005259FC" w:rsidR="00C36267" w:rsidRDefault="00000000" w14:paraId="2D33C685" w14:textId="77777777">
      <w:pPr>
        <w:keepNext/>
        <w:spacing w:before="360"/>
        <w:jc w:val="left"/>
        <w:rPr>
          <w:color w:val="000000" w:themeColor="text1"/>
        </w:rPr>
      </w:pPr>
      <w:r w:rsidRPr="005259FC">
        <w:rPr>
          <w:b/>
          <w:color w:val="000000" w:themeColor="text1"/>
          <w:sz w:val="28"/>
        </w:rPr>
        <w:lastRenderedPageBreak/>
        <w:t>3. Cellular Metabolism and Energy Production</w:t>
      </w:r>
    </w:p>
    <w:p w:rsidRPr="005259FC" w:rsidR="004318F7" w:rsidP="004318F7" w:rsidRDefault="004318F7" w14:paraId="467938EF" w14:textId="77777777">
      <w:pPr>
        <w:rPr>
          <w:color w:val="000000" w:themeColor="text1"/>
        </w:rPr>
      </w:pPr>
      <w:r w:rsidRPr="005259FC">
        <w:rPr>
          <w:color w:val="000000" w:themeColor="text1"/>
        </w:rPr>
        <w:t>To understand the significance of glycemic control in body functions, it is necessary to understand the process of how cells obtain energy from glucose and oxygen. Adenosine Triphosphate (ATP) is the energy source responsible for all body functions such as muscle contraction, active transport across the cell membrane, macromolecule synthesis, and cell maintenance (Nelson and Cox, 2021). The process of the formation of ATP from glucose is the use of glucose and oxygen in the body.</w:t>
      </w:r>
    </w:p>
    <w:p w:rsidRPr="005259FC" w:rsidR="00C36267" w:rsidP="004318F7" w:rsidRDefault="004318F7" w14:paraId="4091DB78" w14:textId="338A01FD">
      <w:pPr>
        <w:rPr>
          <w:color w:val="000000" w:themeColor="text1"/>
        </w:rPr>
      </w:pPr>
      <w:r w:rsidRPr="005259FC">
        <w:rPr>
          <w:color w:val="000000" w:themeColor="text1"/>
        </w:rPr>
        <w:t>There are four interconnected processes involved in the formation of ATP from glucose through aerobic cellular respiration. These processes are Glycolysis, Transition Reaction (Pyruvate Oxidation), Citric Acid Cycle (Krebs Cycle), and Electron Transport Chain (ETC) with Oxidative Phosphorylation (Nelson and Cox, 2021).</w:t>
      </w:r>
    </w:p>
    <w:p w:rsidRPr="005259FC" w:rsidR="00C36267" w:rsidRDefault="00000000" w14:paraId="369D548D" w14:textId="77777777">
      <w:pPr>
        <w:keepNext/>
        <w:spacing w:before="240" w:after="80"/>
        <w:jc w:val="left"/>
        <w:rPr>
          <w:color w:val="000000" w:themeColor="text1"/>
        </w:rPr>
      </w:pPr>
      <w:r w:rsidRPr="005259FC">
        <w:rPr>
          <w:b/>
          <w:color w:val="000000" w:themeColor="text1"/>
          <w:sz w:val="24"/>
        </w:rPr>
        <w:t>3.1 Glycolysis</w:t>
      </w:r>
    </w:p>
    <w:p w:rsidRPr="005259FC" w:rsidR="00C36267" w:rsidRDefault="004318F7" w14:paraId="4CC1636A" w14:textId="0CCCE5DB">
      <w:pPr>
        <w:rPr>
          <w:color w:val="000000" w:themeColor="text1"/>
        </w:rPr>
      </w:pPr>
      <w:r w:rsidRPr="005259FC">
        <w:rPr>
          <w:color w:val="000000" w:themeColor="text1"/>
        </w:rPr>
        <w:t>Glycolysis occurs in the cytoplasmic region of the cell, and it does not always require oxygen. A 6-carbon glucose is converted into two 3-carbon pyruvates through 10 enzymatic reactions. The product of this process involves the production of 2 ATP and 2 NADH (Nelson and Cox, 2021). Patients with diabetes have low glycolysis in the cells due to poor glucose absorption in the cells.</w:t>
      </w:r>
    </w:p>
    <w:p w:rsidRPr="005259FC" w:rsidR="00C36267" w:rsidRDefault="00000000" w14:paraId="320FAA35" w14:textId="77777777">
      <w:pPr>
        <w:keepNext/>
        <w:spacing w:before="240" w:after="80"/>
        <w:jc w:val="left"/>
        <w:rPr>
          <w:color w:val="000000" w:themeColor="text1"/>
        </w:rPr>
      </w:pPr>
      <w:r w:rsidRPr="005259FC">
        <w:rPr>
          <w:b/>
          <w:color w:val="000000" w:themeColor="text1"/>
          <w:sz w:val="24"/>
        </w:rPr>
        <w:t>3.2 The Transition Reaction and Krebs Cycle</w:t>
      </w:r>
    </w:p>
    <w:p w:rsidRPr="005259FC" w:rsidR="00C36267" w:rsidRDefault="004318F7" w14:paraId="1E017EC9" w14:textId="6BEC1981">
      <w:pPr>
        <w:rPr>
          <w:color w:val="000000" w:themeColor="text1"/>
        </w:rPr>
      </w:pPr>
      <w:r w:rsidRPr="005259FC">
        <w:rPr>
          <w:color w:val="000000" w:themeColor="text1"/>
        </w:rPr>
        <w:t>If there is enough oxygen inside the cell, then pyruvate enters into the matrix of mitochondrion. Pyruvate is converted to Acetyl-CoA by an enzyme called pyruvate dehydrogenase where carbon dioxide is produced as the metabolic waste, apart from the production of NADH. Citric acid is produced when Acetyl-CoA combines with oxaloacetate, hence the beginning of the Krebs cycle. One ATP/GTP, three NADH and FAD (Nelson and Cox, 2021) are produced per one Acetyl-CoA.</w:t>
      </w:r>
    </w:p>
    <w:p w:rsidRPr="005259FC" w:rsidR="00C36267" w:rsidRDefault="00000000" w14:paraId="3A699C18" w14:textId="77777777">
      <w:pPr>
        <w:keepNext/>
        <w:spacing w:before="240" w:after="80"/>
        <w:jc w:val="left"/>
        <w:rPr>
          <w:color w:val="000000" w:themeColor="text1"/>
        </w:rPr>
      </w:pPr>
      <w:r w:rsidRPr="005259FC">
        <w:rPr>
          <w:b/>
          <w:color w:val="000000" w:themeColor="text1"/>
          <w:sz w:val="24"/>
        </w:rPr>
        <w:t>3.3 Electron Transport Chain and Oxidative Phosphorylation</w:t>
      </w:r>
    </w:p>
    <w:p w:rsidRPr="005259FC" w:rsidR="00C36267" w:rsidRDefault="004318F7" w14:paraId="00960B9B" w14:textId="5D5851CB">
      <w:pPr>
        <w:rPr>
          <w:color w:val="000000" w:themeColor="text1"/>
        </w:rPr>
      </w:pPr>
      <w:r w:rsidRPr="005259FC">
        <w:rPr>
          <w:color w:val="000000" w:themeColor="text1"/>
        </w:rPr>
        <w:t xml:space="preserve">The last and most efficient step occurs in the inner mitochondrial membrane. The electron carriers pass the high-energy electrons to the protein complexes in the membrane. In the process of passing the electrons along the chain, the energy is utilized for the transport of the protons into the intermembrane space, creating the electrochemical gradient. </w:t>
      </w:r>
      <w:r w:rsidRPr="005259FC" w:rsidR="008265A2">
        <w:rPr>
          <w:color w:val="000000" w:themeColor="text1"/>
        </w:rPr>
        <w:t xml:space="preserve">The acceptor of electrons is oxygen. It combines protons and electrons to produce water molecules (Nelson and Cox, 2021). The protons are transported back to the matrix by the help of ATP Synthase which is responsible </w:t>
      </w:r>
      <w:r w:rsidRPr="005259FC" w:rsidR="008265A2">
        <w:rPr>
          <w:color w:val="000000" w:themeColor="text1"/>
        </w:rPr>
        <w:lastRenderedPageBreak/>
        <w:t>for the production of ATP from ADP.</w:t>
      </w:r>
      <w:r w:rsidRPr="005259FC">
        <w:rPr>
          <w:color w:val="000000" w:themeColor="text1"/>
        </w:rPr>
        <w:t xml:space="preserve"> Aerobic respiration of one glucose molecule yields about 30 to 32 ATP molecules.</w:t>
      </w:r>
    </w:p>
    <w:p w:rsidRPr="005259FC" w:rsidR="00C36267" w:rsidRDefault="00000000" w14:paraId="1747E658" w14:textId="77777777">
      <w:pPr>
        <w:keepNext/>
        <w:spacing w:before="360"/>
        <w:jc w:val="left"/>
        <w:rPr>
          <w:color w:val="000000" w:themeColor="text1"/>
        </w:rPr>
      </w:pPr>
      <w:r w:rsidRPr="005259FC">
        <w:rPr>
          <w:b/>
          <w:color w:val="000000" w:themeColor="text1"/>
          <w:sz w:val="28"/>
        </w:rPr>
        <w:t>4. Blood Glucose Recording, Tracking, and Disease Management</w:t>
      </w:r>
    </w:p>
    <w:p w:rsidRPr="005259FC" w:rsidR="00C36267" w:rsidRDefault="004318F7" w14:paraId="3C5C77D1" w14:textId="053F254C">
      <w:pPr>
        <w:rPr>
          <w:color w:val="000000" w:themeColor="text1"/>
        </w:rPr>
      </w:pPr>
      <w:r w:rsidRPr="005259FC">
        <w:rPr>
          <w:color w:val="000000" w:themeColor="text1"/>
        </w:rPr>
        <w:t xml:space="preserve">Regarding the management of the disease, such as Type 2 Diabetes, in a patient, the monitoring of blood glucose levels is important. </w:t>
      </w:r>
      <w:r w:rsidRPr="005259FC" w:rsidR="008265A2">
        <w:rPr>
          <w:color w:val="000000" w:themeColor="text1"/>
        </w:rPr>
        <w:t>This is due to the reason that the glucose level in the bloodstream fluctuates daily depending on various influences such as diet, exercise, medication, stress, and infections. If this is not done, then there will be no way to tell if the glucose level in the bloodstream of the patient falls within the normal levels which is 4.0-7.0 mmol/L for fasting blood sugar and less than 8.5 mmol/L postprandially for T2DM patients (National Institute for Health and Care Excellence, 2022).</w:t>
      </w:r>
    </w:p>
    <w:p w:rsidRPr="005259FC" w:rsidR="00C36267" w:rsidRDefault="00000000" w14:paraId="426D5498" w14:textId="77777777">
      <w:pPr>
        <w:keepNext/>
        <w:spacing w:before="240" w:after="80"/>
        <w:jc w:val="left"/>
        <w:rPr>
          <w:color w:val="000000" w:themeColor="text1"/>
        </w:rPr>
      </w:pPr>
      <w:r w:rsidRPr="005259FC">
        <w:rPr>
          <w:b/>
          <w:color w:val="000000" w:themeColor="text1"/>
          <w:sz w:val="24"/>
        </w:rPr>
        <w:t>4.1 Prevention of Acute Metabolic Complications</w:t>
      </w:r>
    </w:p>
    <w:p w:rsidRPr="005259FC" w:rsidR="00C36267" w:rsidRDefault="004E4744" w14:paraId="77532E45" w14:textId="09D06D31">
      <w:pPr>
        <w:rPr>
          <w:color w:val="000000" w:themeColor="text1"/>
        </w:rPr>
      </w:pPr>
      <w:r w:rsidRPr="005259FC">
        <w:rPr>
          <w:color w:val="000000" w:themeColor="text1"/>
        </w:rPr>
        <w:t>Monitoring the level of blood glucose offers real-time data that can be used to avoid emergency situations like hypoglycemia and hyperglycemia. Hypoglycemia (blood sugar less than 4.0 mmol/L) results in problems like cognitive dysfunction, disorientation, tremor, fainting, and seizures. Hyperglycemia causes ongoing damage to the endothelium, resulting in complications like retinopathy, nephropathy, neuropathy, myocardial infarction, stroke, and many others when the blood glucose is higher than 11.1 mmol/L for some time (Stratton et al., 2000; National Institute for Health and Care Excellence, 2022).</w:t>
      </w:r>
    </w:p>
    <w:p w:rsidRPr="005259FC" w:rsidR="00C36267" w:rsidRDefault="00000000" w14:paraId="4D231237" w14:textId="77777777">
      <w:pPr>
        <w:keepNext/>
        <w:spacing w:before="240" w:after="80"/>
        <w:jc w:val="left"/>
        <w:rPr>
          <w:color w:val="000000" w:themeColor="text1"/>
        </w:rPr>
      </w:pPr>
      <w:r w:rsidRPr="005259FC">
        <w:rPr>
          <w:b/>
          <w:color w:val="000000" w:themeColor="text1"/>
          <w:sz w:val="24"/>
        </w:rPr>
        <w:t>4.2 Clinical Assessment via HbA1c and Self-Monitoring Modalities</w:t>
      </w:r>
    </w:p>
    <w:p w:rsidRPr="005259FC" w:rsidR="004E4744" w:rsidP="004E4744" w:rsidRDefault="004E4744" w14:paraId="22E21FC7" w14:textId="77777777">
      <w:pPr>
        <w:rPr>
          <w:color w:val="000000" w:themeColor="text1"/>
        </w:rPr>
      </w:pPr>
      <w:r w:rsidRPr="005259FC">
        <w:rPr>
          <w:color w:val="000000" w:themeColor="text1"/>
        </w:rPr>
        <w:t>Within the scope of general practice, there are two main ways to check the condition, which are: self-monitoring of blood glucose (SMBG)/continuous glucose monitoring (CGM) and tests for hemoglobin levels. Self-monitoring of blood glucose by capillary blood glucometers enables one to get the immediate results of how certain food affects a patient's condition and how exercises affect him/her. However, at the same time, continuous testing devices enable one to monitor glucose constantly and see quick changes.</w:t>
      </w:r>
    </w:p>
    <w:p w:rsidRPr="005259FC" w:rsidR="00C36267" w:rsidP="004E4744" w:rsidRDefault="004E4744" w14:paraId="74CB15B3" w14:textId="57E9D189">
      <w:pPr>
        <w:rPr>
          <w:color w:val="000000" w:themeColor="text1"/>
        </w:rPr>
      </w:pPr>
      <w:r w:rsidRPr="005259FC">
        <w:rPr>
          <w:color w:val="000000" w:themeColor="text1"/>
        </w:rPr>
        <w:t xml:space="preserve">To complement daily checks, the test determines the quantity of hemoglobin proteins glycosylated with sugar within the last 2-3 months (the life span of an erythrocyte). The target level should be less than 48 mmol/mol (6.5%). Therefore, one will be able to prevent possible complications in his/her arteries and vascular system (National Institute for Health and Care Excellence, 2022). </w:t>
      </w:r>
      <w:r w:rsidRPr="005259FC">
        <w:rPr>
          <w:color w:val="000000" w:themeColor="text1"/>
        </w:rPr>
        <w:lastRenderedPageBreak/>
        <w:t>Keeping a proper glucose record book at home will enable one to talk about his condition with a practitioner.</w:t>
      </w:r>
    </w:p>
    <w:p w:rsidRPr="005259FC" w:rsidR="00C36267" w:rsidRDefault="00000000" w14:paraId="2E0C7D39" w14:textId="77777777">
      <w:pPr>
        <w:keepNext/>
        <w:spacing w:before="360"/>
        <w:jc w:val="left"/>
        <w:rPr>
          <w:color w:val="000000" w:themeColor="text1"/>
        </w:rPr>
      </w:pPr>
      <w:r w:rsidRPr="005259FC">
        <w:rPr>
          <w:b/>
          <w:color w:val="000000" w:themeColor="text1"/>
          <w:sz w:val="28"/>
        </w:rPr>
        <w:t>5. Evidence-Based Lifestyle Recommendations</w:t>
      </w:r>
    </w:p>
    <w:p w:rsidRPr="005259FC" w:rsidR="00C36267" w:rsidRDefault="004E4744" w14:paraId="302CBDAA" w14:textId="6F14F766">
      <w:pPr>
        <w:rPr>
          <w:color w:val="000000" w:themeColor="text1"/>
        </w:rPr>
      </w:pPr>
      <w:r w:rsidRPr="005259FC">
        <w:rPr>
          <w:color w:val="000000" w:themeColor="text1"/>
        </w:rPr>
        <w:t>Though it is true that medication is essential in the treatment of diabetes, it is lifestyle modification that forms the basis of non-medication treatment in order to obtain effective glycemic control, insulin sensitivity, and weight reduction in type 2 diabetes patients (Davies et al., 2022).</w:t>
      </w:r>
    </w:p>
    <w:p w:rsidRPr="005259FC" w:rsidR="00C36267" w:rsidRDefault="00000000" w14:paraId="3F74E0F3" w14:textId="77777777">
      <w:pPr>
        <w:keepNext/>
        <w:spacing w:before="240" w:after="80"/>
        <w:jc w:val="left"/>
        <w:rPr>
          <w:color w:val="000000" w:themeColor="text1"/>
        </w:rPr>
      </w:pPr>
      <w:r w:rsidRPr="005259FC">
        <w:rPr>
          <w:b/>
          <w:color w:val="000000" w:themeColor="text1"/>
          <w:sz w:val="24"/>
        </w:rPr>
        <w:t>5.1 Dietary Modifications</w:t>
      </w:r>
    </w:p>
    <w:p w:rsidRPr="005259FC" w:rsidR="00C36267" w:rsidRDefault="004E4744" w14:paraId="01E69AFB" w14:textId="7238E3D1">
      <w:pPr>
        <w:rPr>
          <w:color w:val="000000" w:themeColor="text1"/>
        </w:rPr>
      </w:pPr>
      <w:r w:rsidRPr="005259FC">
        <w:rPr>
          <w:color w:val="000000" w:themeColor="text1"/>
        </w:rPr>
        <w:t>During nutritional counseling, it is important for an individual to adopt healthy eating habits with foods like whole grains, vegetables, beans, and lean protein foods while reducing the consumption of refined sugars and refined food products. Eating food products that have low GI helps in gradual uptake of glucose into the bloodstream, thus avoiding an increase in the blood glucose level and decreasing the need for insulin in beta cells (Jenkins et al., 2021). This helps with weight loss (5% - 10% of body weight) and reduction in liver fat, as well as improving insulin sensitivity in the body (Davies et al., 2022).</w:t>
      </w:r>
    </w:p>
    <w:p w:rsidRPr="005259FC" w:rsidR="00C36267" w:rsidRDefault="00000000" w14:paraId="06D4345A" w14:textId="77777777">
      <w:pPr>
        <w:keepNext/>
        <w:spacing w:before="240" w:after="80"/>
        <w:jc w:val="left"/>
        <w:rPr>
          <w:color w:val="000000" w:themeColor="text1"/>
        </w:rPr>
      </w:pPr>
      <w:r w:rsidRPr="005259FC">
        <w:rPr>
          <w:b/>
          <w:color w:val="000000" w:themeColor="text1"/>
          <w:sz w:val="24"/>
        </w:rPr>
        <w:t>5.2 Physical Activity and Exercise</w:t>
      </w:r>
    </w:p>
    <w:p w:rsidRPr="005259FC" w:rsidR="008265A2" w:rsidP="008265A2" w:rsidRDefault="008265A2" w14:paraId="3801098F" w14:textId="77777777">
      <w:pPr>
        <w:rPr>
          <w:color w:val="000000" w:themeColor="text1"/>
        </w:rPr>
      </w:pPr>
      <w:r w:rsidRPr="005259FC">
        <w:rPr>
          <w:color w:val="000000" w:themeColor="text1"/>
        </w:rPr>
        <w:t>Physical exercises have multiple physiological effects on glucose metabolism. Glucose transport via GLUT4 is achieved by AMPK pathway, which is the metabolic pathway that does not involve the action of insulin. Active muscles can take up glucose from the bloodstream without the need for insulin (Sylow et al., 2017).</w:t>
      </w:r>
    </w:p>
    <w:p w:rsidRPr="005259FC" w:rsidR="00C36267" w:rsidP="008265A2" w:rsidRDefault="008265A2" w14:paraId="2A41BE72" w14:textId="1AD887EC">
      <w:pPr>
        <w:rPr>
          <w:color w:val="000000" w:themeColor="text1"/>
        </w:rPr>
      </w:pPr>
      <w:r w:rsidRPr="005259FC">
        <w:rPr>
          <w:color w:val="000000" w:themeColor="text1"/>
        </w:rPr>
        <w:t>According to NICE, at least 150 minutes a week of moderate-intensity aerobic exercises should be done by patients with type 2 diabetes (fast walking, cycling, swimming, etc.), plus 2 days a week of resistance exercises (National Institute for Health and Care Excellence, 2022). Physical exercises help to maintain cardiovascular fitness, reduce high blood pressure, maintain lipoprotein profile and insulin sensitivity for up to 48 hours.</w:t>
      </w:r>
    </w:p>
    <w:p w:rsidRPr="005259FC" w:rsidR="00C36267" w:rsidRDefault="00000000" w14:paraId="3733D67F" w14:textId="77777777">
      <w:pPr>
        <w:keepNext/>
        <w:spacing w:before="240" w:after="80"/>
        <w:jc w:val="left"/>
        <w:rPr>
          <w:color w:val="000000" w:themeColor="text1"/>
        </w:rPr>
      </w:pPr>
      <w:r w:rsidRPr="005259FC">
        <w:rPr>
          <w:b/>
          <w:color w:val="000000" w:themeColor="text1"/>
          <w:sz w:val="24"/>
        </w:rPr>
        <w:t>5.3 Smoking Cessation</w:t>
      </w:r>
    </w:p>
    <w:p w:rsidRPr="005259FC" w:rsidR="00C36267" w:rsidRDefault="008265A2" w14:paraId="5AB8955F" w14:textId="0CC1C8C1">
      <w:pPr>
        <w:rPr>
          <w:color w:val="000000" w:themeColor="text1"/>
        </w:rPr>
      </w:pPr>
      <w:r w:rsidRPr="005259FC">
        <w:rPr>
          <w:color w:val="000000" w:themeColor="text1"/>
        </w:rPr>
        <w:t xml:space="preserve">Tobacco smoking is a risk factor not only for microangiopathy but also for macroangiopathy regardless of diabetes. Nicotine causes inflammation in the body, endothelial dysfunction, oxidative stress, and fat accumulation in the abdominal area; these make the situation worse as far as insulin resistance is concerned (Galicia-Garcia et al., 2020; Davies et al., 2022). The </w:t>
      </w:r>
      <w:r w:rsidRPr="005259FC">
        <w:rPr>
          <w:color w:val="000000" w:themeColor="text1"/>
        </w:rPr>
        <w:lastRenderedPageBreak/>
        <w:t>practice nurses should get involved to encourage their patients to quit smoking by NRT or similar means.</w:t>
      </w:r>
    </w:p>
    <w:p w:rsidRPr="005259FC" w:rsidR="008265A2" w:rsidP="008265A2" w:rsidRDefault="00000000" w14:paraId="00057424" w14:textId="0270924B">
      <w:pPr>
        <w:keepNext/>
        <w:spacing w:before="360"/>
        <w:jc w:val="left"/>
        <w:rPr>
          <w:color w:val="000000" w:themeColor="text1"/>
        </w:rPr>
      </w:pPr>
      <w:r w:rsidRPr="005259FC">
        <w:rPr>
          <w:b/>
          <w:color w:val="000000" w:themeColor="text1"/>
          <w:sz w:val="28"/>
        </w:rPr>
        <w:t>6. Conclusion</w:t>
      </w:r>
    </w:p>
    <w:p w:rsidRPr="005259FC" w:rsidR="00C36267" w:rsidP="008265A2" w:rsidRDefault="008265A2" w14:paraId="287EC2B3" w14:textId="50642676">
      <w:pPr>
        <w:rPr>
          <w:color w:val="000000" w:themeColor="text1"/>
        </w:rPr>
      </w:pPr>
      <w:r w:rsidRPr="005259FC">
        <w:rPr>
          <w:color w:val="000000" w:themeColor="text1"/>
        </w:rPr>
        <w:t xml:space="preserve">In summary, Type 2 Diabetes Mellitus is a complicated disease, which is associated with insulin resistance and malfunctioning of beta cells in pancreas. It is crucial to comprehend the physiological principles of regulation of blood glucose level using insulin and glucagon hormones and production of energy in cells by means of aerobic respiration for a person to have some basis for self-management of his or her illness. Glucose monitoring and $HbA1c$ measurement is critical feedback from a clinical perspective </w:t>
      </w:r>
      <w:r w:rsidRPr="005259FC" w:rsidR="005259FC">
        <w:rPr>
          <w:color w:val="000000" w:themeColor="text1"/>
        </w:rPr>
        <w:t>to</w:t>
      </w:r>
      <w:r w:rsidRPr="005259FC">
        <w:rPr>
          <w:color w:val="000000" w:themeColor="text1"/>
        </w:rPr>
        <w:t xml:space="preserve"> prevent metabolic and vascular complications. Patients with T2DM can achieve their therapeutic goals by changing their lifestyle.</w:t>
      </w:r>
    </w:p>
    <w:p w:rsidRPr="005259FC" w:rsidR="00C36267" w:rsidRDefault="00000000" w14:paraId="220021EC" w14:textId="77777777">
      <w:pPr>
        <w:keepNext/>
        <w:spacing w:before="360"/>
        <w:jc w:val="left"/>
        <w:rPr>
          <w:color w:val="000000" w:themeColor="text1"/>
        </w:rPr>
      </w:pPr>
      <w:r w:rsidRPr="005259FC">
        <w:rPr>
          <w:b/>
          <w:color w:val="000000" w:themeColor="text1"/>
          <w:sz w:val="28"/>
        </w:rPr>
        <w:t>7. Reference List</w:t>
      </w:r>
    </w:p>
    <w:p w:rsidR="005259FC" w:rsidP="005259FC" w:rsidRDefault="005259FC" w14:paraId="09463768" w14:textId="67E83ADC">
      <w:pPr>
        <w:spacing w:after="80"/>
        <w:ind w:left="720" w:hanging="720"/>
      </w:pPr>
      <w:r>
        <w:t xml:space="preserve">American Diabetes Association. (2023) 'Standards of Care in Diabetes 2023', Diabetes Care, 46(Suppl. 1), pp. S1-S291. Available at: </w:t>
      </w:r>
      <w:hyperlink w:history="1" r:id="rId9">
        <w:r w:rsidRPr="0069507D">
          <w:rPr>
            <w:rStyle w:val="Hyperlink"/>
          </w:rPr>
          <w:t>https://doi.org/10.2337/dc23-Sint</w:t>
        </w:r>
      </w:hyperlink>
    </w:p>
    <w:p w:rsidR="005259FC" w:rsidP="005259FC" w:rsidRDefault="005259FC" w14:paraId="65C84049" w14:textId="3EF7837E">
      <w:pPr>
        <w:spacing w:after="80"/>
        <w:ind w:left="720" w:hanging="720"/>
      </w:pPr>
      <w:r>
        <w:t xml:space="preserve">Davies, M.J., Aroda, V.R., Collins, B.S., Gabbay, R.A., Green, J., Maruthur, N.M., Rosas, S.E., Del Prato, S., Mathieu, C., Mingrone, G. and Buse, J.B. (2022) 'Management of hyperglycemia in type 2 diabetes, 2022. A consensus report by the American Diabetes Association (ADA) and the European Association for the Study of Diabetes (EASD)', Diabetes Care, 45(11), pp. 2753-2786. Available at: </w:t>
      </w:r>
      <w:hyperlink w:history="1" r:id="rId10">
        <w:r w:rsidRPr="0069507D">
          <w:rPr>
            <w:rStyle w:val="Hyperlink"/>
          </w:rPr>
          <w:t>https://doi.org/10.2337/dci22-0034</w:t>
        </w:r>
      </w:hyperlink>
    </w:p>
    <w:p w:rsidR="005259FC" w:rsidP="005259FC" w:rsidRDefault="005259FC" w14:paraId="7D20F27C" w14:textId="235913AC">
      <w:pPr>
        <w:spacing w:after="80"/>
        <w:ind w:left="720" w:hanging="720"/>
      </w:pPr>
      <w:r>
        <w:t xml:space="preserve">Galicia-Garcia, U., Benito-Vicente, A., Jebari, S., Larrea-Sebal, A., Siddiqi, H., Uribe, K.B., Ostolaza, H. and Martin, C. (2020) 'Pathophysiology of type 2 diabetes mellitus', International Journal of Molecular Sciences, 21(17), p. 6275. Available at: </w:t>
      </w:r>
      <w:hyperlink w:history="1" r:id="rId11">
        <w:r w:rsidRPr="0069507D">
          <w:rPr>
            <w:rStyle w:val="Hyperlink"/>
          </w:rPr>
          <w:t>https://doi.org/10.3390/ijms21176275</w:t>
        </w:r>
      </w:hyperlink>
    </w:p>
    <w:p w:rsidR="005259FC" w:rsidP="005259FC" w:rsidRDefault="005259FC" w14:paraId="463E0019" w14:textId="7D94F717">
      <w:pPr>
        <w:spacing w:after="80"/>
        <w:ind w:left="720" w:hanging="720"/>
      </w:pPr>
      <w:r>
        <w:t xml:space="preserve">Jenkins, D.J., Willett, W.C., Astrup, A., Augustin, L.S., Baer-Sinnott, S., Barclay, A.W., Björck, I., Brand-Miller, J.C., Wolever, T.M. and Zheng, R. (2021) 'Glycemic index, glycemic load, and cardiovascular disease and mortality', New England Journal of Medicine, 384(14), pp. 1312-1322. Available at: </w:t>
      </w:r>
      <w:hyperlink w:history="1" r:id="rId12">
        <w:r w:rsidRPr="0069507D">
          <w:rPr>
            <w:rStyle w:val="Hyperlink"/>
          </w:rPr>
          <w:t>https://doi.org/10.1056/NEJMoa2007123</w:t>
        </w:r>
      </w:hyperlink>
    </w:p>
    <w:p w:rsidR="005259FC" w:rsidP="005259FC" w:rsidRDefault="005259FC" w14:paraId="551ED444" w14:textId="67639282">
      <w:pPr>
        <w:spacing w:after="80"/>
        <w:ind w:left="720" w:hanging="720"/>
      </w:pPr>
      <w:r>
        <w:t xml:space="preserve">National Institute for Health and Care Excellence. (2022) Type 2 diabetes in adults: management (NICE Guideline NG28). London: NICE. Available at: </w:t>
      </w:r>
      <w:hyperlink w:history="1" r:id="rId13">
        <w:r w:rsidRPr="0069507D">
          <w:rPr>
            <w:rStyle w:val="Hyperlink"/>
          </w:rPr>
          <w:t>https://www.nice.org.uk/guidance/ng28</w:t>
        </w:r>
      </w:hyperlink>
    </w:p>
    <w:p w:rsidR="005259FC" w:rsidP="005259FC" w:rsidRDefault="005259FC" w14:paraId="2238F639" w14:textId="339CF7F8">
      <w:pPr>
        <w:spacing w:after="80"/>
        <w:ind w:left="720" w:hanging="720"/>
      </w:pPr>
      <w:r>
        <w:lastRenderedPageBreak/>
        <w:t xml:space="preserve">Nelson, D.L. and Cox, M.M. (2021) Lehninger Principles of Biochemistry. 8th edn. New York: W.H. Freeman and Company. Available at: </w:t>
      </w:r>
      <w:hyperlink w:history="1" r:id="rId14">
        <w:r w:rsidRPr="0069507D">
          <w:rPr>
            <w:rStyle w:val="Hyperlink"/>
          </w:rPr>
          <w:t>https://www.macmillanlearning.com/college/us/product/Lehninger-Principles-of-Biochemistry/p/1319228003</w:t>
        </w:r>
      </w:hyperlink>
    </w:p>
    <w:p w:rsidR="005259FC" w:rsidP="005259FC" w:rsidRDefault="005259FC" w14:paraId="5C62CE4D" w14:textId="43694DD9">
      <w:pPr>
        <w:spacing w:after="80"/>
        <w:ind w:left="720" w:hanging="720"/>
      </w:pPr>
      <w:r>
        <w:t xml:space="preserve">Roder, P.V., Wu, B., Liu, Y. and Han, W. (2016) 'Pancreatic regulation of glucose homeostasis', Experimental &amp; Molecular Medicine, 48(3), p. e219. Available at: </w:t>
      </w:r>
      <w:hyperlink w:history="1" r:id="rId15">
        <w:r w:rsidRPr="0069507D">
          <w:rPr>
            <w:rStyle w:val="Hyperlink"/>
          </w:rPr>
          <w:t>https://doi.org/10.1038/emm.2016.6</w:t>
        </w:r>
      </w:hyperlink>
    </w:p>
    <w:p w:rsidR="005259FC" w:rsidP="005259FC" w:rsidRDefault="005259FC" w14:paraId="4115BEB5" w14:textId="7D2A3E98">
      <w:pPr>
        <w:spacing w:after="80"/>
        <w:ind w:left="720" w:hanging="720"/>
      </w:pPr>
      <w:r>
        <w:t xml:space="preserve">Stratton, I.M., Adler, A.I., Neil, H.A., Matthews, D.R., Manley, S.E., Cull, C.A., Hadden, D., Turner, R.C. and Holman, R.R. (2000) 'Association of glycemia with macrovascular and microvascular complications of type 2 diabetes (UKPDS 35): prospective observational study', BMJ, 321(7258), pp. 405-412. Available at: </w:t>
      </w:r>
      <w:hyperlink w:history="1" r:id="rId16">
        <w:r w:rsidRPr="0069507D">
          <w:rPr>
            <w:rStyle w:val="Hyperlink"/>
          </w:rPr>
          <w:t>https://doi.org/10.1136/bmj.321.7258.405</w:t>
        </w:r>
      </w:hyperlink>
    </w:p>
    <w:p w:rsidR="005259FC" w:rsidP="005259FC" w:rsidRDefault="005259FC" w14:paraId="4FA12B48" w14:textId="6CCD62EB">
      <w:pPr>
        <w:spacing w:after="80"/>
        <w:ind w:left="720" w:hanging="720"/>
      </w:pPr>
      <w:r>
        <w:t xml:space="preserve">Sylow, L., Kleinert, M., Richter, E.A. and Jensen, T.E. (2017) 'Exercise-stimulated glucose uptake regulation and implications for glycemic control', Nature Reviews Endocrinology, 13(3), pp. 133-148. Available at: </w:t>
      </w:r>
      <w:hyperlink w:history="1" r:id="rId17">
        <w:r w:rsidRPr="0069507D">
          <w:rPr>
            <w:rStyle w:val="Hyperlink"/>
          </w:rPr>
          <w:t>https://doi.org/10.1038/nrendo.2016.162</w:t>
        </w:r>
      </w:hyperlink>
    </w:p>
    <w:p w:rsidR="005259FC" w:rsidP="005259FC" w:rsidRDefault="005259FC" w14:paraId="43C7E45F" w14:textId="0A1B99F0">
      <w:pPr>
        <w:spacing w:after="80"/>
        <w:ind w:left="720" w:hanging="720"/>
      </w:pPr>
      <w:r>
        <w:t xml:space="preserve">World Health Organization. (2022) Global report on diabetes. Geneva: World Health Organization. Available at: </w:t>
      </w:r>
      <w:hyperlink w:history="1" r:id="rId18">
        <w:r w:rsidRPr="0069507D">
          <w:rPr>
            <w:rStyle w:val="Hyperlink"/>
          </w:rPr>
          <w:t>https://www.who.int/publications/i/item/9789241565257</w:t>
        </w:r>
      </w:hyperlink>
    </w:p>
    <w:p w:rsidRPr="005259FC" w:rsidR="005259FC" w:rsidRDefault="005259FC" w14:paraId="791E553B" w14:textId="77777777">
      <w:pPr>
        <w:spacing w:after="80"/>
        <w:ind w:left="720" w:hanging="720"/>
      </w:pPr>
    </w:p>
    <w:sectPr w:rsidRPr="005259FC" w:rsidR="005259FC" w:rsidSect="000346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33FF5" w:rsidP="005259FC" w:rsidRDefault="00D33FF5" w14:paraId="37ACDA9E" w14:textId="77777777">
      <w:pPr>
        <w:spacing w:after="0" w:line="240" w:lineRule="auto"/>
      </w:pPr>
      <w:r>
        <w:separator/>
      </w:r>
    </w:p>
  </w:endnote>
  <w:endnote w:type="continuationSeparator" w:id="0">
    <w:p w:rsidR="00D33FF5" w:rsidP="005259FC" w:rsidRDefault="00D33FF5" w14:paraId="5AB845B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33FF5" w:rsidP="005259FC" w:rsidRDefault="00D33FF5" w14:paraId="5EECFB2C" w14:textId="77777777">
      <w:pPr>
        <w:spacing w:after="0" w:line="240" w:lineRule="auto"/>
      </w:pPr>
      <w:r>
        <w:separator/>
      </w:r>
    </w:p>
  </w:footnote>
  <w:footnote w:type="continuationSeparator" w:id="0">
    <w:p w:rsidR="00D33FF5" w:rsidP="005259FC" w:rsidRDefault="00D33FF5" w14:paraId="19340FD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73AD06BF"/>
    <w:multiLevelType w:val="multilevel"/>
    <w:tmpl w:val="0AA4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3026351">
    <w:abstractNumId w:val="8"/>
  </w:num>
  <w:num w:numId="2" w16cid:durableId="1915121948">
    <w:abstractNumId w:val="6"/>
  </w:num>
  <w:num w:numId="3" w16cid:durableId="960914465">
    <w:abstractNumId w:val="5"/>
  </w:num>
  <w:num w:numId="4" w16cid:durableId="533230362">
    <w:abstractNumId w:val="4"/>
  </w:num>
  <w:num w:numId="5" w16cid:durableId="318268790">
    <w:abstractNumId w:val="7"/>
  </w:num>
  <w:num w:numId="6" w16cid:durableId="962659341">
    <w:abstractNumId w:val="3"/>
  </w:num>
  <w:num w:numId="7" w16cid:durableId="1973293694">
    <w:abstractNumId w:val="2"/>
  </w:num>
  <w:num w:numId="8" w16cid:durableId="1094470448">
    <w:abstractNumId w:val="1"/>
  </w:num>
  <w:num w:numId="9" w16cid:durableId="2084791377">
    <w:abstractNumId w:val="0"/>
  </w:num>
  <w:num w:numId="10" w16cid:durableId="4862836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F0BB3"/>
    <w:rsid w:val="0015074B"/>
    <w:rsid w:val="001D072C"/>
    <w:rsid w:val="00291637"/>
    <w:rsid w:val="0029639D"/>
    <w:rsid w:val="00326F90"/>
    <w:rsid w:val="003C148A"/>
    <w:rsid w:val="004318F7"/>
    <w:rsid w:val="004E4744"/>
    <w:rsid w:val="0051726C"/>
    <w:rsid w:val="005259FC"/>
    <w:rsid w:val="005D7104"/>
    <w:rsid w:val="005E512D"/>
    <w:rsid w:val="008265A2"/>
    <w:rsid w:val="00AA1D8D"/>
    <w:rsid w:val="00B47730"/>
    <w:rsid w:val="00C36267"/>
    <w:rsid w:val="00CB0664"/>
    <w:rsid w:val="00D33FF5"/>
    <w:rsid w:val="00D91FD0"/>
    <w:rsid w:val="00ED2CCB"/>
    <w:rsid w:val="00FC693F"/>
    <w:rsid w:val="0A2F4164"/>
    <w:rsid w:val="1E8B2733"/>
    <w:rsid w:val="3559FB47"/>
    <w:rsid w:val="55267A4D"/>
    <w:rsid w:val="58F83F8D"/>
    <w:rsid w:val="60ABDF74"/>
    <w:rsid w:val="6758856C"/>
    <w:rsid w:val="6C80BBA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E96C8F"/>
  <w14:defaultImageDpi w14:val="300"/>
  <w15:docId w15:val="{A3BAA12A-A490-44F9-81C3-D49383E0D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jc w:val="both"/>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259FC"/>
    <w:rPr>
      <w:color w:val="0000FF" w:themeColor="hyperlink"/>
      <w:u w:val="single"/>
    </w:rPr>
  </w:style>
  <w:style w:type="character" w:styleId="UnresolvedMention">
    <w:name w:val="Unresolved Mention"/>
    <w:basedOn w:val="DefaultParagraphFont"/>
    <w:uiPriority w:val="99"/>
    <w:semiHidden/>
    <w:unhideWhenUsed/>
    <w:rsid w:val="005259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nice.org.uk/guidance/ng28" TargetMode="External" Id="rId13" /><Relationship Type="http://schemas.openxmlformats.org/officeDocument/2006/relationships/hyperlink" Target="https://www.who.int/publications/i/item/9789241565257" TargetMode="Externa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1056/NEJMoa2007123" TargetMode="External" Id="rId12" /><Relationship Type="http://schemas.openxmlformats.org/officeDocument/2006/relationships/hyperlink" Target="https://doi.org/10.1038/nrendo.2016.162" TargetMode="External" Id="rId17" /><Relationship Type="http://schemas.openxmlformats.org/officeDocument/2006/relationships/numbering" Target="numbering.xml" Id="rId2" /><Relationship Type="http://schemas.openxmlformats.org/officeDocument/2006/relationships/hyperlink" Target="https://doi.org/10.1136/bmj.321.7258.405"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3390/ijms21176275" TargetMode="External" Id="rId11" /><Relationship Type="http://schemas.openxmlformats.org/officeDocument/2006/relationships/webSettings" Target="webSettings.xml" Id="rId5" /><Relationship Type="http://schemas.openxmlformats.org/officeDocument/2006/relationships/hyperlink" Target="https://doi.org/10.1038/emm.2016.6" TargetMode="External" Id="rId15" /><Relationship Type="http://schemas.openxmlformats.org/officeDocument/2006/relationships/hyperlink" Target="https://doi.org/10.2337/dci22-0034"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s://doi.org/10.2337/dc23-Sint" TargetMode="External" Id="rId9" /><Relationship Type="http://schemas.openxmlformats.org/officeDocument/2006/relationships/hyperlink" Target="https://www.macmillanlearning.com/college/us/product/Lehninger-Principles-of-Biochemistry/p/1319228003"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Mazaffar Hussain (2512318)</lastModifiedBy>
  <revision>5</revision>
  <dcterms:created xsi:type="dcterms:W3CDTF">2026-10-02T15:41:00.0000000Z</dcterms:created>
  <dcterms:modified xsi:type="dcterms:W3CDTF">2026-10-14T09:13:03.9106092Z</dcterms:modified>
  <category/>
</coreProperties>
</file>