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AEFB7" w14:textId="62308F09" w:rsidR="00EA76D1" w:rsidRPr="0005130C" w:rsidRDefault="00EA76D1" w:rsidP="00EA76D1">
      <w:pPr>
        <w:jc w:val="center"/>
        <w:rPr>
          <w:b/>
          <w:bCs/>
        </w:rPr>
      </w:pPr>
      <w:r w:rsidRPr="0005130C">
        <w:rPr>
          <w:b/>
          <w:bCs/>
        </w:rPr>
        <w:t xml:space="preserve">Chapter 5 </w:t>
      </w:r>
      <w:r w:rsidR="003F6E55">
        <w:rPr>
          <w:b/>
          <w:bCs/>
        </w:rPr>
        <w:t>–</w:t>
      </w:r>
      <w:r w:rsidRPr="0005130C">
        <w:rPr>
          <w:b/>
          <w:bCs/>
        </w:rPr>
        <w:t xml:space="preserve"> </w:t>
      </w:r>
      <w:r w:rsidR="003F6E55">
        <w:rPr>
          <w:b/>
          <w:bCs/>
        </w:rPr>
        <w:t>Findings and Conclusions</w:t>
      </w:r>
    </w:p>
    <w:p w14:paraId="003B3CC4" w14:textId="77777777" w:rsidR="00EA76D1" w:rsidRDefault="00EA76D1" w:rsidP="00EA76D1"/>
    <w:p w14:paraId="6CF52C2D" w14:textId="71F412B3" w:rsidR="00045B75" w:rsidRDefault="00EA76D1" w:rsidP="00EA76D1">
      <w:pPr>
        <w:rPr>
          <w:b/>
          <w:bCs/>
        </w:rPr>
      </w:pPr>
      <w:r w:rsidRPr="00EA76D1">
        <w:rPr>
          <w:b/>
          <w:bCs/>
        </w:rPr>
        <w:t xml:space="preserve">5.1 </w:t>
      </w:r>
      <w:r w:rsidR="00D268A7">
        <w:rPr>
          <w:b/>
          <w:bCs/>
        </w:rPr>
        <w:t xml:space="preserve">Summary of key findings </w:t>
      </w:r>
      <w:r w:rsidRPr="00EA76D1">
        <w:rPr>
          <w:b/>
          <w:bCs/>
        </w:rPr>
        <w:t xml:space="preserve"> </w:t>
      </w:r>
    </w:p>
    <w:p w14:paraId="32513594" w14:textId="77777777" w:rsidR="009863B8" w:rsidRPr="009863B8" w:rsidRDefault="009863B8" w:rsidP="00EA76D1">
      <w:pPr>
        <w:rPr>
          <w:sz w:val="22"/>
          <w:szCs w:val="18"/>
        </w:rPr>
      </w:pPr>
    </w:p>
    <w:p w14:paraId="10C228CF" w14:textId="1091E056" w:rsidR="009863B8" w:rsidRPr="009863B8" w:rsidRDefault="009863B8" w:rsidP="00EA76D1">
      <w:pPr>
        <w:rPr>
          <w:sz w:val="22"/>
          <w:szCs w:val="18"/>
        </w:rPr>
      </w:pPr>
      <w:r w:rsidRPr="009863B8">
        <w:rPr>
          <w:sz w:val="22"/>
          <w:szCs w:val="18"/>
        </w:rPr>
        <w:t xml:space="preserve">The purpose of this dissertation was </w:t>
      </w:r>
      <w:r>
        <w:rPr>
          <w:sz w:val="22"/>
          <w:szCs w:val="18"/>
        </w:rPr>
        <w:t xml:space="preserve">to explore the </w:t>
      </w:r>
      <w:r w:rsidR="006F6693">
        <w:rPr>
          <w:sz w:val="22"/>
          <w:szCs w:val="18"/>
        </w:rPr>
        <w:t>public’s</w:t>
      </w:r>
      <w:r>
        <w:rPr>
          <w:sz w:val="22"/>
          <w:szCs w:val="18"/>
        </w:rPr>
        <w:t xml:space="preserve"> perception of police pursuits throughout the United Kingdom, aiming to develop on key themes identified within the literature review, outlined in Chapter Two and corroborated through the mixed-method survey-based methodology in Chapter Three. Utilising analysis of both quantitative and qualitative data, </w:t>
      </w:r>
      <w:r w:rsidR="00C86136">
        <w:rPr>
          <w:sz w:val="22"/>
          <w:szCs w:val="18"/>
        </w:rPr>
        <w:t>the research confirmed that public perception is shaped by a range of demographic variables</w:t>
      </w:r>
      <w:r>
        <w:rPr>
          <w:sz w:val="22"/>
          <w:szCs w:val="18"/>
        </w:rPr>
        <w:t xml:space="preserve">, such as age, ethnicity, media portrayals and police conduct, while broader concerns surrounding safety and accountability emerged. </w:t>
      </w:r>
      <w:r w:rsidR="00C86136">
        <w:rPr>
          <w:sz w:val="22"/>
          <w:szCs w:val="18"/>
        </w:rPr>
        <w:t xml:space="preserve">These results resonated with patterns observed in the literature, </w:t>
      </w:r>
      <w:r>
        <w:rPr>
          <w:sz w:val="22"/>
          <w:szCs w:val="18"/>
        </w:rPr>
        <w:t xml:space="preserve">including the works of MacDonald and Alpert (1998), Payne </w:t>
      </w:r>
      <w:r w:rsidRPr="003A7DCE">
        <w:rPr>
          <w:i/>
          <w:iCs/>
          <w:sz w:val="22"/>
          <w:szCs w:val="18"/>
        </w:rPr>
        <w:t>et al</w:t>
      </w:r>
      <w:r>
        <w:rPr>
          <w:sz w:val="22"/>
          <w:szCs w:val="18"/>
        </w:rPr>
        <w:t>. (2017) and the College of Policing (2024), which mutually underline the sensitivity of police powers in public consciousness.</w:t>
      </w:r>
    </w:p>
    <w:p w14:paraId="06206E8B" w14:textId="77777777" w:rsidR="00E24B2D" w:rsidRDefault="00E24B2D" w:rsidP="00EA76D1">
      <w:pPr>
        <w:rPr>
          <w:sz w:val="22"/>
          <w:szCs w:val="18"/>
        </w:rPr>
      </w:pPr>
    </w:p>
    <w:p w14:paraId="58DB76BD" w14:textId="6AE09708" w:rsidR="001C31A7" w:rsidRPr="006A680A" w:rsidRDefault="001C31A7" w:rsidP="001C31A7">
      <w:pPr>
        <w:rPr>
          <w:sz w:val="22"/>
          <w:szCs w:val="18"/>
        </w:rPr>
      </w:pPr>
      <w:r>
        <w:rPr>
          <w:sz w:val="22"/>
          <w:szCs w:val="18"/>
        </w:rPr>
        <w:t>The methodology</w:t>
      </w:r>
      <w:r w:rsidR="009863B8">
        <w:rPr>
          <w:sz w:val="22"/>
          <w:szCs w:val="18"/>
        </w:rPr>
        <w:t xml:space="preserve"> </w:t>
      </w:r>
      <w:r>
        <w:rPr>
          <w:sz w:val="22"/>
          <w:szCs w:val="18"/>
        </w:rPr>
        <w:t xml:space="preserve">was </w:t>
      </w:r>
      <w:r w:rsidR="009863B8">
        <w:rPr>
          <w:sz w:val="22"/>
          <w:szCs w:val="18"/>
        </w:rPr>
        <w:t xml:space="preserve">designed to identify both statistical and in-depth personal beliefs allowed for a rugged analysis going beyond superficial generalisations. </w:t>
      </w:r>
      <w:r w:rsidR="007127DE">
        <w:rPr>
          <w:sz w:val="22"/>
          <w:szCs w:val="18"/>
        </w:rPr>
        <w:t>Highlighted within Chapter Three</w:t>
      </w:r>
      <w:r>
        <w:rPr>
          <w:sz w:val="22"/>
          <w:szCs w:val="18"/>
        </w:rPr>
        <w:t xml:space="preserve">, combining quantitative Liker-scale items with open-ended questions allowed for the identification of </w:t>
      </w:r>
      <w:r w:rsidRPr="006A680A">
        <w:rPr>
          <w:sz w:val="22"/>
          <w:szCs w:val="18"/>
        </w:rPr>
        <w:t>demographic trends as well as exploring the layered perceptions in respondents own words. By utilising this approach, the literature gap</w:t>
      </w:r>
      <w:r w:rsidR="00951318">
        <w:rPr>
          <w:sz w:val="22"/>
          <w:szCs w:val="18"/>
        </w:rPr>
        <w:t xml:space="preserve"> was addressed</w:t>
      </w:r>
      <w:r w:rsidRPr="006A680A">
        <w:rPr>
          <w:sz w:val="22"/>
          <w:szCs w:val="18"/>
        </w:rPr>
        <w:t xml:space="preserve">, noted in section 2.7, particularly the lack of public insight into what is considered </w:t>
      </w:r>
      <w:r w:rsidR="00251C1C">
        <w:rPr>
          <w:sz w:val="22"/>
          <w:szCs w:val="18"/>
        </w:rPr>
        <w:t xml:space="preserve">a </w:t>
      </w:r>
      <w:r w:rsidRPr="006A680A">
        <w:rPr>
          <w:sz w:val="22"/>
          <w:szCs w:val="18"/>
        </w:rPr>
        <w:t>‘justifiable’ use of pursuit and how these opinions vary across communities.</w:t>
      </w:r>
    </w:p>
    <w:p w14:paraId="66C901C2" w14:textId="77777777" w:rsidR="00D268A7" w:rsidRDefault="00D268A7" w:rsidP="00EA76D1">
      <w:pPr>
        <w:rPr>
          <w:b/>
          <w:bCs/>
        </w:rPr>
      </w:pPr>
    </w:p>
    <w:p w14:paraId="3DB98C43" w14:textId="637FF88A" w:rsidR="00D268A7" w:rsidRDefault="00D268A7" w:rsidP="00EA76D1">
      <w:pPr>
        <w:rPr>
          <w:b/>
          <w:bCs/>
        </w:rPr>
      </w:pPr>
      <w:r>
        <w:rPr>
          <w:b/>
          <w:bCs/>
        </w:rPr>
        <w:t xml:space="preserve">5.2 Conclusions </w:t>
      </w:r>
    </w:p>
    <w:p w14:paraId="13896F82" w14:textId="7CA2BC53" w:rsidR="004B7928" w:rsidRDefault="004B7928" w:rsidP="00EA76D1">
      <w:pPr>
        <w:rPr>
          <w:b/>
          <w:bCs/>
        </w:rPr>
      </w:pPr>
    </w:p>
    <w:p w14:paraId="7B06095B" w14:textId="2FF21B4E" w:rsidR="001C31A7" w:rsidRPr="001C31A7" w:rsidRDefault="001C31A7" w:rsidP="00EA76D1">
      <w:pPr>
        <w:rPr>
          <w:sz w:val="22"/>
          <w:szCs w:val="18"/>
        </w:rPr>
      </w:pPr>
      <w:r>
        <w:rPr>
          <w:sz w:val="22"/>
          <w:szCs w:val="18"/>
        </w:rPr>
        <w:t>The conclusion drawn from the completed study, reinforced the themes that emerged from the literature as well as adding empirical depth. From this,</w:t>
      </w:r>
      <w:r w:rsidR="004169D4">
        <w:rPr>
          <w:sz w:val="22"/>
          <w:szCs w:val="18"/>
        </w:rPr>
        <w:t xml:space="preserve"> four major conclusions</w:t>
      </w:r>
      <w:r w:rsidR="00EF0BDA">
        <w:rPr>
          <w:sz w:val="22"/>
          <w:szCs w:val="18"/>
        </w:rPr>
        <w:t xml:space="preserve"> have been identified</w:t>
      </w:r>
      <w:r w:rsidR="004169D4">
        <w:rPr>
          <w:sz w:val="22"/>
          <w:szCs w:val="18"/>
        </w:rPr>
        <w:t xml:space="preserve">, each deepened with both theory and data. </w:t>
      </w:r>
    </w:p>
    <w:p w14:paraId="392BC235" w14:textId="77777777" w:rsidR="00CC405B" w:rsidRDefault="00CC405B" w:rsidP="00EA76D1">
      <w:pPr>
        <w:rPr>
          <w:b/>
          <w:bCs/>
        </w:rPr>
      </w:pPr>
    </w:p>
    <w:p w14:paraId="0C73F9D9" w14:textId="6FD07871" w:rsidR="001749AE" w:rsidRDefault="00CC405B" w:rsidP="001749AE">
      <w:pPr>
        <w:rPr>
          <w:rFonts w:cs="Arial"/>
          <w:b/>
          <w:bCs/>
        </w:rPr>
      </w:pPr>
      <w:r w:rsidRPr="00CC405B">
        <w:rPr>
          <w:rFonts w:cs="Arial"/>
          <w:b/>
          <w:bCs/>
        </w:rPr>
        <w:t>5.2.1 – Age</w:t>
      </w:r>
      <w:r w:rsidR="006A680A">
        <w:rPr>
          <w:rFonts w:cs="Arial"/>
          <w:b/>
          <w:bCs/>
        </w:rPr>
        <w:t xml:space="preserve"> and Risk Perception </w:t>
      </w:r>
    </w:p>
    <w:p w14:paraId="21A55B23" w14:textId="77777777" w:rsidR="006A680A" w:rsidRDefault="006A680A" w:rsidP="001749AE">
      <w:pPr>
        <w:rPr>
          <w:rFonts w:cs="Arial"/>
          <w:b/>
          <w:bCs/>
        </w:rPr>
      </w:pPr>
    </w:p>
    <w:p w14:paraId="3A4FE7D1" w14:textId="2F1F765E" w:rsidR="004169D4" w:rsidRDefault="004169D4" w:rsidP="001749AE">
      <w:pPr>
        <w:rPr>
          <w:rFonts w:cs="Arial"/>
          <w:sz w:val="22"/>
          <w:szCs w:val="18"/>
        </w:rPr>
      </w:pPr>
      <w:r>
        <w:rPr>
          <w:rFonts w:cs="Arial"/>
          <w:sz w:val="22"/>
          <w:szCs w:val="18"/>
        </w:rPr>
        <w:t xml:space="preserve">This study exaggerates how age significantly impacts how different people perceive risk in relation to police pursuits, remaining in line with research conducted by Rolison </w:t>
      </w:r>
      <w:r w:rsidRPr="00EF0BDA">
        <w:rPr>
          <w:rFonts w:cs="Arial"/>
          <w:i/>
          <w:iCs/>
          <w:sz w:val="22"/>
          <w:szCs w:val="18"/>
        </w:rPr>
        <w:t>et al</w:t>
      </w:r>
      <w:r>
        <w:rPr>
          <w:rFonts w:cs="Arial"/>
          <w:sz w:val="22"/>
          <w:szCs w:val="18"/>
        </w:rPr>
        <w:t xml:space="preserve">. (2014) and the College of Policing (2024) Younger respondents (ages 18-29) were generally more favourable of police pursuits, even for minor infractions. According to the qualitative data highlighted in Chapter Four, 62% of younger adults agreed that any failure to stop, calls for immediate police action. Comparatively, 68% of older participants suggested that pursuits should only be used for violent or high-risk </w:t>
      </w:r>
      <w:r w:rsidRPr="007B0C45">
        <w:rPr>
          <w:rFonts w:cs="Arial"/>
          <w:sz w:val="22"/>
          <w:szCs w:val="18"/>
        </w:rPr>
        <w:t>crimes.</w:t>
      </w:r>
    </w:p>
    <w:p w14:paraId="049F2710" w14:textId="77777777" w:rsidR="007B0C45" w:rsidRDefault="007B0C45" w:rsidP="001749AE">
      <w:pPr>
        <w:rPr>
          <w:rFonts w:cs="Arial"/>
          <w:sz w:val="22"/>
          <w:szCs w:val="18"/>
        </w:rPr>
      </w:pPr>
    </w:p>
    <w:p w14:paraId="670A9C8D" w14:textId="30ED923F" w:rsidR="007B0C45" w:rsidRPr="004169D4" w:rsidRDefault="007B0C45" w:rsidP="001749AE">
      <w:pPr>
        <w:rPr>
          <w:rFonts w:cs="Arial"/>
          <w:sz w:val="22"/>
          <w:szCs w:val="18"/>
        </w:rPr>
      </w:pPr>
      <w:r>
        <w:rPr>
          <w:rFonts w:cs="Arial"/>
          <w:sz w:val="22"/>
          <w:szCs w:val="18"/>
        </w:rPr>
        <w:t>The findings noted above align with the risk aversion theory and the concept of generational policing expectations, both reference</w:t>
      </w:r>
      <w:r w:rsidR="00EC2CA7">
        <w:rPr>
          <w:rFonts w:cs="Arial"/>
          <w:sz w:val="22"/>
          <w:szCs w:val="18"/>
        </w:rPr>
        <w:t>d</w:t>
      </w:r>
      <w:r>
        <w:rPr>
          <w:rFonts w:cs="Arial"/>
          <w:sz w:val="22"/>
          <w:szCs w:val="18"/>
        </w:rPr>
        <w:t xml:space="preserve"> within the literature chapter, (2.4 and 2.6). the collected data validates MacDonald and Alpert’s (1998) observation</w:t>
      </w:r>
      <w:r w:rsidR="00322079">
        <w:rPr>
          <w:rFonts w:cs="Arial"/>
          <w:sz w:val="22"/>
          <w:szCs w:val="18"/>
        </w:rPr>
        <w:t xml:space="preserve"> that older individuals tend to perceive greater risk, particularly in situations where public safety may be compromised. </w:t>
      </w:r>
      <w:r w:rsidR="008D79D4">
        <w:rPr>
          <w:rFonts w:cs="Arial"/>
          <w:sz w:val="22"/>
          <w:szCs w:val="18"/>
        </w:rPr>
        <w:t>This suggests</w:t>
      </w:r>
      <w:r>
        <w:rPr>
          <w:rFonts w:cs="Arial"/>
          <w:sz w:val="22"/>
          <w:szCs w:val="18"/>
        </w:rPr>
        <w:t xml:space="preserve"> police communication strategies must be detailed to different age demographics, a point exaggerated within the research methodology outlined in Chapter Three</w:t>
      </w:r>
      <w:r w:rsidR="006B03FD">
        <w:rPr>
          <w:rFonts w:cs="Arial"/>
          <w:sz w:val="22"/>
          <w:szCs w:val="18"/>
        </w:rPr>
        <w:t>, w</w:t>
      </w:r>
      <w:r>
        <w:rPr>
          <w:rFonts w:cs="Arial"/>
          <w:sz w:val="22"/>
          <w:szCs w:val="18"/>
        </w:rPr>
        <w:t>here</w:t>
      </w:r>
      <w:r w:rsidR="006B03FD">
        <w:rPr>
          <w:rFonts w:cs="Arial"/>
          <w:sz w:val="22"/>
          <w:szCs w:val="18"/>
        </w:rPr>
        <w:t xml:space="preserve"> the</w:t>
      </w:r>
      <w:r>
        <w:rPr>
          <w:rFonts w:cs="Arial"/>
          <w:sz w:val="22"/>
          <w:szCs w:val="18"/>
        </w:rPr>
        <w:t xml:space="preserve"> sample was intentionally varied in age to surface these contrasts.</w:t>
      </w:r>
    </w:p>
    <w:p w14:paraId="24B46D7A" w14:textId="77777777" w:rsidR="00CC405B" w:rsidRDefault="00CC405B" w:rsidP="001749AE">
      <w:pPr>
        <w:rPr>
          <w:rFonts w:cs="Arial"/>
        </w:rPr>
      </w:pPr>
    </w:p>
    <w:p w14:paraId="2B39AD0F" w14:textId="4D305E5C" w:rsidR="00CC405B" w:rsidRDefault="00325840" w:rsidP="001749AE">
      <w:pPr>
        <w:rPr>
          <w:rFonts w:cs="Arial"/>
          <w:b/>
          <w:bCs/>
        </w:rPr>
      </w:pPr>
      <w:r>
        <w:rPr>
          <w:rFonts w:cs="Arial"/>
          <w:b/>
          <w:bCs/>
        </w:rPr>
        <w:t xml:space="preserve">5.2.2 – Ethnicity </w:t>
      </w:r>
      <w:r w:rsidR="00BE74DD">
        <w:rPr>
          <w:rFonts w:cs="Arial"/>
          <w:b/>
          <w:bCs/>
        </w:rPr>
        <w:t>and Public Trust</w:t>
      </w:r>
    </w:p>
    <w:p w14:paraId="1AACA41B" w14:textId="77777777" w:rsidR="00DC2299" w:rsidRDefault="00DC2299" w:rsidP="001749AE">
      <w:pPr>
        <w:rPr>
          <w:rFonts w:cs="Arial"/>
          <w:b/>
          <w:bCs/>
        </w:rPr>
      </w:pPr>
    </w:p>
    <w:p w14:paraId="1655AD6B" w14:textId="7E269918" w:rsidR="00722518" w:rsidRPr="00722518" w:rsidRDefault="00722518" w:rsidP="001749AE">
      <w:pPr>
        <w:rPr>
          <w:rFonts w:cs="Arial"/>
          <w:sz w:val="22"/>
          <w:szCs w:val="22"/>
        </w:rPr>
      </w:pPr>
      <w:r>
        <w:rPr>
          <w:rFonts w:cs="Arial"/>
          <w:sz w:val="22"/>
          <w:szCs w:val="22"/>
        </w:rPr>
        <w:t xml:space="preserve">Complementing the results of Section 2.6, which includes the writings of Stone (2013) and Payne </w:t>
      </w:r>
      <w:r w:rsidRPr="006B03FD">
        <w:rPr>
          <w:rFonts w:cs="Arial"/>
          <w:i/>
          <w:iCs/>
          <w:sz w:val="22"/>
          <w:szCs w:val="22"/>
        </w:rPr>
        <w:t>et al</w:t>
      </w:r>
      <w:r>
        <w:rPr>
          <w:rFonts w:cs="Arial"/>
          <w:sz w:val="22"/>
          <w:szCs w:val="22"/>
        </w:rPr>
        <w:t>. (2017)</w:t>
      </w:r>
      <w:r w:rsidR="00E4116C">
        <w:rPr>
          <w:rFonts w:cs="Arial"/>
          <w:sz w:val="22"/>
          <w:szCs w:val="22"/>
        </w:rPr>
        <w:t>,</w:t>
      </w:r>
      <w:r>
        <w:rPr>
          <w:rFonts w:cs="Arial"/>
          <w:sz w:val="22"/>
          <w:szCs w:val="22"/>
        </w:rPr>
        <w:t xml:space="preserve"> the longstanding distrust between police forces and ethnic minority communities were echoed within the survey findings. Ethnic minority r</w:t>
      </w:r>
      <w:r w:rsidR="00E4116C">
        <w:rPr>
          <w:rFonts w:cs="Arial"/>
          <w:sz w:val="22"/>
          <w:szCs w:val="22"/>
        </w:rPr>
        <w:t>e</w:t>
      </w:r>
      <w:r>
        <w:rPr>
          <w:rFonts w:cs="Arial"/>
          <w:sz w:val="22"/>
          <w:szCs w:val="22"/>
        </w:rPr>
        <w:t>spondents</w:t>
      </w:r>
      <w:r w:rsidR="006B03FD">
        <w:rPr>
          <w:rFonts w:cs="Arial"/>
          <w:sz w:val="22"/>
          <w:szCs w:val="22"/>
        </w:rPr>
        <w:t>,</w:t>
      </w:r>
      <w:r>
        <w:rPr>
          <w:rFonts w:cs="Arial"/>
          <w:sz w:val="22"/>
          <w:szCs w:val="22"/>
        </w:rPr>
        <w:t xml:space="preserve"> though underrepresented</w:t>
      </w:r>
      <w:r w:rsidR="006B03FD">
        <w:rPr>
          <w:rFonts w:cs="Arial"/>
          <w:sz w:val="22"/>
          <w:szCs w:val="22"/>
        </w:rPr>
        <w:t xml:space="preserve">, </w:t>
      </w:r>
      <w:r w:rsidR="00E4116C">
        <w:rPr>
          <w:rFonts w:cs="Arial"/>
          <w:sz w:val="22"/>
          <w:szCs w:val="22"/>
        </w:rPr>
        <w:t xml:space="preserve">voiced their reservations towards police pursuits, regularly expressing fears of racial profiling and excessive use of force. </w:t>
      </w:r>
      <w:r w:rsidR="00BC068B">
        <w:rPr>
          <w:rFonts w:cs="Arial"/>
          <w:sz w:val="22"/>
          <w:szCs w:val="22"/>
        </w:rPr>
        <w:t>This remains</w:t>
      </w:r>
      <w:r w:rsidR="00E4116C">
        <w:rPr>
          <w:rFonts w:cs="Arial"/>
          <w:sz w:val="22"/>
          <w:szCs w:val="22"/>
        </w:rPr>
        <w:t xml:space="preserve"> centred with the broader </w:t>
      </w:r>
      <w:r w:rsidR="00E4116C">
        <w:rPr>
          <w:rFonts w:cs="Arial"/>
          <w:sz w:val="22"/>
          <w:szCs w:val="22"/>
        </w:rPr>
        <w:lastRenderedPageBreak/>
        <w:t xml:space="preserve">concerns demonstrated through cases such as Chris Kaba’s, detailed in the literature review. </w:t>
      </w:r>
    </w:p>
    <w:p w14:paraId="0EB6966D" w14:textId="4A454A64" w:rsidR="00DC2299" w:rsidRDefault="00DC2299" w:rsidP="001749AE">
      <w:pPr>
        <w:rPr>
          <w:rFonts w:cs="Arial"/>
          <w:b/>
          <w:bCs/>
        </w:rPr>
      </w:pPr>
    </w:p>
    <w:p w14:paraId="79901BBD" w14:textId="10152135" w:rsidR="00BB7262" w:rsidRDefault="00E4116C" w:rsidP="001749AE">
      <w:pPr>
        <w:rPr>
          <w:rFonts w:cs="Arial"/>
          <w:sz w:val="22"/>
          <w:szCs w:val="18"/>
        </w:rPr>
      </w:pPr>
      <w:r>
        <w:rPr>
          <w:rFonts w:cs="Arial"/>
          <w:sz w:val="22"/>
          <w:szCs w:val="18"/>
        </w:rPr>
        <w:t xml:space="preserve">While Chapter Three recognised that distributing the survey online might lead to the underrepresentation of certain communities, the </w:t>
      </w:r>
      <w:r w:rsidR="007F0F27">
        <w:rPr>
          <w:rFonts w:cs="Arial"/>
          <w:sz w:val="22"/>
          <w:szCs w:val="18"/>
        </w:rPr>
        <w:t xml:space="preserve">analysis of the qualitative responses uncovered widespread feelings of distrust </w:t>
      </w:r>
      <w:r>
        <w:rPr>
          <w:rFonts w:cs="Arial"/>
          <w:sz w:val="22"/>
          <w:szCs w:val="18"/>
        </w:rPr>
        <w:t>(Section 4.4.2)</w:t>
      </w:r>
      <w:r w:rsidR="00BB7262">
        <w:rPr>
          <w:rFonts w:cs="Arial"/>
          <w:sz w:val="22"/>
          <w:szCs w:val="18"/>
        </w:rPr>
        <w:t xml:space="preserve">, underscoring the need for culturally competent policing. </w:t>
      </w:r>
      <w:r w:rsidR="007F0F27">
        <w:rPr>
          <w:rFonts w:cs="Arial"/>
          <w:sz w:val="22"/>
          <w:szCs w:val="18"/>
        </w:rPr>
        <w:t xml:space="preserve">These results support earlier studies, reinforcing calls for targeted community engagement strategies and anti-bias training. </w:t>
      </w:r>
      <w:r w:rsidR="00BB7262">
        <w:rPr>
          <w:rFonts w:cs="Arial"/>
          <w:sz w:val="22"/>
          <w:szCs w:val="18"/>
        </w:rPr>
        <w:t>Additionally, it highlights the importance of future research targeting more inclusive sampling, as identified in the limitations section of Chapter Three.</w:t>
      </w:r>
    </w:p>
    <w:p w14:paraId="4C939059" w14:textId="77777777" w:rsidR="00325840" w:rsidRDefault="00325840" w:rsidP="001749AE">
      <w:pPr>
        <w:rPr>
          <w:rFonts w:cs="Arial"/>
        </w:rPr>
      </w:pPr>
    </w:p>
    <w:p w14:paraId="56DD556C" w14:textId="2697BA16" w:rsidR="00325840" w:rsidRDefault="00325840" w:rsidP="001749AE">
      <w:pPr>
        <w:rPr>
          <w:rFonts w:cs="Arial"/>
          <w:b/>
          <w:bCs/>
        </w:rPr>
      </w:pPr>
      <w:r>
        <w:rPr>
          <w:rFonts w:cs="Arial"/>
          <w:b/>
          <w:bCs/>
        </w:rPr>
        <w:t>5.2.3</w:t>
      </w:r>
      <w:r w:rsidR="00377AC0">
        <w:rPr>
          <w:rFonts w:cs="Arial"/>
          <w:b/>
          <w:bCs/>
        </w:rPr>
        <w:t xml:space="preserve"> – Media </w:t>
      </w:r>
      <w:r w:rsidR="00BE74DD">
        <w:rPr>
          <w:rFonts w:cs="Arial"/>
          <w:b/>
          <w:bCs/>
        </w:rPr>
        <w:t xml:space="preserve">Influence and Framing Effects </w:t>
      </w:r>
    </w:p>
    <w:p w14:paraId="7A36813D" w14:textId="77777777" w:rsidR="00BB7262" w:rsidRDefault="00BB7262" w:rsidP="001749AE">
      <w:pPr>
        <w:rPr>
          <w:rFonts w:cs="Arial"/>
          <w:b/>
          <w:bCs/>
        </w:rPr>
      </w:pPr>
    </w:p>
    <w:p w14:paraId="2D0498D8" w14:textId="43191C40" w:rsidR="00BB7262" w:rsidRPr="00BB7262" w:rsidRDefault="00BB7262" w:rsidP="001749AE">
      <w:pPr>
        <w:rPr>
          <w:rFonts w:cs="Arial"/>
          <w:sz w:val="22"/>
          <w:szCs w:val="18"/>
        </w:rPr>
      </w:pPr>
      <w:r>
        <w:rPr>
          <w:rFonts w:cs="Arial"/>
          <w:sz w:val="22"/>
          <w:szCs w:val="18"/>
        </w:rPr>
        <w:t xml:space="preserve">A renowned finding from both the literature review (Section 2.5) and the data analysis (Section 4.3.3) is the notable influence media has on public perceptions of police pursuits. The literature identifies the media as a framing tool (Briggs, 2028) expressing the tendency to prioritise dramatic and negative narratives, also known by Vaish </w:t>
      </w:r>
      <w:r w:rsidRPr="00BC068B">
        <w:rPr>
          <w:rFonts w:cs="Arial"/>
          <w:i/>
          <w:iCs/>
          <w:sz w:val="22"/>
          <w:szCs w:val="18"/>
        </w:rPr>
        <w:t>et al</w:t>
      </w:r>
      <w:r>
        <w:rPr>
          <w:rFonts w:cs="Arial"/>
          <w:sz w:val="22"/>
          <w:szCs w:val="18"/>
        </w:rPr>
        <w:t>. (2018) as “Negativity Bias”. Corroborated throughout the present study, where individuals who have said they are regularly exposed to news stories involving fatal or injurious pursuits, were more likely to oppose the tactic altogether.</w:t>
      </w:r>
    </w:p>
    <w:p w14:paraId="79D92150" w14:textId="77777777" w:rsidR="00103C93" w:rsidRDefault="00103C93" w:rsidP="001749AE">
      <w:pPr>
        <w:rPr>
          <w:rFonts w:cs="Arial"/>
          <w:b/>
          <w:bCs/>
        </w:rPr>
      </w:pPr>
    </w:p>
    <w:p w14:paraId="3E40AF17" w14:textId="4D1AF3E9" w:rsidR="00103C93" w:rsidRDefault="00055E8E" w:rsidP="001749AE">
      <w:pPr>
        <w:rPr>
          <w:rFonts w:cs="Arial"/>
          <w:sz w:val="22"/>
          <w:szCs w:val="18"/>
        </w:rPr>
      </w:pPr>
      <w:r>
        <w:rPr>
          <w:rFonts w:cs="Arial"/>
          <w:sz w:val="22"/>
          <w:szCs w:val="18"/>
        </w:rPr>
        <w:t xml:space="preserve">The choice to include open-ended questions in the methodology proved to be a crucial decision. Participant responses revealed that </w:t>
      </w:r>
      <w:r w:rsidR="007F0F27">
        <w:rPr>
          <w:rFonts w:cs="Arial"/>
          <w:sz w:val="22"/>
          <w:szCs w:val="18"/>
        </w:rPr>
        <w:t xml:space="preserve">participants’ opinions were more strongly shaped by media narratives than by direct personal encounters, </w:t>
      </w:r>
      <w:r>
        <w:rPr>
          <w:rFonts w:cs="Arial"/>
          <w:sz w:val="22"/>
          <w:szCs w:val="18"/>
        </w:rPr>
        <w:t>with several individuals noting that specific news stories had shifted their views. Aligning with Bergstrom’s (2020) observation that both the format and platform of news significantly influenced belief</w:t>
      </w:r>
      <w:r w:rsidR="00E1379D">
        <w:rPr>
          <w:rFonts w:cs="Arial"/>
          <w:sz w:val="22"/>
          <w:szCs w:val="18"/>
        </w:rPr>
        <w:t>s</w:t>
      </w:r>
      <w:r w:rsidR="00952D6D">
        <w:rPr>
          <w:rFonts w:cs="Arial"/>
          <w:sz w:val="22"/>
          <w:szCs w:val="18"/>
        </w:rPr>
        <w:t>,</w:t>
      </w:r>
      <w:r>
        <w:rPr>
          <w:rFonts w:cs="Arial"/>
          <w:sz w:val="22"/>
          <w:szCs w:val="18"/>
        </w:rPr>
        <w:t xml:space="preserve"> particularly among younger users on social media. These findings highlight the need for proactive police communication strategies that offer balanced, factual accounts of pursuit incidents, reinforcing a call made by Society of Editors (2024) in the literature review.</w:t>
      </w:r>
    </w:p>
    <w:p w14:paraId="60FDFD53" w14:textId="77777777" w:rsidR="00325840" w:rsidRDefault="00325840" w:rsidP="001749AE">
      <w:pPr>
        <w:rPr>
          <w:rFonts w:cs="Arial"/>
        </w:rPr>
      </w:pPr>
    </w:p>
    <w:p w14:paraId="22DA4708" w14:textId="17A8D9B7" w:rsidR="00325840" w:rsidRDefault="00325840" w:rsidP="001749AE">
      <w:pPr>
        <w:rPr>
          <w:rFonts w:cs="Arial"/>
          <w:b/>
          <w:bCs/>
        </w:rPr>
      </w:pPr>
      <w:r w:rsidRPr="00325840">
        <w:rPr>
          <w:rFonts w:cs="Arial"/>
          <w:b/>
          <w:bCs/>
        </w:rPr>
        <w:t>5.2.4</w:t>
      </w:r>
      <w:r w:rsidR="001C3E64">
        <w:rPr>
          <w:rFonts w:cs="Arial"/>
          <w:b/>
          <w:bCs/>
        </w:rPr>
        <w:t xml:space="preserve"> – Public Safety and Police Accountability</w:t>
      </w:r>
    </w:p>
    <w:p w14:paraId="749CB986" w14:textId="77777777" w:rsidR="00E1379D" w:rsidRDefault="00E1379D" w:rsidP="001749AE">
      <w:pPr>
        <w:rPr>
          <w:rFonts w:cs="Arial"/>
          <w:b/>
          <w:bCs/>
        </w:rPr>
      </w:pPr>
    </w:p>
    <w:p w14:paraId="273532A6" w14:textId="753DF75D" w:rsidR="00E1379D" w:rsidRPr="00E1379D" w:rsidRDefault="00E1379D" w:rsidP="001749AE">
      <w:pPr>
        <w:rPr>
          <w:rFonts w:cs="Arial"/>
          <w:sz w:val="22"/>
          <w:szCs w:val="18"/>
        </w:rPr>
      </w:pPr>
      <w:r>
        <w:rPr>
          <w:rFonts w:cs="Arial"/>
          <w:sz w:val="22"/>
          <w:szCs w:val="18"/>
        </w:rPr>
        <w:t xml:space="preserve">The advocacy for accountability was a recurring theme throughout both the literature review and the survey data. Chapter Two emphasised how pursuit-related fatalities, such as those cited by the IOPC (2019 and 2023) have intensified public scrutiny and minimised confidence in police decision making. </w:t>
      </w:r>
      <w:r w:rsidR="00FC5CC9">
        <w:rPr>
          <w:rFonts w:cs="Arial"/>
          <w:sz w:val="22"/>
          <w:szCs w:val="18"/>
        </w:rPr>
        <w:t>The survey results obtained, and thematic coding confirmed that the public is not inherently opposed to pursuits, however, demands clear justifications, real-time risk assessment and post-incident transparency.</w:t>
      </w:r>
    </w:p>
    <w:p w14:paraId="32A5B232" w14:textId="77777777" w:rsidR="00BC2FB2" w:rsidRDefault="00BC2FB2" w:rsidP="001749AE">
      <w:pPr>
        <w:rPr>
          <w:rFonts w:cs="Arial"/>
          <w:b/>
          <w:bCs/>
        </w:rPr>
      </w:pPr>
    </w:p>
    <w:p w14:paraId="3BC8C44E" w14:textId="7561FA78" w:rsidR="00BE74DD" w:rsidRDefault="00FC5CC9" w:rsidP="001749AE">
      <w:pPr>
        <w:rPr>
          <w:rFonts w:cs="Arial"/>
          <w:sz w:val="22"/>
          <w:szCs w:val="18"/>
        </w:rPr>
      </w:pPr>
      <w:r>
        <w:rPr>
          <w:rFonts w:cs="Arial"/>
          <w:sz w:val="22"/>
          <w:szCs w:val="18"/>
        </w:rPr>
        <w:t>Chapter four consistently emphasised how respondents rated “public safety” as a top concern, with many questioning the purpose of pursuits initiated over minor offences. Closely aligning with the principles of proportionality outlined by the College of Policing (2024) and MacDonald and Alpert’s (1998) emphasis on perceived justification. The study substantiates these findings by providing contemporary data on how these concerns manifest across different communities.</w:t>
      </w:r>
    </w:p>
    <w:p w14:paraId="7EBA1A68" w14:textId="06F842CE" w:rsidR="00D268A7" w:rsidRDefault="00D268A7" w:rsidP="00EA76D1">
      <w:pPr>
        <w:rPr>
          <w:b/>
          <w:bCs/>
        </w:rPr>
      </w:pPr>
    </w:p>
    <w:p w14:paraId="70F6CDF7" w14:textId="3357F38F" w:rsidR="00D268A7" w:rsidRDefault="00D268A7" w:rsidP="00EA76D1">
      <w:pPr>
        <w:rPr>
          <w:b/>
          <w:bCs/>
        </w:rPr>
      </w:pPr>
      <w:r>
        <w:rPr>
          <w:b/>
          <w:bCs/>
        </w:rPr>
        <w:t xml:space="preserve">5.3 Recommendations </w:t>
      </w:r>
    </w:p>
    <w:p w14:paraId="4708A5CC" w14:textId="77777777" w:rsidR="0002317C" w:rsidRDefault="0002317C" w:rsidP="00EA76D1">
      <w:pPr>
        <w:rPr>
          <w:b/>
          <w:bCs/>
        </w:rPr>
      </w:pPr>
    </w:p>
    <w:p w14:paraId="5C94C725" w14:textId="26164458" w:rsidR="00BE74DD" w:rsidRPr="007638B1" w:rsidRDefault="00BE74DD" w:rsidP="00EA76D1">
      <w:pPr>
        <w:rPr>
          <w:sz w:val="22"/>
          <w:szCs w:val="18"/>
        </w:rPr>
      </w:pPr>
      <w:r w:rsidRPr="007638B1">
        <w:rPr>
          <w:sz w:val="22"/>
          <w:szCs w:val="18"/>
        </w:rPr>
        <w:t xml:space="preserve">In response to the findings from the research </w:t>
      </w:r>
      <w:r w:rsidR="007638B1" w:rsidRPr="007638B1">
        <w:rPr>
          <w:sz w:val="22"/>
          <w:szCs w:val="18"/>
        </w:rPr>
        <w:t>project and</w:t>
      </w:r>
      <w:r w:rsidRPr="007638B1">
        <w:rPr>
          <w:sz w:val="22"/>
          <w:szCs w:val="18"/>
        </w:rPr>
        <w:t xml:space="preserve"> building upon themes </w:t>
      </w:r>
      <w:r w:rsidR="00A47C96" w:rsidRPr="007638B1">
        <w:rPr>
          <w:sz w:val="22"/>
          <w:szCs w:val="18"/>
        </w:rPr>
        <w:t xml:space="preserve">explored in Chapter Two and Four, the following recommendations are proposed. </w:t>
      </w:r>
    </w:p>
    <w:p w14:paraId="62506232" w14:textId="77777777" w:rsidR="00A47C96" w:rsidRDefault="00A47C96" w:rsidP="00EA76D1">
      <w:pPr>
        <w:rPr>
          <w:b/>
          <w:bCs/>
        </w:rPr>
      </w:pPr>
    </w:p>
    <w:p w14:paraId="1F945F84" w14:textId="53BD9C74" w:rsidR="00A47C96" w:rsidRDefault="00A47C96" w:rsidP="00EA76D1">
      <w:pPr>
        <w:rPr>
          <w:b/>
          <w:bCs/>
        </w:rPr>
      </w:pPr>
      <w:r>
        <w:rPr>
          <w:b/>
          <w:bCs/>
        </w:rPr>
        <w:t>5.3.1 – Clarify and Publicise Pursuit Policy Guidelines</w:t>
      </w:r>
    </w:p>
    <w:p w14:paraId="15D54D80" w14:textId="77777777" w:rsidR="00A47C96" w:rsidRDefault="00A47C96" w:rsidP="00EA76D1">
      <w:pPr>
        <w:rPr>
          <w:b/>
          <w:bCs/>
        </w:rPr>
      </w:pPr>
    </w:p>
    <w:p w14:paraId="4351510D" w14:textId="5E9F2C0E" w:rsidR="00A47C96" w:rsidRPr="007638B1" w:rsidRDefault="00F0698C" w:rsidP="00EA76D1">
      <w:pPr>
        <w:rPr>
          <w:sz w:val="22"/>
          <w:szCs w:val="18"/>
        </w:rPr>
      </w:pPr>
      <w:r>
        <w:rPr>
          <w:sz w:val="22"/>
          <w:szCs w:val="18"/>
        </w:rPr>
        <w:lastRenderedPageBreak/>
        <w:t>E</w:t>
      </w:r>
      <w:r w:rsidR="00A47C96" w:rsidRPr="007638B1">
        <w:rPr>
          <w:sz w:val="22"/>
          <w:szCs w:val="18"/>
        </w:rPr>
        <w:t>mphasised in the literature review</w:t>
      </w:r>
      <w:r w:rsidR="00410FE0">
        <w:rPr>
          <w:sz w:val="22"/>
          <w:szCs w:val="18"/>
        </w:rPr>
        <w:t>, (</w:t>
      </w:r>
      <w:r w:rsidR="00A47C96" w:rsidRPr="007638B1">
        <w:rPr>
          <w:sz w:val="22"/>
          <w:szCs w:val="18"/>
        </w:rPr>
        <w:t>C</w:t>
      </w:r>
      <w:r w:rsidR="00410FE0">
        <w:rPr>
          <w:sz w:val="22"/>
          <w:szCs w:val="18"/>
        </w:rPr>
        <w:t>hapter 2.7)</w:t>
      </w:r>
      <w:r w:rsidR="00A47C96" w:rsidRPr="007638B1">
        <w:rPr>
          <w:sz w:val="22"/>
          <w:szCs w:val="18"/>
        </w:rPr>
        <w:t>, police forces should</w:t>
      </w:r>
      <w:r>
        <w:rPr>
          <w:sz w:val="22"/>
          <w:szCs w:val="18"/>
        </w:rPr>
        <w:t xml:space="preserve"> aim to</w:t>
      </w:r>
      <w:r w:rsidR="00A47C96" w:rsidRPr="007638B1">
        <w:rPr>
          <w:sz w:val="22"/>
          <w:szCs w:val="18"/>
        </w:rPr>
        <w:t xml:space="preserve"> make pursuit policies more accessible and understandable to the public.</w:t>
      </w:r>
      <w:r w:rsidR="00322079">
        <w:rPr>
          <w:sz w:val="22"/>
          <w:szCs w:val="18"/>
        </w:rPr>
        <w:t xml:space="preserve"> Establishing transparent pursuit criteria and ensuring public access to post-incident evaluations are attainable. E</w:t>
      </w:r>
      <w:r w:rsidR="00A47C96" w:rsidRPr="007638B1">
        <w:rPr>
          <w:sz w:val="22"/>
          <w:szCs w:val="18"/>
        </w:rPr>
        <w:t>nhanc</w:t>
      </w:r>
      <w:r>
        <w:rPr>
          <w:sz w:val="22"/>
          <w:szCs w:val="18"/>
        </w:rPr>
        <w:t>ing</w:t>
      </w:r>
      <w:r w:rsidR="00A47C96" w:rsidRPr="007638B1">
        <w:rPr>
          <w:sz w:val="22"/>
          <w:szCs w:val="18"/>
        </w:rPr>
        <w:t xml:space="preserve"> legitimacy</w:t>
      </w:r>
      <w:r>
        <w:rPr>
          <w:sz w:val="22"/>
          <w:szCs w:val="18"/>
        </w:rPr>
        <w:t>, trust and fostering confidence within police forces.</w:t>
      </w:r>
    </w:p>
    <w:p w14:paraId="71736738" w14:textId="77777777" w:rsidR="00A47C96" w:rsidRDefault="00A47C96" w:rsidP="00EA76D1">
      <w:pPr>
        <w:rPr>
          <w:b/>
          <w:bCs/>
        </w:rPr>
      </w:pPr>
    </w:p>
    <w:p w14:paraId="3F0F980D" w14:textId="12776C54" w:rsidR="00A47C96" w:rsidRDefault="00A47C96" w:rsidP="00EA76D1">
      <w:pPr>
        <w:rPr>
          <w:b/>
          <w:bCs/>
        </w:rPr>
      </w:pPr>
      <w:r>
        <w:rPr>
          <w:b/>
          <w:bCs/>
        </w:rPr>
        <w:t xml:space="preserve">5.3.2 – Implement Independent Review Mechanisms </w:t>
      </w:r>
    </w:p>
    <w:p w14:paraId="71090657" w14:textId="77777777" w:rsidR="00A47C96" w:rsidRDefault="00A47C96" w:rsidP="00EA76D1">
      <w:pPr>
        <w:rPr>
          <w:b/>
          <w:bCs/>
        </w:rPr>
      </w:pPr>
    </w:p>
    <w:p w14:paraId="35104B39" w14:textId="68BD5D57" w:rsidR="00A47C96" w:rsidRPr="007638B1" w:rsidRDefault="00A47C96" w:rsidP="00EA76D1">
      <w:pPr>
        <w:rPr>
          <w:sz w:val="22"/>
          <w:szCs w:val="18"/>
        </w:rPr>
      </w:pPr>
      <w:r w:rsidRPr="007638B1">
        <w:rPr>
          <w:sz w:val="22"/>
          <w:szCs w:val="18"/>
        </w:rPr>
        <w:t xml:space="preserve">Drawing from the IOPC recommendations and echoed by the respondents, post-pursuit reviews should be overseen by independent civilian panels to ensure objectivity and increase public trust. </w:t>
      </w:r>
    </w:p>
    <w:p w14:paraId="3A40DD18" w14:textId="77777777" w:rsidR="00A47C96" w:rsidRDefault="00A47C96" w:rsidP="00EA76D1">
      <w:pPr>
        <w:rPr>
          <w:b/>
          <w:bCs/>
        </w:rPr>
      </w:pPr>
    </w:p>
    <w:p w14:paraId="633838F7" w14:textId="5FED267E" w:rsidR="00A47C96" w:rsidRDefault="00A47C96" w:rsidP="00EA76D1">
      <w:pPr>
        <w:rPr>
          <w:b/>
          <w:bCs/>
        </w:rPr>
      </w:pPr>
      <w:r>
        <w:rPr>
          <w:b/>
          <w:bCs/>
        </w:rPr>
        <w:t xml:space="preserve">5.3.3 – Improve Media Strategy and Public Messaging </w:t>
      </w:r>
    </w:p>
    <w:p w14:paraId="6D2C6C81" w14:textId="77777777" w:rsidR="00A47C96" w:rsidRDefault="00A47C96" w:rsidP="00EA76D1">
      <w:pPr>
        <w:rPr>
          <w:b/>
          <w:bCs/>
        </w:rPr>
      </w:pPr>
    </w:p>
    <w:p w14:paraId="58513EC8" w14:textId="341FF2FB" w:rsidR="00A47C96" w:rsidRDefault="00A47C96" w:rsidP="00EA76D1">
      <w:pPr>
        <w:rPr>
          <w:sz w:val="22"/>
          <w:szCs w:val="18"/>
        </w:rPr>
      </w:pPr>
      <w:r w:rsidRPr="007638B1">
        <w:rPr>
          <w:sz w:val="22"/>
          <w:szCs w:val="18"/>
        </w:rPr>
        <w:t xml:space="preserve">As media framing heavily influences perception, (Briggs, 2018 and Loh </w:t>
      </w:r>
      <w:r w:rsidRPr="00AD049D">
        <w:rPr>
          <w:i/>
          <w:iCs/>
          <w:sz w:val="22"/>
          <w:szCs w:val="18"/>
        </w:rPr>
        <w:t>et al</w:t>
      </w:r>
      <w:r w:rsidRPr="007638B1">
        <w:rPr>
          <w:sz w:val="22"/>
          <w:szCs w:val="18"/>
        </w:rPr>
        <w:t>. 2023), police forces should strategically release footage and statements about successful, proportionate pursuits to balance the negative bias that dominates current narratives.</w:t>
      </w:r>
    </w:p>
    <w:p w14:paraId="09B24187" w14:textId="77777777" w:rsidR="00A47C96" w:rsidRDefault="00A47C96" w:rsidP="00EA76D1">
      <w:pPr>
        <w:rPr>
          <w:b/>
          <w:bCs/>
        </w:rPr>
      </w:pPr>
    </w:p>
    <w:p w14:paraId="12541CD9" w14:textId="546B576B" w:rsidR="00A47C96" w:rsidRDefault="00A47C96" w:rsidP="00EA76D1">
      <w:pPr>
        <w:rPr>
          <w:b/>
          <w:bCs/>
        </w:rPr>
      </w:pPr>
      <w:r>
        <w:rPr>
          <w:b/>
          <w:bCs/>
        </w:rPr>
        <w:t>5.3.4 – Strengthen Community Outreach in Minority Areas</w:t>
      </w:r>
    </w:p>
    <w:p w14:paraId="32284889" w14:textId="77777777" w:rsidR="00A47C96" w:rsidRDefault="00A47C96" w:rsidP="00EA76D1">
      <w:pPr>
        <w:rPr>
          <w:b/>
          <w:bCs/>
        </w:rPr>
      </w:pPr>
    </w:p>
    <w:p w14:paraId="7288B36C" w14:textId="1531668F" w:rsidR="007F0F27" w:rsidRDefault="00A47C96" w:rsidP="00EA76D1">
      <w:pPr>
        <w:rPr>
          <w:sz w:val="22"/>
          <w:szCs w:val="18"/>
        </w:rPr>
      </w:pPr>
      <w:r w:rsidRPr="007638B1">
        <w:rPr>
          <w:sz w:val="22"/>
          <w:szCs w:val="18"/>
        </w:rPr>
        <w:t xml:space="preserve">Consistent with Payne </w:t>
      </w:r>
      <w:r w:rsidRPr="00AD049D">
        <w:rPr>
          <w:i/>
          <w:iCs/>
          <w:sz w:val="22"/>
          <w:szCs w:val="18"/>
        </w:rPr>
        <w:t>et al.</w:t>
      </w:r>
      <w:r w:rsidRPr="007638B1">
        <w:rPr>
          <w:sz w:val="22"/>
          <w:szCs w:val="18"/>
        </w:rPr>
        <w:t xml:space="preserve"> (2017), community engagement in </w:t>
      </w:r>
      <w:r w:rsidR="007638B1" w:rsidRPr="007638B1">
        <w:rPr>
          <w:sz w:val="22"/>
          <w:szCs w:val="18"/>
        </w:rPr>
        <w:t>ethnically</w:t>
      </w:r>
      <w:r w:rsidRPr="007638B1">
        <w:rPr>
          <w:sz w:val="22"/>
          <w:szCs w:val="18"/>
        </w:rPr>
        <w:t xml:space="preserve"> diverse areas should be increased. Police forces </w:t>
      </w:r>
      <w:r w:rsidR="007F0F27">
        <w:rPr>
          <w:sz w:val="22"/>
          <w:szCs w:val="18"/>
        </w:rPr>
        <w:t>should prioritise transparent communication, community dialogue, and context-sensitive policy implementation.</w:t>
      </w:r>
    </w:p>
    <w:p w14:paraId="6C8474BE" w14:textId="77777777" w:rsidR="007F0F27" w:rsidRDefault="007F0F27" w:rsidP="00EA76D1">
      <w:pPr>
        <w:rPr>
          <w:sz w:val="22"/>
          <w:szCs w:val="18"/>
        </w:rPr>
      </w:pPr>
    </w:p>
    <w:p w14:paraId="0F1914B2" w14:textId="4700534E" w:rsidR="00A47C96" w:rsidRDefault="00A47C96" w:rsidP="00EA76D1">
      <w:pPr>
        <w:rPr>
          <w:b/>
          <w:bCs/>
        </w:rPr>
      </w:pPr>
      <w:r>
        <w:rPr>
          <w:b/>
          <w:bCs/>
        </w:rPr>
        <w:t xml:space="preserve">5.3.5 – Mandatory De-escalation and Cultural Awareness Training </w:t>
      </w:r>
    </w:p>
    <w:p w14:paraId="4E1826A3" w14:textId="77777777" w:rsidR="00A47C96" w:rsidRDefault="00A47C96" w:rsidP="00EA76D1">
      <w:pPr>
        <w:rPr>
          <w:b/>
          <w:bCs/>
        </w:rPr>
      </w:pPr>
    </w:p>
    <w:p w14:paraId="011315A6" w14:textId="7DB134B4" w:rsidR="00A47C96" w:rsidRDefault="00A47C96" w:rsidP="00EA76D1">
      <w:pPr>
        <w:rPr>
          <w:sz w:val="22"/>
          <w:szCs w:val="18"/>
        </w:rPr>
      </w:pPr>
      <w:r w:rsidRPr="007638B1">
        <w:rPr>
          <w:sz w:val="22"/>
          <w:szCs w:val="18"/>
        </w:rPr>
        <w:t xml:space="preserve">As suggested in the survey results and remaining in-line with the findings of </w:t>
      </w:r>
      <w:r w:rsidR="00887ABC">
        <w:rPr>
          <w:sz w:val="22"/>
          <w:szCs w:val="18"/>
        </w:rPr>
        <w:t>Lingle, Calaway and Mathi</w:t>
      </w:r>
      <w:r w:rsidR="00AD049D">
        <w:rPr>
          <w:sz w:val="22"/>
          <w:szCs w:val="18"/>
        </w:rPr>
        <w:t xml:space="preserve">s </w:t>
      </w:r>
      <w:r w:rsidR="00887ABC">
        <w:rPr>
          <w:sz w:val="22"/>
          <w:szCs w:val="18"/>
        </w:rPr>
        <w:t>(2024</w:t>
      </w:r>
      <w:r w:rsidR="007638B1" w:rsidRPr="007638B1">
        <w:rPr>
          <w:sz w:val="22"/>
          <w:szCs w:val="18"/>
        </w:rPr>
        <w:t xml:space="preserve">), pursuit-trained officers should receive annual refresher training in de-escalation techniques and cultural competence, reducing the need for high-risk tactics. </w:t>
      </w:r>
    </w:p>
    <w:p w14:paraId="35B43E48" w14:textId="77777777" w:rsidR="007638B1" w:rsidRDefault="007638B1" w:rsidP="00EA76D1">
      <w:pPr>
        <w:rPr>
          <w:b/>
          <w:bCs/>
        </w:rPr>
      </w:pPr>
    </w:p>
    <w:p w14:paraId="6FAE16B1" w14:textId="69A57E32" w:rsidR="007638B1" w:rsidRDefault="007638B1" w:rsidP="00EA76D1">
      <w:pPr>
        <w:rPr>
          <w:b/>
          <w:bCs/>
        </w:rPr>
      </w:pPr>
      <w:r>
        <w:rPr>
          <w:b/>
          <w:bCs/>
        </w:rPr>
        <w:t>5.3.6 – Enhance Future Research with Targeted Sampling</w:t>
      </w:r>
    </w:p>
    <w:p w14:paraId="7EE8906E" w14:textId="77777777" w:rsidR="007638B1" w:rsidRDefault="007638B1" w:rsidP="00EA76D1">
      <w:pPr>
        <w:rPr>
          <w:b/>
          <w:bCs/>
        </w:rPr>
      </w:pPr>
    </w:p>
    <w:p w14:paraId="1B4B4252" w14:textId="28FB59C0" w:rsidR="007638B1" w:rsidRPr="007638B1" w:rsidRDefault="007638B1" w:rsidP="00EA76D1">
      <w:pPr>
        <w:rPr>
          <w:sz w:val="22"/>
          <w:szCs w:val="18"/>
        </w:rPr>
      </w:pPr>
      <w:r w:rsidRPr="007638B1">
        <w:rPr>
          <w:sz w:val="22"/>
          <w:szCs w:val="18"/>
        </w:rPr>
        <w:t>Future studies should prioritise reaching underrepresented groups through targeted sampling and community-based methods. Improving the inclusivity and reliability of data collected, as discussed in Section 3.5.</w:t>
      </w:r>
    </w:p>
    <w:p w14:paraId="50DD0FCF" w14:textId="77777777" w:rsidR="0002317C" w:rsidRDefault="0002317C" w:rsidP="00D268A7">
      <w:pPr>
        <w:rPr>
          <w:b/>
          <w:bCs/>
        </w:rPr>
      </w:pPr>
    </w:p>
    <w:p w14:paraId="5FBC1B4E" w14:textId="536BAE43" w:rsidR="0002317C" w:rsidRDefault="0002317C" w:rsidP="00D268A7">
      <w:pPr>
        <w:rPr>
          <w:b/>
          <w:bCs/>
        </w:rPr>
      </w:pPr>
      <w:r>
        <w:rPr>
          <w:b/>
          <w:bCs/>
        </w:rPr>
        <w:t>5.4 Limitations of the study</w:t>
      </w:r>
    </w:p>
    <w:p w14:paraId="1CF216C6" w14:textId="77777777" w:rsidR="0002317C" w:rsidRDefault="0002317C" w:rsidP="00D268A7">
      <w:pPr>
        <w:rPr>
          <w:b/>
          <w:bCs/>
        </w:rPr>
      </w:pPr>
    </w:p>
    <w:p w14:paraId="7D41AAA5" w14:textId="1BFA8D59" w:rsidR="00682213" w:rsidRPr="00682213" w:rsidRDefault="00682213" w:rsidP="00D268A7">
      <w:pPr>
        <w:rPr>
          <w:sz w:val="22"/>
          <w:szCs w:val="18"/>
        </w:rPr>
      </w:pPr>
      <w:r>
        <w:rPr>
          <w:sz w:val="22"/>
          <w:szCs w:val="18"/>
        </w:rPr>
        <w:t xml:space="preserve">As highlighted in within the methodology chapter, this study was limited by numerous factors. Most notably, ethnic minority groups underrepresented due to the reliance within online survey distribution. </w:t>
      </w:r>
      <w:r w:rsidR="00322079">
        <w:rPr>
          <w:sz w:val="22"/>
          <w:szCs w:val="18"/>
        </w:rPr>
        <w:t>This led to uneven participant representation, potentially limiting the broader applicability of certain findings</w:t>
      </w:r>
      <w:r w:rsidR="00E75060">
        <w:rPr>
          <w:sz w:val="22"/>
          <w:szCs w:val="18"/>
        </w:rPr>
        <w:t xml:space="preserve"> – particularly around race and trust.</w:t>
      </w:r>
    </w:p>
    <w:p w14:paraId="22F4CEF7" w14:textId="77777777" w:rsidR="007638B1" w:rsidRPr="001A33A6" w:rsidRDefault="007638B1" w:rsidP="00D268A7">
      <w:pPr>
        <w:rPr>
          <w:sz w:val="22"/>
          <w:szCs w:val="18"/>
        </w:rPr>
      </w:pPr>
    </w:p>
    <w:p w14:paraId="40969986" w14:textId="51D16AED" w:rsidR="007638B1" w:rsidRPr="001A33A6" w:rsidRDefault="007638B1" w:rsidP="00D268A7">
      <w:pPr>
        <w:rPr>
          <w:sz w:val="22"/>
          <w:szCs w:val="18"/>
        </w:rPr>
      </w:pPr>
      <w:r w:rsidRPr="001A33A6">
        <w:rPr>
          <w:sz w:val="22"/>
          <w:szCs w:val="18"/>
        </w:rPr>
        <w:t>Additionally, while the survey was well-structured to gather demographic and opinion-based data, it lacked triangulation from police officers themselves</w:t>
      </w:r>
      <w:r w:rsidR="00126443">
        <w:rPr>
          <w:sz w:val="22"/>
          <w:szCs w:val="18"/>
        </w:rPr>
        <w:t>, i</w:t>
      </w:r>
      <w:r w:rsidRPr="001A33A6">
        <w:rPr>
          <w:sz w:val="22"/>
          <w:szCs w:val="18"/>
        </w:rPr>
        <w:t xml:space="preserve">ncluding the perspectives of frontline </w:t>
      </w:r>
      <w:r w:rsidR="00E75060">
        <w:rPr>
          <w:sz w:val="22"/>
          <w:szCs w:val="18"/>
        </w:rPr>
        <w:t>officers</w:t>
      </w:r>
      <w:r w:rsidR="001A33A6">
        <w:rPr>
          <w:sz w:val="22"/>
          <w:szCs w:val="18"/>
        </w:rPr>
        <w:t>. E</w:t>
      </w:r>
      <w:r w:rsidRPr="001A33A6">
        <w:rPr>
          <w:sz w:val="22"/>
          <w:szCs w:val="18"/>
        </w:rPr>
        <w:t xml:space="preserve">ither through interviews or a separate survey could have added valuable </w:t>
      </w:r>
      <w:r w:rsidR="001A33A6" w:rsidRPr="001A33A6">
        <w:rPr>
          <w:sz w:val="22"/>
          <w:szCs w:val="18"/>
        </w:rPr>
        <w:t>comparative</w:t>
      </w:r>
      <w:r w:rsidRPr="001A33A6">
        <w:rPr>
          <w:sz w:val="22"/>
          <w:szCs w:val="18"/>
        </w:rPr>
        <w:t xml:space="preserve"> dimension, offering insight into how the public expectations </w:t>
      </w:r>
      <w:r w:rsidR="001A33A6" w:rsidRPr="001A33A6">
        <w:rPr>
          <w:sz w:val="22"/>
          <w:szCs w:val="18"/>
        </w:rPr>
        <w:t>align or diverge from operational realities.</w:t>
      </w:r>
    </w:p>
    <w:p w14:paraId="30A5ED6D" w14:textId="77777777" w:rsidR="001A33A6" w:rsidRPr="001A33A6" w:rsidRDefault="001A33A6" w:rsidP="00D268A7">
      <w:pPr>
        <w:rPr>
          <w:sz w:val="22"/>
          <w:szCs w:val="18"/>
        </w:rPr>
      </w:pPr>
    </w:p>
    <w:p w14:paraId="05F5C7C7" w14:textId="77777777" w:rsidR="001A33A6" w:rsidRDefault="001A33A6">
      <w:pPr>
        <w:rPr>
          <w:sz w:val="22"/>
          <w:szCs w:val="18"/>
        </w:rPr>
      </w:pPr>
      <w:r w:rsidRPr="001A33A6">
        <w:rPr>
          <w:sz w:val="22"/>
          <w:szCs w:val="18"/>
        </w:rPr>
        <w:t>Finally, while this study focussed on the UK context, the issue of police pursuits is globalised. Cross-national comparative studies may further illuminate best practices and policy models, particularly when comparing countries with varying legal systems, accountability frameworks and public trust levels</w:t>
      </w:r>
      <w:r>
        <w:rPr>
          <w:sz w:val="22"/>
          <w:szCs w:val="18"/>
        </w:rPr>
        <w:t>.</w:t>
      </w:r>
    </w:p>
    <w:p w14:paraId="62C9380C" w14:textId="77777777" w:rsidR="001A33A6" w:rsidRDefault="001A33A6">
      <w:pPr>
        <w:rPr>
          <w:sz w:val="22"/>
          <w:szCs w:val="18"/>
        </w:rPr>
      </w:pPr>
    </w:p>
    <w:p w14:paraId="7C581FE1" w14:textId="40FDC707" w:rsidR="00AB5B45" w:rsidRDefault="0002317C">
      <w:pPr>
        <w:rPr>
          <w:b/>
          <w:bCs/>
        </w:rPr>
      </w:pPr>
      <w:r>
        <w:rPr>
          <w:b/>
          <w:bCs/>
        </w:rPr>
        <w:lastRenderedPageBreak/>
        <w:t xml:space="preserve">5.5 Final Reflections </w:t>
      </w:r>
    </w:p>
    <w:p w14:paraId="4D4EA1C0" w14:textId="77777777" w:rsidR="009A51CD" w:rsidRDefault="009A51CD">
      <w:pPr>
        <w:rPr>
          <w:b/>
          <w:bCs/>
        </w:rPr>
      </w:pPr>
    </w:p>
    <w:p w14:paraId="07D9E2FC" w14:textId="5CD090B2" w:rsidR="009A51CD" w:rsidRPr="005120F0" w:rsidRDefault="009A51CD">
      <w:pPr>
        <w:rPr>
          <w:sz w:val="22"/>
          <w:szCs w:val="18"/>
        </w:rPr>
      </w:pPr>
      <w:r w:rsidRPr="005120F0">
        <w:rPr>
          <w:sz w:val="22"/>
          <w:szCs w:val="18"/>
        </w:rPr>
        <w:t xml:space="preserve">This research project has provided a comprehensive exploration into how the British public views police pursuits, illuminating the factors that foster support, fuel opposition and deepen mistrust. </w:t>
      </w:r>
      <w:r w:rsidR="006F6693">
        <w:rPr>
          <w:sz w:val="22"/>
          <w:szCs w:val="18"/>
        </w:rPr>
        <w:t xml:space="preserve">While not fundamentally contentious, police pursuits attract criticism when lacking transparency, clear justification </w:t>
      </w:r>
      <w:r w:rsidR="005120F5">
        <w:rPr>
          <w:sz w:val="22"/>
          <w:szCs w:val="18"/>
        </w:rPr>
        <w:t>or</w:t>
      </w:r>
      <w:r w:rsidR="006F6693">
        <w:rPr>
          <w:sz w:val="22"/>
          <w:szCs w:val="18"/>
        </w:rPr>
        <w:t xml:space="preserve"> oversight. </w:t>
      </w:r>
    </w:p>
    <w:p w14:paraId="7059824C" w14:textId="77777777" w:rsidR="009A51CD" w:rsidRPr="005120F0" w:rsidRDefault="009A51CD">
      <w:pPr>
        <w:rPr>
          <w:sz w:val="22"/>
          <w:szCs w:val="18"/>
        </w:rPr>
      </w:pPr>
    </w:p>
    <w:p w14:paraId="58D03F58" w14:textId="6CEFAB25" w:rsidR="009A51CD" w:rsidRPr="005120F0" w:rsidRDefault="009A51CD">
      <w:pPr>
        <w:rPr>
          <w:sz w:val="22"/>
          <w:szCs w:val="18"/>
        </w:rPr>
      </w:pPr>
      <w:r w:rsidRPr="005120F0">
        <w:rPr>
          <w:sz w:val="22"/>
          <w:szCs w:val="18"/>
        </w:rPr>
        <w:t>This study reinforces the insights of previous scholars but also addresses gaps in the literature – specifically, the need for data on public opinions about when and how pursuits should be used. The methodo</w:t>
      </w:r>
      <w:r w:rsidR="005120F0" w:rsidRPr="005120F0">
        <w:rPr>
          <w:sz w:val="22"/>
          <w:szCs w:val="18"/>
        </w:rPr>
        <w:t xml:space="preserve">logical choices allowed for a meaningful exploration of these perspectives, and the findings present actionable insights for both policy and practice. </w:t>
      </w:r>
    </w:p>
    <w:p w14:paraId="4052094B" w14:textId="77777777" w:rsidR="005120F0" w:rsidRPr="005120F0" w:rsidRDefault="005120F0">
      <w:pPr>
        <w:rPr>
          <w:sz w:val="22"/>
          <w:szCs w:val="18"/>
        </w:rPr>
      </w:pPr>
    </w:p>
    <w:p w14:paraId="4B82899B" w14:textId="3D06CE2C" w:rsidR="005120F0" w:rsidRPr="005120F0" w:rsidRDefault="005120F0">
      <w:pPr>
        <w:rPr>
          <w:sz w:val="22"/>
          <w:szCs w:val="18"/>
        </w:rPr>
      </w:pPr>
      <w:r w:rsidRPr="005120F0">
        <w:rPr>
          <w:sz w:val="22"/>
          <w:szCs w:val="18"/>
        </w:rPr>
        <w:t xml:space="preserve">As both police officer and researcher, this study has highlighted the value for public engagement, not only for effective policing but for the preservation of ‘policing by consent’. In an era where institutional trust is fragile, particularly considering recent misconduct scandals and tragic pursuit-related incidents, police forces must continually reflect on their use of force, communication, and public accountability. </w:t>
      </w:r>
    </w:p>
    <w:p w14:paraId="6CAB8369" w14:textId="77777777" w:rsidR="005120F0" w:rsidRPr="005120F0" w:rsidRDefault="005120F0">
      <w:pPr>
        <w:rPr>
          <w:sz w:val="22"/>
          <w:szCs w:val="18"/>
        </w:rPr>
      </w:pPr>
    </w:p>
    <w:p w14:paraId="63A5FF30" w14:textId="2A7808A2" w:rsidR="005120F0" w:rsidRPr="005120F0" w:rsidRDefault="00C02E42">
      <w:pPr>
        <w:rPr>
          <w:sz w:val="22"/>
          <w:szCs w:val="18"/>
        </w:rPr>
      </w:pPr>
      <w:r>
        <w:rPr>
          <w:sz w:val="22"/>
          <w:szCs w:val="18"/>
        </w:rPr>
        <w:t>Looking ahead, policing must be rooted in community values and guided by responsiveness and proportionality</w:t>
      </w:r>
      <w:r w:rsidR="005120F0" w:rsidRPr="005120F0">
        <w:rPr>
          <w:sz w:val="22"/>
          <w:szCs w:val="18"/>
        </w:rPr>
        <w:t>. Pursuits should remain a viable option</w:t>
      </w:r>
      <w:r w:rsidR="00E06DCC">
        <w:rPr>
          <w:sz w:val="22"/>
          <w:szCs w:val="18"/>
        </w:rPr>
        <w:t xml:space="preserve">, </w:t>
      </w:r>
      <w:r w:rsidR="005120F0" w:rsidRPr="005120F0">
        <w:rPr>
          <w:sz w:val="22"/>
          <w:szCs w:val="18"/>
        </w:rPr>
        <w:t>but</w:t>
      </w:r>
      <w:r w:rsidR="00E06DCC">
        <w:rPr>
          <w:sz w:val="22"/>
          <w:szCs w:val="18"/>
        </w:rPr>
        <w:t>,</w:t>
      </w:r>
      <w:r w:rsidR="005120F0" w:rsidRPr="005120F0">
        <w:rPr>
          <w:sz w:val="22"/>
          <w:szCs w:val="18"/>
        </w:rPr>
        <w:t xml:space="preserve"> only when weighed against the greater good, supported by training, oversight, and above all, the trust of the communities being served. </w:t>
      </w:r>
    </w:p>
    <w:p w14:paraId="458BDDE7" w14:textId="77777777" w:rsidR="0002317C" w:rsidRDefault="0002317C">
      <w:pPr>
        <w:rPr>
          <w:b/>
          <w:bCs/>
        </w:rPr>
      </w:pPr>
    </w:p>
    <w:p w14:paraId="2056A123" w14:textId="01325299" w:rsidR="00085566" w:rsidRPr="001D4F63" w:rsidRDefault="001D4F63" w:rsidP="001D4F63">
      <w:pPr>
        <w:jc w:val="right"/>
        <w:rPr>
          <w:b/>
          <w:bCs/>
        </w:rPr>
      </w:pPr>
      <w:r w:rsidRPr="001D4F63">
        <w:rPr>
          <w:b/>
          <w:bCs/>
        </w:rPr>
        <w:t>1</w:t>
      </w:r>
      <w:r w:rsidR="001F2AB6">
        <w:rPr>
          <w:b/>
          <w:bCs/>
        </w:rPr>
        <w:t>4</w:t>
      </w:r>
      <w:r w:rsidR="001B174F">
        <w:rPr>
          <w:b/>
          <w:bCs/>
        </w:rPr>
        <w:t>4</w:t>
      </w:r>
      <w:r w:rsidR="00FB1400">
        <w:rPr>
          <w:b/>
          <w:bCs/>
        </w:rPr>
        <w:t>2</w:t>
      </w:r>
      <w:r w:rsidRPr="001D4F63">
        <w:rPr>
          <w:b/>
          <w:bCs/>
        </w:rPr>
        <w:t xml:space="preserve"> words</w:t>
      </w:r>
    </w:p>
    <w:p w14:paraId="0FA645AD" w14:textId="77777777" w:rsidR="00B37839" w:rsidRDefault="00B37839">
      <w:pPr>
        <w:rPr>
          <w:b/>
          <w:bCs/>
        </w:rPr>
      </w:pPr>
    </w:p>
    <w:p w14:paraId="39758DCA" w14:textId="77777777" w:rsidR="00B37839" w:rsidRDefault="00B37839">
      <w:pPr>
        <w:rPr>
          <w:b/>
          <w:bCs/>
        </w:rPr>
      </w:pPr>
    </w:p>
    <w:p w14:paraId="7A81CB95" w14:textId="77777777" w:rsidR="00B37839" w:rsidRDefault="00B37839">
      <w:pPr>
        <w:rPr>
          <w:b/>
          <w:bCs/>
        </w:rPr>
      </w:pPr>
    </w:p>
    <w:p w14:paraId="2B628A52" w14:textId="77777777" w:rsidR="00B37839" w:rsidRDefault="00B37839">
      <w:pPr>
        <w:rPr>
          <w:b/>
          <w:bCs/>
        </w:rPr>
      </w:pPr>
    </w:p>
    <w:p w14:paraId="71074DB5" w14:textId="77777777" w:rsidR="00B37839" w:rsidRDefault="00B37839">
      <w:pPr>
        <w:rPr>
          <w:b/>
          <w:bCs/>
        </w:rPr>
      </w:pPr>
    </w:p>
    <w:p w14:paraId="7F1C2CFA" w14:textId="77777777" w:rsidR="00B37839" w:rsidRDefault="00B37839">
      <w:pPr>
        <w:rPr>
          <w:b/>
          <w:bCs/>
        </w:rPr>
      </w:pPr>
    </w:p>
    <w:p w14:paraId="672064EE" w14:textId="77777777" w:rsidR="00B37839" w:rsidRDefault="00B37839">
      <w:pPr>
        <w:rPr>
          <w:b/>
          <w:bCs/>
        </w:rPr>
      </w:pPr>
    </w:p>
    <w:p w14:paraId="2DCC510F" w14:textId="77777777" w:rsidR="00B37839" w:rsidRDefault="00B37839">
      <w:pPr>
        <w:rPr>
          <w:b/>
          <w:bCs/>
        </w:rPr>
      </w:pPr>
    </w:p>
    <w:p w14:paraId="6896E128" w14:textId="77777777" w:rsidR="00B37839" w:rsidRDefault="00B37839">
      <w:pPr>
        <w:rPr>
          <w:b/>
          <w:bCs/>
        </w:rPr>
      </w:pPr>
    </w:p>
    <w:p w14:paraId="232BFA6C" w14:textId="77777777" w:rsidR="00B37839" w:rsidRDefault="00B37839">
      <w:pPr>
        <w:rPr>
          <w:b/>
          <w:bCs/>
        </w:rPr>
      </w:pPr>
    </w:p>
    <w:p w14:paraId="5A3CF0ED" w14:textId="77777777" w:rsidR="00B37839" w:rsidRDefault="00B37839">
      <w:pPr>
        <w:rPr>
          <w:b/>
          <w:bCs/>
        </w:rPr>
      </w:pPr>
    </w:p>
    <w:p w14:paraId="10654431" w14:textId="77777777" w:rsidR="00B37839" w:rsidRDefault="00B37839">
      <w:pPr>
        <w:rPr>
          <w:b/>
          <w:bCs/>
        </w:rPr>
      </w:pPr>
    </w:p>
    <w:p w14:paraId="4944DDA3" w14:textId="77777777" w:rsidR="00B37839" w:rsidRDefault="00B37839">
      <w:pPr>
        <w:rPr>
          <w:b/>
          <w:bCs/>
        </w:rPr>
      </w:pPr>
    </w:p>
    <w:p w14:paraId="4301E7E0" w14:textId="77777777" w:rsidR="00B37839" w:rsidRDefault="00B37839">
      <w:pPr>
        <w:rPr>
          <w:b/>
          <w:bCs/>
        </w:rPr>
      </w:pPr>
    </w:p>
    <w:p w14:paraId="3D9DB97A" w14:textId="77777777" w:rsidR="00B37839" w:rsidRDefault="00B37839">
      <w:pPr>
        <w:rPr>
          <w:b/>
          <w:bCs/>
        </w:rPr>
      </w:pPr>
    </w:p>
    <w:p w14:paraId="6F2CC24E" w14:textId="77777777" w:rsidR="00B37839" w:rsidRDefault="00B37839">
      <w:pPr>
        <w:rPr>
          <w:b/>
          <w:bCs/>
        </w:rPr>
      </w:pPr>
    </w:p>
    <w:p w14:paraId="2CA3EF67" w14:textId="77777777" w:rsidR="00B37839" w:rsidRDefault="00B37839">
      <w:pPr>
        <w:rPr>
          <w:b/>
          <w:bCs/>
        </w:rPr>
      </w:pPr>
    </w:p>
    <w:p w14:paraId="0C4302D1" w14:textId="77777777" w:rsidR="00B37839" w:rsidRDefault="00B37839">
      <w:pPr>
        <w:rPr>
          <w:b/>
          <w:bCs/>
        </w:rPr>
      </w:pPr>
    </w:p>
    <w:p w14:paraId="19AC8711" w14:textId="77777777" w:rsidR="00B37839" w:rsidRDefault="00B37839">
      <w:pPr>
        <w:rPr>
          <w:b/>
          <w:bCs/>
        </w:rPr>
      </w:pPr>
    </w:p>
    <w:p w14:paraId="76CE52F3" w14:textId="77777777" w:rsidR="00B37839" w:rsidRDefault="00B37839">
      <w:pPr>
        <w:rPr>
          <w:b/>
          <w:bCs/>
        </w:rPr>
      </w:pPr>
    </w:p>
    <w:p w14:paraId="1782C506" w14:textId="77777777" w:rsidR="00B37839" w:rsidRDefault="00B37839">
      <w:pPr>
        <w:rPr>
          <w:b/>
          <w:bCs/>
        </w:rPr>
      </w:pPr>
    </w:p>
    <w:p w14:paraId="714BD0CB" w14:textId="77777777" w:rsidR="00B37839" w:rsidRDefault="00B37839">
      <w:pPr>
        <w:rPr>
          <w:b/>
          <w:bCs/>
        </w:rPr>
      </w:pPr>
    </w:p>
    <w:p w14:paraId="07A4D9D3" w14:textId="77777777" w:rsidR="00B37839" w:rsidRDefault="00B37839">
      <w:pPr>
        <w:rPr>
          <w:b/>
          <w:bCs/>
        </w:rPr>
      </w:pPr>
    </w:p>
    <w:p w14:paraId="2BF1F808" w14:textId="77777777" w:rsidR="00B37839" w:rsidRDefault="00B37839">
      <w:pPr>
        <w:rPr>
          <w:b/>
          <w:bCs/>
        </w:rPr>
      </w:pPr>
    </w:p>
    <w:p w14:paraId="2D769ABB" w14:textId="77777777" w:rsidR="00B37839" w:rsidRDefault="00B37839">
      <w:pPr>
        <w:rPr>
          <w:b/>
          <w:bCs/>
        </w:rPr>
      </w:pPr>
    </w:p>
    <w:p w14:paraId="2F76070E" w14:textId="77777777" w:rsidR="00B37839" w:rsidRDefault="00B37839">
      <w:pPr>
        <w:rPr>
          <w:b/>
          <w:bCs/>
        </w:rPr>
      </w:pPr>
    </w:p>
    <w:p w14:paraId="453317DC" w14:textId="77777777" w:rsidR="00B37839" w:rsidRDefault="00B37839">
      <w:pPr>
        <w:rPr>
          <w:b/>
          <w:bCs/>
        </w:rPr>
      </w:pPr>
    </w:p>
    <w:p w14:paraId="7CF011E4" w14:textId="77777777" w:rsidR="00B37839" w:rsidRDefault="00B37839">
      <w:pPr>
        <w:rPr>
          <w:b/>
          <w:bCs/>
        </w:rPr>
      </w:pPr>
    </w:p>
    <w:p w14:paraId="13DC2BAA" w14:textId="5427262B" w:rsidR="00085566" w:rsidRDefault="00085566">
      <w:pPr>
        <w:rPr>
          <w:b/>
          <w:bCs/>
        </w:rPr>
      </w:pPr>
      <w:r w:rsidRPr="00085566">
        <w:rPr>
          <w:b/>
          <w:bCs/>
        </w:rPr>
        <w:lastRenderedPageBreak/>
        <w:t xml:space="preserve">Bibliography </w:t>
      </w:r>
    </w:p>
    <w:p w14:paraId="53D0D23B" w14:textId="77777777" w:rsidR="00B37839" w:rsidRPr="00085566" w:rsidRDefault="00B37839">
      <w:pPr>
        <w:rPr>
          <w:b/>
          <w:bCs/>
        </w:rPr>
      </w:pPr>
    </w:p>
    <w:p w14:paraId="4870CDA3" w14:textId="04530B4A" w:rsidR="00B37839" w:rsidRDefault="00B37839" w:rsidP="00B37839">
      <w:pPr>
        <w:rPr>
          <w:sz w:val="22"/>
          <w:szCs w:val="22"/>
        </w:rPr>
      </w:pPr>
      <w:r w:rsidRPr="00B37839">
        <w:rPr>
          <w:sz w:val="22"/>
          <w:szCs w:val="22"/>
        </w:rPr>
        <w:t xml:space="preserve">Briggs, S.J. (2018) ‘The selection of police pursuits of fleeing motorists for coverage in newspapers’, </w:t>
      </w:r>
      <w:r w:rsidRPr="00B37839">
        <w:rPr>
          <w:i/>
          <w:iCs/>
          <w:sz w:val="22"/>
          <w:szCs w:val="22"/>
        </w:rPr>
        <w:t>Journal of crime &amp; justice</w:t>
      </w:r>
      <w:r w:rsidRPr="00B37839">
        <w:rPr>
          <w:sz w:val="22"/>
          <w:szCs w:val="22"/>
        </w:rPr>
        <w:t xml:space="preserve">, 41(3), pp. 310–321. Available at: </w:t>
      </w:r>
      <w:hyperlink r:id="rId8" w:history="1">
        <w:r w:rsidRPr="00B37839">
          <w:rPr>
            <w:rStyle w:val="Hyperlink"/>
            <w:sz w:val="22"/>
            <w:szCs w:val="22"/>
          </w:rPr>
          <w:t>https://doi.org/10.1080/0735648X.2017.1373691</w:t>
        </w:r>
      </w:hyperlink>
      <w:r w:rsidRPr="00B37839">
        <w:rPr>
          <w:sz w:val="22"/>
          <w:szCs w:val="22"/>
        </w:rPr>
        <w:t>. (Accessed: 20</w:t>
      </w:r>
      <w:r w:rsidR="00E06DCC">
        <w:rPr>
          <w:sz w:val="22"/>
          <w:szCs w:val="22"/>
        </w:rPr>
        <w:t xml:space="preserve"> January 2025</w:t>
      </w:r>
      <w:r w:rsidRPr="00B37839">
        <w:rPr>
          <w:sz w:val="22"/>
          <w:szCs w:val="22"/>
        </w:rPr>
        <w:t>)</w:t>
      </w:r>
      <w:r w:rsidR="00F95990">
        <w:rPr>
          <w:sz w:val="22"/>
          <w:szCs w:val="22"/>
        </w:rPr>
        <w:t>.</w:t>
      </w:r>
    </w:p>
    <w:p w14:paraId="6C7CE239" w14:textId="77777777" w:rsidR="00B37839" w:rsidRDefault="00B37839" w:rsidP="00B37839">
      <w:pPr>
        <w:rPr>
          <w:sz w:val="22"/>
          <w:szCs w:val="22"/>
        </w:rPr>
      </w:pPr>
    </w:p>
    <w:p w14:paraId="3125D56F" w14:textId="4E00809E" w:rsidR="00B37839" w:rsidRDefault="00B37839" w:rsidP="00B37839">
      <w:pPr>
        <w:rPr>
          <w:sz w:val="22"/>
          <w:szCs w:val="22"/>
        </w:rPr>
      </w:pPr>
      <w:r w:rsidRPr="00B37839">
        <w:rPr>
          <w:sz w:val="22"/>
          <w:szCs w:val="22"/>
        </w:rPr>
        <w:t xml:space="preserve">Bergstrom, A. (2020) ‘Exploring digital divides in older adults’ news consumption’, </w:t>
      </w:r>
      <w:r w:rsidRPr="00B37839">
        <w:rPr>
          <w:i/>
          <w:iCs/>
          <w:sz w:val="22"/>
          <w:szCs w:val="22"/>
        </w:rPr>
        <w:t>Nordicom review</w:t>
      </w:r>
      <w:r w:rsidRPr="00B37839">
        <w:rPr>
          <w:sz w:val="22"/>
          <w:szCs w:val="22"/>
        </w:rPr>
        <w:t xml:space="preserve">, 41(2), pp. 163–177. Available at: </w:t>
      </w:r>
      <w:hyperlink r:id="rId9" w:history="1">
        <w:r w:rsidRPr="00B37839">
          <w:rPr>
            <w:rStyle w:val="Hyperlink"/>
            <w:sz w:val="22"/>
            <w:szCs w:val="22"/>
          </w:rPr>
          <w:t>https://doi.org/10.2478/nor-2020-0021</w:t>
        </w:r>
      </w:hyperlink>
      <w:r w:rsidRPr="00B37839">
        <w:rPr>
          <w:sz w:val="22"/>
          <w:szCs w:val="22"/>
        </w:rPr>
        <w:t>. (Accessed: 20</w:t>
      </w:r>
      <w:r w:rsidR="00D76F86">
        <w:rPr>
          <w:sz w:val="22"/>
          <w:szCs w:val="22"/>
        </w:rPr>
        <w:t xml:space="preserve"> April 20</w:t>
      </w:r>
      <w:r w:rsidRPr="00B37839">
        <w:rPr>
          <w:sz w:val="22"/>
          <w:szCs w:val="22"/>
        </w:rPr>
        <w:t>25)</w:t>
      </w:r>
      <w:r w:rsidR="00F95990">
        <w:rPr>
          <w:sz w:val="22"/>
          <w:szCs w:val="22"/>
        </w:rPr>
        <w:t>.</w:t>
      </w:r>
    </w:p>
    <w:p w14:paraId="2F7B51D4" w14:textId="77777777" w:rsidR="00B37839" w:rsidRDefault="00B37839" w:rsidP="00B37839">
      <w:pPr>
        <w:rPr>
          <w:sz w:val="22"/>
          <w:szCs w:val="22"/>
        </w:rPr>
      </w:pPr>
    </w:p>
    <w:p w14:paraId="212F1564" w14:textId="17C3CF9D" w:rsidR="00B37839" w:rsidRDefault="00B37839" w:rsidP="00B37839">
      <w:pPr>
        <w:rPr>
          <w:sz w:val="22"/>
          <w:szCs w:val="22"/>
        </w:rPr>
      </w:pPr>
      <w:r w:rsidRPr="00B37839">
        <w:rPr>
          <w:sz w:val="22"/>
          <w:szCs w:val="22"/>
        </w:rPr>
        <w:t xml:space="preserve">College of Policing (2024) </w:t>
      </w:r>
      <w:r w:rsidRPr="00D76F86">
        <w:rPr>
          <w:i/>
          <w:iCs/>
          <w:sz w:val="22"/>
          <w:szCs w:val="22"/>
        </w:rPr>
        <w:t>Police Pursuits</w:t>
      </w:r>
      <w:r w:rsidRPr="00B37839">
        <w:rPr>
          <w:sz w:val="22"/>
          <w:szCs w:val="22"/>
        </w:rPr>
        <w:t xml:space="preserve">. Available at: </w:t>
      </w:r>
      <w:hyperlink r:id="rId10" w:history="1">
        <w:r w:rsidRPr="00B37839">
          <w:rPr>
            <w:rStyle w:val="Hyperlink"/>
            <w:sz w:val="22"/>
            <w:szCs w:val="22"/>
          </w:rPr>
          <w:t>Police pursuits | College of Policing</w:t>
        </w:r>
      </w:hyperlink>
      <w:r w:rsidRPr="00B37839">
        <w:rPr>
          <w:sz w:val="22"/>
          <w:szCs w:val="22"/>
        </w:rPr>
        <w:t xml:space="preserve">. (Accessed: </w:t>
      </w:r>
      <w:r w:rsidR="00D76F86">
        <w:rPr>
          <w:sz w:val="22"/>
          <w:szCs w:val="22"/>
        </w:rPr>
        <w:t>08</w:t>
      </w:r>
      <w:r w:rsidRPr="00B37839">
        <w:rPr>
          <w:sz w:val="22"/>
          <w:szCs w:val="22"/>
        </w:rPr>
        <w:t xml:space="preserve"> January</w:t>
      </w:r>
      <w:r w:rsidR="00D76F86">
        <w:rPr>
          <w:sz w:val="22"/>
          <w:szCs w:val="22"/>
        </w:rPr>
        <w:t xml:space="preserve"> </w:t>
      </w:r>
      <w:r w:rsidRPr="00B37839">
        <w:rPr>
          <w:sz w:val="22"/>
          <w:szCs w:val="22"/>
        </w:rPr>
        <w:t>2025)</w:t>
      </w:r>
      <w:r w:rsidR="00F95990">
        <w:rPr>
          <w:sz w:val="22"/>
          <w:szCs w:val="22"/>
        </w:rPr>
        <w:t>.</w:t>
      </w:r>
    </w:p>
    <w:p w14:paraId="22805ABD" w14:textId="77777777" w:rsidR="00B37839" w:rsidRDefault="00B37839" w:rsidP="00B37839">
      <w:pPr>
        <w:rPr>
          <w:sz w:val="22"/>
          <w:szCs w:val="22"/>
        </w:rPr>
      </w:pPr>
    </w:p>
    <w:p w14:paraId="2BDB2F90" w14:textId="4804EF75" w:rsidR="00B37839" w:rsidRDefault="00B37839" w:rsidP="00B37839">
      <w:pPr>
        <w:jc w:val="both"/>
        <w:rPr>
          <w:rFonts w:cs="Arial"/>
          <w:sz w:val="22"/>
          <w:szCs w:val="22"/>
        </w:rPr>
      </w:pPr>
      <w:r w:rsidRPr="00B37839">
        <w:rPr>
          <w:rFonts w:cs="Arial"/>
          <w:sz w:val="22"/>
          <w:szCs w:val="22"/>
        </w:rPr>
        <w:t xml:space="preserve">IOPC (2023) </w:t>
      </w:r>
      <w:r w:rsidRPr="00D76F86">
        <w:rPr>
          <w:rFonts w:cs="Arial"/>
          <w:i/>
          <w:iCs/>
          <w:sz w:val="22"/>
          <w:szCs w:val="22"/>
        </w:rPr>
        <w:t>Investigation into police pursuit and subsequent road traffic incident – Metr</w:t>
      </w:r>
      <w:r w:rsidR="00194911">
        <w:rPr>
          <w:rFonts w:cs="Arial"/>
          <w:i/>
          <w:iCs/>
          <w:sz w:val="22"/>
          <w:szCs w:val="22"/>
        </w:rPr>
        <w:t>o</w:t>
      </w:r>
      <w:r w:rsidRPr="00D76F86">
        <w:rPr>
          <w:rFonts w:cs="Arial"/>
          <w:i/>
          <w:iCs/>
          <w:sz w:val="22"/>
          <w:szCs w:val="22"/>
        </w:rPr>
        <w:t>politan Police Service, March 2021</w:t>
      </w:r>
      <w:r w:rsidRPr="00B37839">
        <w:rPr>
          <w:rFonts w:cs="Arial"/>
          <w:sz w:val="22"/>
          <w:szCs w:val="22"/>
        </w:rPr>
        <w:t xml:space="preserve">. Available at: </w:t>
      </w:r>
      <w:hyperlink r:id="rId11" w:history="1">
        <w:r w:rsidRPr="00B37839">
          <w:rPr>
            <w:rStyle w:val="Hyperlink"/>
            <w:rFonts w:cs="Arial"/>
            <w:sz w:val="22"/>
            <w:szCs w:val="22"/>
          </w:rPr>
          <w:t>Investigation into police pursuit and subsequent road traffic incident - Metropolitan Police Service, March 2021 | Indepen</w:t>
        </w:r>
        <w:r w:rsidRPr="00B37839">
          <w:rPr>
            <w:rStyle w:val="Hyperlink"/>
            <w:rFonts w:cs="Arial"/>
            <w:sz w:val="22"/>
            <w:szCs w:val="22"/>
          </w:rPr>
          <w:t>d</w:t>
        </w:r>
        <w:r w:rsidRPr="00B37839">
          <w:rPr>
            <w:rStyle w:val="Hyperlink"/>
            <w:rFonts w:cs="Arial"/>
            <w:sz w:val="22"/>
            <w:szCs w:val="22"/>
          </w:rPr>
          <w:t>ent Office for Police Conduct (IOPC)</w:t>
        </w:r>
      </w:hyperlink>
      <w:r w:rsidRPr="00B37839">
        <w:rPr>
          <w:rFonts w:cs="Arial"/>
          <w:sz w:val="22"/>
          <w:szCs w:val="22"/>
        </w:rPr>
        <w:t xml:space="preserve"> (Accessed: 09 January 2025).</w:t>
      </w:r>
    </w:p>
    <w:p w14:paraId="12BC7D2F" w14:textId="77777777" w:rsidR="00B37839" w:rsidRPr="00B37839" w:rsidRDefault="00B37839" w:rsidP="00B37839">
      <w:pPr>
        <w:jc w:val="both"/>
        <w:rPr>
          <w:rFonts w:cs="Arial"/>
          <w:sz w:val="22"/>
          <w:szCs w:val="22"/>
        </w:rPr>
      </w:pPr>
    </w:p>
    <w:p w14:paraId="4CCD9FC0" w14:textId="32D5CFE8" w:rsidR="00085566" w:rsidRPr="00A15EDC" w:rsidRDefault="00B37839">
      <w:pPr>
        <w:rPr>
          <w:sz w:val="22"/>
          <w:szCs w:val="22"/>
        </w:rPr>
      </w:pPr>
      <w:r w:rsidRPr="00B37839">
        <w:rPr>
          <w:sz w:val="22"/>
          <w:szCs w:val="22"/>
        </w:rPr>
        <w:t xml:space="preserve">IOPC (2019) </w:t>
      </w:r>
      <w:r w:rsidRPr="00A15EDC">
        <w:rPr>
          <w:i/>
          <w:iCs/>
          <w:sz w:val="22"/>
          <w:szCs w:val="22"/>
        </w:rPr>
        <w:t>RISK INSIGHT – POLICE PURSUITS</w:t>
      </w:r>
      <w:r w:rsidRPr="00B37839">
        <w:rPr>
          <w:sz w:val="22"/>
          <w:szCs w:val="22"/>
        </w:rPr>
        <w:t xml:space="preserve">. Available at: </w:t>
      </w:r>
      <w:hyperlink r:id="rId12" w:history="1">
        <w:r w:rsidRPr="00B37839">
          <w:rPr>
            <w:rStyle w:val="Hyperlink"/>
            <w:sz w:val="22"/>
            <w:szCs w:val="22"/>
          </w:rPr>
          <w:t>Edison-Motor-Police-Pursuits-July-2019-Final.pdf</w:t>
        </w:r>
      </w:hyperlink>
      <w:r w:rsidRPr="00B37839">
        <w:rPr>
          <w:sz w:val="22"/>
          <w:szCs w:val="22"/>
        </w:rPr>
        <w:t>. (Accessed: 09</w:t>
      </w:r>
      <w:r w:rsidR="00A15EDC">
        <w:rPr>
          <w:sz w:val="22"/>
          <w:szCs w:val="22"/>
          <w:vertAlign w:val="superscript"/>
        </w:rPr>
        <w:t xml:space="preserve"> </w:t>
      </w:r>
      <w:r w:rsidRPr="00B37839">
        <w:rPr>
          <w:sz w:val="22"/>
          <w:szCs w:val="22"/>
        </w:rPr>
        <w:t>January 2025</w:t>
      </w:r>
      <w:r w:rsidR="00A15EDC">
        <w:rPr>
          <w:sz w:val="22"/>
          <w:szCs w:val="22"/>
        </w:rPr>
        <w:t>)</w:t>
      </w:r>
      <w:r w:rsidR="006C04FB">
        <w:rPr>
          <w:sz w:val="22"/>
          <w:szCs w:val="22"/>
        </w:rPr>
        <w:t>.</w:t>
      </w:r>
    </w:p>
    <w:p w14:paraId="5E95052A" w14:textId="77777777" w:rsidR="00B37839" w:rsidRPr="00B37839" w:rsidRDefault="00B37839" w:rsidP="00B37839">
      <w:pPr>
        <w:rPr>
          <w:rFonts w:cs="Arial"/>
          <w:sz w:val="22"/>
          <w:szCs w:val="22"/>
        </w:rPr>
      </w:pPr>
    </w:p>
    <w:p w14:paraId="15F3FE1E" w14:textId="7DD27B3B" w:rsidR="00B37839" w:rsidRDefault="00B37839" w:rsidP="00B37839">
      <w:pPr>
        <w:rPr>
          <w:sz w:val="22"/>
          <w:szCs w:val="22"/>
        </w:rPr>
      </w:pPr>
      <w:r w:rsidRPr="00B37839">
        <w:rPr>
          <w:sz w:val="22"/>
          <w:szCs w:val="22"/>
        </w:rPr>
        <w:t xml:space="preserve">Loh, C.E., Sun, B. and Weninger, C. (2023) ‘“Because I have my phone with me all the time”: The role of device access in developing Singapore adolescents’ critical news literacy’, </w:t>
      </w:r>
      <w:r w:rsidRPr="00B37839">
        <w:rPr>
          <w:i/>
          <w:iCs/>
          <w:sz w:val="22"/>
          <w:szCs w:val="22"/>
        </w:rPr>
        <w:t>Journal of adolescent &amp; adult literacy</w:t>
      </w:r>
      <w:r w:rsidRPr="00B37839">
        <w:rPr>
          <w:sz w:val="22"/>
          <w:szCs w:val="22"/>
        </w:rPr>
        <w:t xml:space="preserve">, 66(5), pp. 319–329. Available at: </w:t>
      </w:r>
      <w:hyperlink r:id="rId13" w:history="1">
        <w:r w:rsidRPr="00B37839">
          <w:rPr>
            <w:rStyle w:val="Hyperlink"/>
            <w:sz w:val="22"/>
            <w:szCs w:val="22"/>
          </w:rPr>
          <w:t>https://doi.org/10.1002/jaal.1281</w:t>
        </w:r>
      </w:hyperlink>
      <w:r w:rsidR="00F95990">
        <w:t xml:space="preserve"> (Accessed: 20 May 2025).</w:t>
      </w:r>
    </w:p>
    <w:p w14:paraId="111A9E9E" w14:textId="77777777" w:rsidR="00B37839" w:rsidRDefault="00B37839"/>
    <w:p w14:paraId="4143B137" w14:textId="36246A39" w:rsidR="00B37839" w:rsidRPr="001D10A9" w:rsidRDefault="00B37839">
      <w:pPr>
        <w:rPr>
          <w:sz w:val="22"/>
          <w:szCs w:val="22"/>
        </w:rPr>
      </w:pPr>
      <w:r w:rsidRPr="00887ABC">
        <w:rPr>
          <w:sz w:val="22"/>
          <w:szCs w:val="22"/>
        </w:rPr>
        <w:t xml:space="preserve">Lingle, N., Calaway, T. and Mathis, M. (2024) </w:t>
      </w:r>
      <w:r w:rsidRPr="00887ABC">
        <w:rPr>
          <w:i/>
          <w:iCs/>
          <w:sz w:val="22"/>
          <w:szCs w:val="22"/>
        </w:rPr>
        <w:t>CULTURAL COMPETENCE: A CRITICAL SKILL FOR TODAY’S POLICE OFFICERS</w:t>
      </w:r>
      <w:r w:rsidRPr="00887ABC">
        <w:rPr>
          <w:sz w:val="22"/>
          <w:szCs w:val="22"/>
        </w:rPr>
        <w:t xml:space="preserve">, </w:t>
      </w:r>
      <w:r w:rsidRPr="00887ABC">
        <w:rPr>
          <w:i/>
          <w:iCs/>
          <w:sz w:val="22"/>
          <w:szCs w:val="22"/>
        </w:rPr>
        <w:t>Diverse issues in higher education</w:t>
      </w:r>
      <w:r w:rsidRPr="00887ABC">
        <w:rPr>
          <w:sz w:val="22"/>
          <w:szCs w:val="22"/>
        </w:rPr>
        <w:t>. Fairfax: Cox, Matthews &amp; Associates, pp. 38–39.</w:t>
      </w:r>
      <w:r w:rsidRPr="00B37839">
        <w:rPr>
          <w:sz w:val="22"/>
          <w:szCs w:val="22"/>
        </w:rPr>
        <w:t xml:space="preserve"> (Accessed: 20</w:t>
      </w:r>
      <w:r w:rsidR="00F95990">
        <w:rPr>
          <w:sz w:val="22"/>
          <w:szCs w:val="22"/>
        </w:rPr>
        <w:t xml:space="preserve"> May 20</w:t>
      </w:r>
      <w:r w:rsidRPr="00B37839">
        <w:rPr>
          <w:sz w:val="22"/>
          <w:szCs w:val="22"/>
        </w:rPr>
        <w:t>25)</w:t>
      </w:r>
      <w:r w:rsidR="00F95990">
        <w:rPr>
          <w:sz w:val="22"/>
          <w:szCs w:val="22"/>
        </w:rPr>
        <w:t>.</w:t>
      </w:r>
    </w:p>
    <w:p w14:paraId="3411A754" w14:textId="77777777" w:rsidR="00B37839" w:rsidRDefault="00B37839"/>
    <w:p w14:paraId="0C82ED59" w14:textId="2E0BDA56" w:rsidR="00B37839" w:rsidRDefault="00B37839" w:rsidP="00B37839">
      <w:pPr>
        <w:rPr>
          <w:sz w:val="22"/>
          <w:szCs w:val="22"/>
        </w:rPr>
      </w:pPr>
      <w:r w:rsidRPr="00B37839">
        <w:rPr>
          <w:sz w:val="22"/>
          <w:szCs w:val="22"/>
        </w:rPr>
        <w:t xml:space="preserve">MacDonald, J.M. and Alpert, G.P. (1998) ‘Public attitudes toward police pursuit driving’, </w:t>
      </w:r>
      <w:r w:rsidRPr="00B37839">
        <w:rPr>
          <w:i/>
          <w:iCs/>
          <w:sz w:val="22"/>
          <w:szCs w:val="22"/>
        </w:rPr>
        <w:t>Journal of criminal justice</w:t>
      </w:r>
      <w:r w:rsidRPr="00B37839">
        <w:rPr>
          <w:sz w:val="22"/>
          <w:szCs w:val="22"/>
        </w:rPr>
        <w:t xml:space="preserve">, 26(3), pp. 185–194. Available at: </w:t>
      </w:r>
      <w:hyperlink r:id="rId14" w:history="1">
        <w:r w:rsidRPr="00B37839">
          <w:rPr>
            <w:rStyle w:val="Hyperlink"/>
            <w:sz w:val="22"/>
            <w:szCs w:val="22"/>
          </w:rPr>
          <w:t>https://doi.org/10.1016/S0047-2352(97)00080-9</w:t>
        </w:r>
      </w:hyperlink>
      <w:r w:rsidRPr="00B37839">
        <w:rPr>
          <w:sz w:val="22"/>
          <w:szCs w:val="22"/>
        </w:rPr>
        <w:t>. (Accessed: 08</w:t>
      </w:r>
      <w:r w:rsidR="00F95990">
        <w:rPr>
          <w:sz w:val="22"/>
          <w:szCs w:val="22"/>
        </w:rPr>
        <w:t xml:space="preserve"> January 20</w:t>
      </w:r>
      <w:r w:rsidRPr="00B37839">
        <w:rPr>
          <w:sz w:val="22"/>
          <w:szCs w:val="22"/>
        </w:rPr>
        <w:t>25)</w:t>
      </w:r>
      <w:r w:rsidR="00F95990">
        <w:rPr>
          <w:sz w:val="22"/>
          <w:szCs w:val="22"/>
        </w:rPr>
        <w:t>.</w:t>
      </w:r>
    </w:p>
    <w:p w14:paraId="18FA6E36" w14:textId="77777777" w:rsidR="00B37839" w:rsidRPr="00B37839" w:rsidRDefault="00B37839" w:rsidP="00B37839">
      <w:pPr>
        <w:rPr>
          <w:sz w:val="22"/>
          <w:szCs w:val="22"/>
        </w:rPr>
      </w:pPr>
    </w:p>
    <w:p w14:paraId="15D81D91" w14:textId="210A9A17" w:rsidR="00B37839" w:rsidRDefault="00B37839" w:rsidP="00B37839">
      <w:pPr>
        <w:rPr>
          <w:sz w:val="22"/>
          <w:szCs w:val="22"/>
        </w:rPr>
      </w:pPr>
      <w:r w:rsidRPr="00B37839">
        <w:rPr>
          <w:sz w:val="22"/>
          <w:szCs w:val="22"/>
        </w:rPr>
        <w:t xml:space="preserve">Payne, Y.A., Hitchens, B.K. and Chambers, D.L. (2017) ‘“Why I Can’t Stand Out in Front of My House?”: Street-Identified Black Youth and Young Adult’s Negative Encounters With Police’, </w:t>
      </w:r>
      <w:r w:rsidRPr="00B37839">
        <w:rPr>
          <w:i/>
          <w:iCs/>
          <w:sz w:val="22"/>
          <w:szCs w:val="22"/>
        </w:rPr>
        <w:t>Sociological forum (Randolph, N.J.)</w:t>
      </w:r>
      <w:r w:rsidRPr="00B37839">
        <w:rPr>
          <w:sz w:val="22"/>
          <w:szCs w:val="22"/>
        </w:rPr>
        <w:t xml:space="preserve">, 32(4), pp. 874–895. Available at: </w:t>
      </w:r>
      <w:hyperlink r:id="rId15" w:history="1">
        <w:r w:rsidRPr="00B37839">
          <w:rPr>
            <w:rStyle w:val="Hyperlink"/>
            <w:sz w:val="22"/>
            <w:szCs w:val="22"/>
          </w:rPr>
          <w:t>https://doi.org/10.1111/socf.12380</w:t>
        </w:r>
      </w:hyperlink>
      <w:r w:rsidRPr="00B37839">
        <w:rPr>
          <w:sz w:val="22"/>
          <w:szCs w:val="22"/>
        </w:rPr>
        <w:t>. (Accessed: 08</w:t>
      </w:r>
      <w:r w:rsidR="006C04FB">
        <w:rPr>
          <w:sz w:val="22"/>
          <w:szCs w:val="22"/>
        </w:rPr>
        <w:t xml:space="preserve"> January 20</w:t>
      </w:r>
      <w:r w:rsidRPr="00B37839">
        <w:rPr>
          <w:sz w:val="22"/>
          <w:szCs w:val="22"/>
        </w:rPr>
        <w:t>25)</w:t>
      </w:r>
      <w:r w:rsidR="00A50B8F">
        <w:rPr>
          <w:sz w:val="22"/>
          <w:szCs w:val="22"/>
        </w:rPr>
        <w:t>.</w:t>
      </w:r>
    </w:p>
    <w:p w14:paraId="540DF4FA" w14:textId="77777777" w:rsidR="00B37839" w:rsidRPr="00B37839" w:rsidRDefault="00B37839" w:rsidP="00B37839">
      <w:pPr>
        <w:rPr>
          <w:sz w:val="22"/>
          <w:szCs w:val="22"/>
        </w:rPr>
      </w:pPr>
    </w:p>
    <w:p w14:paraId="452F1EDD" w14:textId="14D49239" w:rsidR="00B37839" w:rsidRDefault="00B37839" w:rsidP="00B37839">
      <w:pPr>
        <w:rPr>
          <w:rFonts w:cs="Arial"/>
          <w:sz w:val="22"/>
          <w:szCs w:val="22"/>
        </w:rPr>
      </w:pPr>
      <w:r w:rsidRPr="003E1EB1">
        <w:rPr>
          <w:rFonts w:cs="Arial"/>
          <w:sz w:val="22"/>
          <w:szCs w:val="22"/>
        </w:rPr>
        <w:t>Rolison, J.J.</w:t>
      </w:r>
      <w:r w:rsidR="00C11738">
        <w:rPr>
          <w:rFonts w:cs="Arial"/>
          <w:sz w:val="22"/>
          <w:szCs w:val="22"/>
        </w:rPr>
        <w:t xml:space="preserve">, </w:t>
      </w:r>
      <w:r w:rsidR="00644B25">
        <w:rPr>
          <w:rFonts w:cs="Arial"/>
          <w:sz w:val="22"/>
          <w:szCs w:val="22"/>
        </w:rPr>
        <w:t xml:space="preserve">Moutari, S., </w:t>
      </w:r>
      <w:r w:rsidR="00EB1242">
        <w:rPr>
          <w:rFonts w:cs="Arial"/>
          <w:sz w:val="22"/>
          <w:szCs w:val="22"/>
        </w:rPr>
        <w:t xml:space="preserve">Hewson, P. and Hellier, E. </w:t>
      </w:r>
      <w:r w:rsidRPr="003E1EB1">
        <w:rPr>
          <w:rFonts w:cs="Arial"/>
          <w:sz w:val="22"/>
          <w:szCs w:val="22"/>
        </w:rPr>
        <w:t xml:space="preserve">(2014) ‘Overestimated Crash Risks of Young and Elderly Drivers’, </w:t>
      </w:r>
      <w:r w:rsidRPr="003E1EB1">
        <w:rPr>
          <w:rFonts w:cs="Arial"/>
          <w:i/>
          <w:iCs/>
          <w:sz w:val="22"/>
          <w:szCs w:val="22"/>
        </w:rPr>
        <w:t>American journal of preventive medicine</w:t>
      </w:r>
      <w:r w:rsidRPr="003E1EB1">
        <w:rPr>
          <w:rFonts w:cs="Arial"/>
          <w:sz w:val="22"/>
          <w:szCs w:val="22"/>
        </w:rPr>
        <w:t xml:space="preserve">, 46(1), pp. 58–64. Available at: </w:t>
      </w:r>
      <w:hyperlink r:id="rId16" w:history="1">
        <w:r w:rsidRPr="003E1EB1">
          <w:rPr>
            <w:rStyle w:val="Hyperlink"/>
            <w:rFonts w:cs="Arial"/>
            <w:sz w:val="22"/>
            <w:szCs w:val="22"/>
          </w:rPr>
          <w:t>https://doi.org/10.1016/j.amepre.2013.08</w:t>
        </w:r>
        <w:r w:rsidRPr="003E1EB1">
          <w:rPr>
            <w:rStyle w:val="Hyperlink"/>
            <w:rFonts w:cs="Arial"/>
            <w:sz w:val="22"/>
            <w:szCs w:val="22"/>
          </w:rPr>
          <w:t>.</w:t>
        </w:r>
        <w:r w:rsidRPr="003E1EB1">
          <w:rPr>
            <w:rStyle w:val="Hyperlink"/>
            <w:rFonts w:cs="Arial"/>
            <w:sz w:val="22"/>
            <w:szCs w:val="22"/>
          </w:rPr>
          <w:t>014</w:t>
        </w:r>
      </w:hyperlink>
      <w:r w:rsidRPr="003E1EB1">
        <w:rPr>
          <w:rFonts w:cs="Arial"/>
          <w:sz w:val="22"/>
          <w:szCs w:val="22"/>
        </w:rPr>
        <w:t>.</w:t>
      </w:r>
      <w:r w:rsidRPr="00B37839">
        <w:rPr>
          <w:rFonts w:cs="Arial"/>
          <w:sz w:val="22"/>
          <w:szCs w:val="22"/>
        </w:rPr>
        <w:t xml:space="preserve"> (Accessed: 30</w:t>
      </w:r>
      <w:r w:rsidR="00EB1242">
        <w:rPr>
          <w:rFonts w:cs="Arial"/>
          <w:sz w:val="22"/>
          <w:szCs w:val="22"/>
        </w:rPr>
        <w:t xml:space="preserve"> May 20</w:t>
      </w:r>
      <w:r w:rsidRPr="00B37839">
        <w:rPr>
          <w:rFonts w:cs="Arial"/>
          <w:sz w:val="22"/>
          <w:szCs w:val="22"/>
        </w:rPr>
        <w:t>25)</w:t>
      </w:r>
      <w:r w:rsidR="00EB1242">
        <w:rPr>
          <w:rFonts w:cs="Arial"/>
          <w:sz w:val="22"/>
          <w:szCs w:val="22"/>
        </w:rPr>
        <w:t>.</w:t>
      </w:r>
    </w:p>
    <w:p w14:paraId="5778E3C6" w14:textId="77777777" w:rsidR="00B37839" w:rsidRPr="00B37839" w:rsidRDefault="00B37839" w:rsidP="00B37839">
      <w:pPr>
        <w:rPr>
          <w:sz w:val="22"/>
          <w:szCs w:val="22"/>
        </w:rPr>
      </w:pPr>
    </w:p>
    <w:p w14:paraId="20A201BB" w14:textId="4D9E3016" w:rsidR="00B37839" w:rsidRDefault="00B37839" w:rsidP="00B37839">
      <w:pPr>
        <w:rPr>
          <w:sz w:val="22"/>
          <w:szCs w:val="22"/>
        </w:rPr>
      </w:pPr>
      <w:r w:rsidRPr="00B37839">
        <w:rPr>
          <w:sz w:val="22"/>
          <w:szCs w:val="22"/>
        </w:rPr>
        <w:t xml:space="preserve">Stone, R. (2013) </w:t>
      </w:r>
      <w:r w:rsidRPr="00B37839">
        <w:rPr>
          <w:i/>
          <w:iCs/>
          <w:sz w:val="22"/>
          <w:szCs w:val="22"/>
        </w:rPr>
        <w:t>Hidden stories of the Stephen Lawrence inquiry : personal reflections</w:t>
      </w:r>
      <w:r w:rsidRPr="00B37839">
        <w:rPr>
          <w:sz w:val="22"/>
          <w:szCs w:val="22"/>
        </w:rPr>
        <w:t xml:space="preserve">. Bristol: Policy Press. Available at: </w:t>
      </w:r>
      <w:hyperlink r:id="rId17" w:history="1">
        <w:r w:rsidRPr="00B37839">
          <w:rPr>
            <w:rStyle w:val="Hyperlink"/>
            <w:sz w:val="22"/>
            <w:szCs w:val="22"/>
          </w:rPr>
          <w:t>https://doi.org/10.46692/9781447308492</w:t>
        </w:r>
      </w:hyperlink>
      <w:r w:rsidRPr="00B37839">
        <w:rPr>
          <w:sz w:val="22"/>
          <w:szCs w:val="22"/>
        </w:rPr>
        <w:t>.</w:t>
      </w:r>
      <w:r w:rsidR="001C2061">
        <w:rPr>
          <w:sz w:val="22"/>
          <w:szCs w:val="22"/>
        </w:rPr>
        <w:t xml:space="preserve"> (20 May 2025).</w:t>
      </w:r>
    </w:p>
    <w:p w14:paraId="153D65F3" w14:textId="77777777" w:rsidR="001C2061" w:rsidRPr="00B37839" w:rsidRDefault="001C2061" w:rsidP="00B37839">
      <w:pPr>
        <w:rPr>
          <w:sz w:val="22"/>
          <w:szCs w:val="22"/>
        </w:rPr>
      </w:pPr>
    </w:p>
    <w:p w14:paraId="0229142A" w14:textId="21F624DB" w:rsidR="00B37839" w:rsidRDefault="00B37839" w:rsidP="00B37839">
      <w:pPr>
        <w:rPr>
          <w:sz w:val="22"/>
          <w:szCs w:val="22"/>
        </w:rPr>
      </w:pPr>
      <w:r w:rsidRPr="00B37839">
        <w:rPr>
          <w:sz w:val="22"/>
          <w:szCs w:val="22"/>
        </w:rPr>
        <w:t xml:space="preserve">Torrible, C. (2022) ‘Trust in the police and policing by consent in turbulent times’, </w:t>
      </w:r>
      <w:r w:rsidRPr="00B37839">
        <w:rPr>
          <w:i/>
          <w:iCs/>
          <w:sz w:val="22"/>
          <w:szCs w:val="22"/>
        </w:rPr>
        <w:t>Safer communities</w:t>
      </w:r>
      <w:r w:rsidRPr="00B37839">
        <w:rPr>
          <w:sz w:val="22"/>
          <w:szCs w:val="22"/>
        </w:rPr>
        <w:t xml:space="preserve">, 21(3), pp. 171–183. Available at: </w:t>
      </w:r>
      <w:hyperlink r:id="rId18" w:history="1">
        <w:r w:rsidRPr="00B37839">
          <w:rPr>
            <w:rStyle w:val="Hyperlink"/>
            <w:sz w:val="22"/>
            <w:szCs w:val="22"/>
          </w:rPr>
          <w:t>https://doi.org/10.1108/SC-08-2021-0036</w:t>
        </w:r>
      </w:hyperlink>
      <w:r w:rsidRPr="00B37839">
        <w:rPr>
          <w:sz w:val="22"/>
          <w:szCs w:val="22"/>
        </w:rPr>
        <w:t>. (Accessed: 08</w:t>
      </w:r>
      <w:r w:rsidR="00944A31">
        <w:rPr>
          <w:sz w:val="22"/>
          <w:szCs w:val="22"/>
        </w:rPr>
        <w:t xml:space="preserve"> January 20</w:t>
      </w:r>
      <w:r w:rsidRPr="00B37839">
        <w:rPr>
          <w:sz w:val="22"/>
          <w:szCs w:val="22"/>
        </w:rPr>
        <w:t>25)</w:t>
      </w:r>
      <w:r w:rsidR="00944A31">
        <w:rPr>
          <w:sz w:val="22"/>
          <w:szCs w:val="22"/>
        </w:rPr>
        <w:t>.</w:t>
      </w:r>
    </w:p>
    <w:p w14:paraId="1548F2D1" w14:textId="77777777" w:rsidR="00B37839" w:rsidRPr="00B37839" w:rsidRDefault="00B37839" w:rsidP="00B37839">
      <w:pPr>
        <w:rPr>
          <w:sz w:val="22"/>
          <w:szCs w:val="22"/>
        </w:rPr>
      </w:pPr>
    </w:p>
    <w:p w14:paraId="7B4C2A17" w14:textId="648DA993" w:rsidR="001D10A9" w:rsidRDefault="001D10A9" w:rsidP="00B37839">
      <w:pPr>
        <w:rPr>
          <w:sz w:val="22"/>
          <w:szCs w:val="22"/>
        </w:rPr>
      </w:pPr>
      <w:r w:rsidRPr="00B37839">
        <w:rPr>
          <w:sz w:val="22"/>
          <w:szCs w:val="22"/>
        </w:rPr>
        <w:t xml:space="preserve">Society of Editors (2024) </w:t>
      </w:r>
      <w:r w:rsidR="00944A31">
        <w:rPr>
          <w:sz w:val="22"/>
          <w:szCs w:val="22"/>
        </w:rPr>
        <w:t>‘</w:t>
      </w:r>
      <w:r w:rsidRPr="00B37839">
        <w:rPr>
          <w:sz w:val="22"/>
          <w:szCs w:val="22"/>
        </w:rPr>
        <w:t>Police and the media: repairing the relationship.</w:t>
      </w:r>
      <w:r w:rsidR="00944A31">
        <w:rPr>
          <w:sz w:val="22"/>
          <w:szCs w:val="22"/>
        </w:rPr>
        <w:t>’</w:t>
      </w:r>
      <w:r w:rsidRPr="00B37839">
        <w:rPr>
          <w:sz w:val="22"/>
          <w:szCs w:val="22"/>
        </w:rPr>
        <w:t xml:space="preserve"> </w:t>
      </w:r>
      <w:r w:rsidRPr="008D4FEA">
        <w:rPr>
          <w:i/>
          <w:iCs/>
          <w:sz w:val="22"/>
          <w:szCs w:val="22"/>
        </w:rPr>
        <w:t xml:space="preserve">Society of Editors. </w:t>
      </w:r>
      <w:r w:rsidRPr="00B37839">
        <w:rPr>
          <w:sz w:val="22"/>
          <w:szCs w:val="22"/>
        </w:rPr>
        <w:t xml:space="preserve">Available at: </w:t>
      </w:r>
      <w:hyperlink r:id="rId19" w:history="1">
        <w:r w:rsidRPr="00B37839">
          <w:rPr>
            <w:rStyle w:val="Hyperlink"/>
            <w:sz w:val="22"/>
            <w:szCs w:val="22"/>
          </w:rPr>
          <w:t>https://www.societyofeditors.org/wp-content/uploads/2024/06/POLICE-AND-THE-MEDIA-REPAIRING-THE-RELATIONSHIP-REPORT.pdf</w:t>
        </w:r>
      </w:hyperlink>
      <w:r w:rsidRPr="00B37839">
        <w:rPr>
          <w:sz w:val="22"/>
          <w:szCs w:val="22"/>
        </w:rPr>
        <w:t xml:space="preserve"> (Accessed: 30</w:t>
      </w:r>
      <w:r w:rsidR="005872C4">
        <w:rPr>
          <w:sz w:val="22"/>
          <w:szCs w:val="22"/>
        </w:rPr>
        <w:t xml:space="preserve"> May 20</w:t>
      </w:r>
      <w:r w:rsidRPr="00B37839">
        <w:rPr>
          <w:sz w:val="22"/>
          <w:szCs w:val="22"/>
        </w:rPr>
        <w:t>25).</w:t>
      </w:r>
    </w:p>
    <w:p w14:paraId="021D14A7" w14:textId="00C9D3E2" w:rsidR="00B37839" w:rsidRDefault="00B37839" w:rsidP="00B37839">
      <w:pPr>
        <w:rPr>
          <w:sz w:val="22"/>
          <w:szCs w:val="22"/>
        </w:rPr>
      </w:pPr>
      <w:r w:rsidRPr="00B37839">
        <w:rPr>
          <w:sz w:val="22"/>
          <w:szCs w:val="22"/>
        </w:rPr>
        <w:lastRenderedPageBreak/>
        <w:t>Vaish, A.</w:t>
      </w:r>
      <w:r w:rsidR="001C2061">
        <w:rPr>
          <w:sz w:val="22"/>
          <w:szCs w:val="22"/>
        </w:rPr>
        <w:t xml:space="preserve"> Grossman, T. and Woodward, A.</w:t>
      </w:r>
      <w:r w:rsidRPr="00B37839">
        <w:rPr>
          <w:sz w:val="22"/>
          <w:szCs w:val="22"/>
        </w:rPr>
        <w:t xml:space="preserve"> (2008) ‘Not All Emotions Are Created Equal: The Negativity Bias in Social-Emotional Development’, </w:t>
      </w:r>
      <w:r w:rsidRPr="00B37839">
        <w:rPr>
          <w:i/>
          <w:iCs/>
          <w:sz w:val="22"/>
          <w:szCs w:val="22"/>
        </w:rPr>
        <w:t>Psychological bulletin</w:t>
      </w:r>
      <w:r w:rsidRPr="00B37839">
        <w:rPr>
          <w:sz w:val="22"/>
          <w:szCs w:val="22"/>
        </w:rPr>
        <w:t xml:space="preserve">, 134(3), pp. 383–403. Available at: </w:t>
      </w:r>
      <w:hyperlink r:id="rId20" w:history="1">
        <w:r w:rsidRPr="00B37839">
          <w:rPr>
            <w:rStyle w:val="Hyperlink"/>
            <w:sz w:val="22"/>
            <w:szCs w:val="22"/>
          </w:rPr>
          <w:t>https://doi.org/10.1037/</w:t>
        </w:r>
        <w:r w:rsidRPr="00B37839">
          <w:rPr>
            <w:rStyle w:val="Hyperlink"/>
            <w:sz w:val="22"/>
            <w:szCs w:val="22"/>
          </w:rPr>
          <w:t>0</w:t>
        </w:r>
        <w:r w:rsidRPr="00B37839">
          <w:rPr>
            <w:rStyle w:val="Hyperlink"/>
            <w:sz w:val="22"/>
            <w:szCs w:val="22"/>
          </w:rPr>
          <w:t>033-2909.134.3.383</w:t>
        </w:r>
      </w:hyperlink>
      <w:r w:rsidRPr="00B37839">
        <w:rPr>
          <w:sz w:val="22"/>
          <w:szCs w:val="22"/>
        </w:rPr>
        <w:t>. (Accessed: 20</w:t>
      </w:r>
      <w:r w:rsidR="004F3B3C">
        <w:rPr>
          <w:sz w:val="22"/>
          <w:szCs w:val="22"/>
        </w:rPr>
        <w:t xml:space="preserve"> April 20</w:t>
      </w:r>
      <w:r w:rsidRPr="00B37839">
        <w:rPr>
          <w:sz w:val="22"/>
          <w:szCs w:val="22"/>
        </w:rPr>
        <w:t>25)</w:t>
      </w:r>
    </w:p>
    <w:p w14:paraId="4BD5D480" w14:textId="77777777" w:rsidR="00B37839" w:rsidRPr="00B37839" w:rsidRDefault="00B37839" w:rsidP="00B37839">
      <w:pPr>
        <w:rPr>
          <w:sz w:val="22"/>
          <w:szCs w:val="22"/>
        </w:rPr>
      </w:pPr>
    </w:p>
    <w:p w14:paraId="4D8A7DCD" w14:textId="77777777" w:rsidR="00B37839" w:rsidRPr="00B37839" w:rsidRDefault="00B37839" w:rsidP="00B37839">
      <w:pPr>
        <w:rPr>
          <w:sz w:val="22"/>
          <w:szCs w:val="22"/>
        </w:rPr>
      </w:pPr>
    </w:p>
    <w:p w14:paraId="539E293E" w14:textId="77777777" w:rsidR="00B37839" w:rsidRPr="00B37839" w:rsidRDefault="00B37839" w:rsidP="00B37839">
      <w:pPr>
        <w:rPr>
          <w:sz w:val="22"/>
          <w:szCs w:val="22"/>
        </w:rPr>
      </w:pPr>
      <w:bookmarkStart w:id="0" w:name="_Hlk199528731"/>
    </w:p>
    <w:bookmarkEnd w:id="0"/>
    <w:p w14:paraId="14692F53" w14:textId="77777777" w:rsidR="00B37839" w:rsidRPr="00B37839" w:rsidRDefault="00B37839" w:rsidP="00B37839">
      <w:pPr>
        <w:rPr>
          <w:sz w:val="22"/>
          <w:szCs w:val="22"/>
        </w:rPr>
      </w:pPr>
    </w:p>
    <w:p w14:paraId="127850B0" w14:textId="77777777" w:rsidR="00B37839" w:rsidRPr="00B37839" w:rsidRDefault="00B37839" w:rsidP="00B37839">
      <w:pPr>
        <w:rPr>
          <w:sz w:val="22"/>
          <w:szCs w:val="22"/>
        </w:rPr>
      </w:pPr>
    </w:p>
    <w:p w14:paraId="35972554" w14:textId="77777777" w:rsidR="001C3E64" w:rsidRPr="001C3E64" w:rsidRDefault="001C3E64" w:rsidP="001C3E64"/>
    <w:sectPr w:rsidR="001C3E64" w:rsidRPr="001C3E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C2BB5" w14:textId="77777777" w:rsidR="000D06B4" w:rsidRDefault="000D06B4" w:rsidP="00BC068B">
      <w:r>
        <w:separator/>
      </w:r>
    </w:p>
  </w:endnote>
  <w:endnote w:type="continuationSeparator" w:id="0">
    <w:p w14:paraId="7D71CCB1" w14:textId="77777777" w:rsidR="000D06B4" w:rsidRDefault="000D06B4" w:rsidP="00BC06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44E1F" w14:textId="77777777" w:rsidR="000D06B4" w:rsidRDefault="000D06B4" w:rsidP="00BC068B">
      <w:r>
        <w:separator/>
      </w:r>
    </w:p>
  </w:footnote>
  <w:footnote w:type="continuationSeparator" w:id="0">
    <w:p w14:paraId="17A75861" w14:textId="77777777" w:rsidR="000D06B4" w:rsidRDefault="000D06B4" w:rsidP="00BC06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1208A"/>
    <w:multiLevelType w:val="hybridMultilevel"/>
    <w:tmpl w:val="F4EEF9A0"/>
    <w:lvl w:ilvl="0" w:tplc="3FB8D85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921BDC"/>
    <w:multiLevelType w:val="hybridMultilevel"/>
    <w:tmpl w:val="6EA0634E"/>
    <w:lvl w:ilvl="0" w:tplc="49082B1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4431744">
    <w:abstractNumId w:val="1"/>
  </w:num>
  <w:num w:numId="2" w16cid:durableId="227693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6D1"/>
    <w:rsid w:val="0001430F"/>
    <w:rsid w:val="0002317C"/>
    <w:rsid w:val="00045B75"/>
    <w:rsid w:val="00055E8E"/>
    <w:rsid w:val="00065934"/>
    <w:rsid w:val="0008314A"/>
    <w:rsid w:val="00085566"/>
    <w:rsid w:val="000B57FA"/>
    <w:rsid w:val="000D06B4"/>
    <w:rsid w:val="0010241A"/>
    <w:rsid w:val="00103C93"/>
    <w:rsid w:val="00121B1A"/>
    <w:rsid w:val="00126443"/>
    <w:rsid w:val="0013001D"/>
    <w:rsid w:val="001307FA"/>
    <w:rsid w:val="0017282B"/>
    <w:rsid w:val="001749AE"/>
    <w:rsid w:val="00194911"/>
    <w:rsid w:val="001977E7"/>
    <w:rsid w:val="001A33A6"/>
    <w:rsid w:val="001B174F"/>
    <w:rsid w:val="001C2061"/>
    <w:rsid w:val="001C31A7"/>
    <w:rsid w:val="001C3E64"/>
    <w:rsid w:val="001D10A9"/>
    <w:rsid w:val="001D4F63"/>
    <w:rsid w:val="001F2AB6"/>
    <w:rsid w:val="00206960"/>
    <w:rsid w:val="00217620"/>
    <w:rsid w:val="0022352B"/>
    <w:rsid w:val="00251C1C"/>
    <w:rsid w:val="002956E7"/>
    <w:rsid w:val="00322079"/>
    <w:rsid w:val="00325840"/>
    <w:rsid w:val="00325A25"/>
    <w:rsid w:val="00345D6B"/>
    <w:rsid w:val="00356D7C"/>
    <w:rsid w:val="00377AC0"/>
    <w:rsid w:val="003A7DCE"/>
    <w:rsid w:val="003B356B"/>
    <w:rsid w:val="003C60FD"/>
    <w:rsid w:val="003E1EB1"/>
    <w:rsid w:val="003F6E55"/>
    <w:rsid w:val="00410FE0"/>
    <w:rsid w:val="00414F23"/>
    <w:rsid w:val="004169D4"/>
    <w:rsid w:val="0044168E"/>
    <w:rsid w:val="004B7928"/>
    <w:rsid w:val="004C6C1A"/>
    <w:rsid w:val="004D24BF"/>
    <w:rsid w:val="004F3B3C"/>
    <w:rsid w:val="005120F0"/>
    <w:rsid w:val="005120F5"/>
    <w:rsid w:val="005236DB"/>
    <w:rsid w:val="00524C55"/>
    <w:rsid w:val="00533BE3"/>
    <w:rsid w:val="00570A60"/>
    <w:rsid w:val="005843FD"/>
    <w:rsid w:val="005872C4"/>
    <w:rsid w:val="005B3171"/>
    <w:rsid w:val="0061325A"/>
    <w:rsid w:val="00644B25"/>
    <w:rsid w:val="00682213"/>
    <w:rsid w:val="006A0A44"/>
    <w:rsid w:val="006A680A"/>
    <w:rsid w:val="006B03FD"/>
    <w:rsid w:val="006C04FB"/>
    <w:rsid w:val="006F2631"/>
    <w:rsid w:val="006F6693"/>
    <w:rsid w:val="00702696"/>
    <w:rsid w:val="007127DE"/>
    <w:rsid w:val="00722518"/>
    <w:rsid w:val="00755D80"/>
    <w:rsid w:val="007638B1"/>
    <w:rsid w:val="007940F5"/>
    <w:rsid w:val="007B0C45"/>
    <w:rsid w:val="007E752C"/>
    <w:rsid w:val="007F0F27"/>
    <w:rsid w:val="0081415D"/>
    <w:rsid w:val="0088435D"/>
    <w:rsid w:val="00887ABC"/>
    <w:rsid w:val="008A2D4A"/>
    <w:rsid w:val="008A4E44"/>
    <w:rsid w:val="008B11CA"/>
    <w:rsid w:val="008B2B17"/>
    <w:rsid w:val="008D4FEA"/>
    <w:rsid w:val="008D79D4"/>
    <w:rsid w:val="00910AE1"/>
    <w:rsid w:val="00944A31"/>
    <w:rsid w:val="00951318"/>
    <w:rsid w:val="00952D6D"/>
    <w:rsid w:val="009669BE"/>
    <w:rsid w:val="00971DA4"/>
    <w:rsid w:val="009863B8"/>
    <w:rsid w:val="009A51CD"/>
    <w:rsid w:val="009C5D6A"/>
    <w:rsid w:val="009E54C6"/>
    <w:rsid w:val="00A06DC8"/>
    <w:rsid w:val="00A15EDC"/>
    <w:rsid w:val="00A40257"/>
    <w:rsid w:val="00A47C96"/>
    <w:rsid w:val="00A50B8F"/>
    <w:rsid w:val="00A52D83"/>
    <w:rsid w:val="00A70BC4"/>
    <w:rsid w:val="00A816BD"/>
    <w:rsid w:val="00AB5B45"/>
    <w:rsid w:val="00AD049D"/>
    <w:rsid w:val="00B37839"/>
    <w:rsid w:val="00B5145E"/>
    <w:rsid w:val="00B71FE4"/>
    <w:rsid w:val="00BB7262"/>
    <w:rsid w:val="00BC068B"/>
    <w:rsid w:val="00BC2FB2"/>
    <w:rsid w:val="00BE271E"/>
    <w:rsid w:val="00BE74DD"/>
    <w:rsid w:val="00C02E42"/>
    <w:rsid w:val="00C11738"/>
    <w:rsid w:val="00C22ED9"/>
    <w:rsid w:val="00C3675F"/>
    <w:rsid w:val="00C43304"/>
    <w:rsid w:val="00C64792"/>
    <w:rsid w:val="00C86136"/>
    <w:rsid w:val="00C95FD5"/>
    <w:rsid w:val="00CB4BEB"/>
    <w:rsid w:val="00CC405B"/>
    <w:rsid w:val="00CD2BB6"/>
    <w:rsid w:val="00D25074"/>
    <w:rsid w:val="00D268A7"/>
    <w:rsid w:val="00D535C9"/>
    <w:rsid w:val="00D76F86"/>
    <w:rsid w:val="00DC2299"/>
    <w:rsid w:val="00E06DCC"/>
    <w:rsid w:val="00E1379D"/>
    <w:rsid w:val="00E169FF"/>
    <w:rsid w:val="00E24B2D"/>
    <w:rsid w:val="00E4116C"/>
    <w:rsid w:val="00E731FC"/>
    <w:rsid w:val="00E75060"/>
    <w:rsid w:val="00E93313"/>
    <w:rsid w:val="00EA76D1"/>
    <w:rsid w:val="00EB1242"/>
    <w:rsid w:val="00EC2CA7"/>
    <w:rsid w:val="00EE5996"/>
    <w:rsid w:val="00EE7D8E"/>
    <w:rsid w:val="00EF0BDA"/>
    <w:rsid w:val="00F0698C"/>
    <w:rsid w:val="00F259FD"/>
    <w:rsid w:val="00F52873"/>
    <w:rsid w:val="00F95990"/>
    <w:rsid w:val="00FA74D1"/>
    <w:rsid w:val="00FB1400"/>
    <w:rsid w:val="00FC5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07847"/>
  <w15:chartTrackingRefBased/>
  <w15:docId w15:val="{E97982B6-3364-4E5C-807F-CC08EB6BF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6D1"/>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EA76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7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76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76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76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76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76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76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76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6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76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76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76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76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76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76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76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76D1"/>
    <w:rPr>
      <w:rFonts w:eastAsiaTheme="majorEastAsia" w:cstheme="majorBidi"/>
      <w:color w:val="272727" w:themeColor="text1" w:themeTint="D8"/>
    </w:rPr>
  </w:style>
  <w:style w:type="paragraph" w:styleId="Title">
    <w:name w:val="Title"/>
    <w:basedOn w:val="Normal"/>
    <w:next w:val="Normal"/>
    <w:link w:val="TitleChar"/>
    <w:uiPriority w:val="10"/>
    <w:qFormat/>
    <w:rsid w:val="00EA76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6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6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6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76D1"/>
    <w:pPr>
      <w:spacing w:before="160"/>
      <w:jc w:val="center"/>
    </w:pPr>
    <w:rPr>
      <w:i/>
      <w:iCs/>
      <w:color w:val="404040" w:themeColor="text1" w:themeTint="BF"/>
    </w:rPr>
  </w:style>
  <w:style w:type="character" w:customStyle="1" w:styleId="QuoteChar">
    <w:name w:val="Quote Char"/>
    <w:basedOn w:val="DefaultParagraphFont"/>
    <w:link w:val="Quote"/>
    <w:uiPriority w:val="29"/>
    <w:rsid w:val="00EA76D1"/>
    <w:rPr>
      <w:i/>
      <w:iCs/>
      <w:color w:val="404040" w:themeColor="text1" w:themeTint="BF"/>
    </w:rPr>
  </w:style>
  <w:style w:type="paragraph" w:styleId="ListParagraph">
    <w:name w:val="List Paragraph"/>
    <w:basedOn w:val="Normal"/>
    <w:link w:val="ListParagraphChar"/>
    <w:uiPriority w:val="34"/>
    <w:qFormat/>
    <w:rsid w:val="00EA76D1"/>
    <w:pPr>
      <w:ind w:left="720"/>
      <w:contextualSpacing/>
    </w:pPr>
  </w:style>
  <w:style w:type="character" w:styleId="IntenseEmphasis">
    <w:name w:val="Intense Emphasis"/>
    <w:basedOn w:val="DefaultParagraphFont"/>
    <w:uiPriority w:val="21"/>
    <w:qFormat/>
    <w:rsid w:val="00EA76D1"/>
    <w:rPr>
      <w:i/>
      <w:iCs/>
      <w:color w:val="0F4761" w:themeColor="accent1" w:themeShade="BF"/>
    </w:rPr>
  </w:style>
  <w:style w:type="paragraph" w:styleId="IntenseQuote">
    <w:name w:val="Intense Quote"/>
    <w:basedOn w:val="Normal"/>
    <w:next w:val="Normal"/>
    <w:link w:val="IntenseQuoteChar"/>
    <w:uiPriority w:val="30"/>
    <w:qFormat/>
    <w:rsid w:val="00EA76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6D1"/>
    <w:rPr>
      <w:i/>
      <w:iCs/>
      <w:color w:val="0F4761" w:themeColor="accent1" w:themeShade="BF"/>
    </w:rPr>
  </w:style>
  <w:style w:type="character" w:styleId="IntenseReference">
    <w:name w:val="Intense Reference"/>
    <w:basedOn w:val="DefaultParagraphFont"/>
    <w:uiPriority w:val="32"/>
    <w:qFormat/>
    <w:rsid w:val="00EA76D1"/>
    <w:rPr>
      <w:b/>
      <w:bCs/>
      <w:smallCaps/>
      <w:color w:val="0F4761" w:themeColor="accent1" w:themeShade="BF"/>
      <w:spacing w:val="5"/>
    </w:rPr>
  </w:style>
  <w:style w:type="character" w:customStyle="1" w:styleId="ListParagraphChar">
    <w:name w:val="List Paragraph Char"/>
    <w:link w:val="ListParagraph"/>
    <w:uiPriority w:val="34"/>
    <w:locked/>
    <w:rsid w:val="00C3675F"/>
    <w:rPr>
      <w:rFonts w:ascii="Arial" w:eastAsia="Times New Roman" w:hAnsi="Arial" w:cs="Times New Roman"/>
      <w:kern w:val="0"/>
      <w:sz w:val="24"/>
      <w:szCs w:val="20"/>
      <w14:ligatures w14:val="none"/>
    </w:rPr>
  </w:style>
  <w:style w:type="character" w:styleId="Hyperlink">
    <w:name w:val="Hyperlink"/>
    <w:basedOn w:val="DefaultParagraphFont"/>
    <w:uiPriority w:val="99"/>
    <w:unhideWhenUsed/>
    <w:rsid w:val="00085566"/>
    <w:rPr>
      <w:color w:val="467886" w:themeColor="hyperlink"/>
      <w:u w:val="single"/>
    </w:rPr>
  </w:style>
  <w:style w:type="character" w:styleId="UnresolvedMention">
    <w:name w:val="Unresolved Mention"/>
    <w:basedOn w:val="DefaultParagraphFont"/>
    <w:uiPriority w:val="99"/>
    <w:semiHidden/>
    <w:unhideWhenUsed/>
    <w:rsid w:val="00085566"/>
    <w:rPr>
      <w:color w:val="605E5C"/>
      <w:shd w:val="clear" w:color="auto" w:fill="E1DFDD"/>
    </w:rPr>
  </w:style>
  <w:style w:type="character" w:styleId="FollowedHyperlink">
    <w:name w:val="FollowedHyperlink"/>
    <w:basedOn w:val="DefaultParagraphFont"/>
    <w:uiPriority w:val="99"/>
    <w:semiHidden/>
    <w:unhideWhenUsed/>
    <w:rsid w:val="00524C55"/>
    <w:rPr>
      <w:color w:val="96607D" w:themeColor="followedHyperlink"/>
      <w:u w:val="single"/>
    </w:rPr>
  </w:style>
  <w:style w:type="paragraph" w:styleId="Header">
    <w:name w:val="header"/>
    <w:basedOn w:val="Normal"/>
    <w:link w:val="HeaderChar"/>
    <w:uiPriority w:val="99"/>
    <w:unhideWhenUsed/>
    <w:rsid w:val="00BC068B"/>
    <w:pPr>
      <w:tabs>
        <w:tab w:val="center" w:pos="4513"/>
        <w:tab w:val="right" w:pos="9026"/>
      </w:tabs>
    </w:pPr>
  </w:style>
  <w:style w:type="character" w:customStyle="1" w:styleId="HeaderChar">
    <w:name w:val="Header Char"/>
    <w:basedOn w:val="DefaultParagraphFont"/>
    <w:link w:val="Header"/>
    <w:uiPriority w:val="99"/>
    <w:rsid w:val="00BC068B"/>
    <w:rPr>
      <w:rFonts w:ascii="Arial" w:eastAsia="Times New Roman" w:hAnsi="Arial" w:cs="Times New Roman"/>
      <w:kern w:val="0"/>
      <w:sz w:val="24"/>
      <w:szCs w:val="20"/>
      <w14:ligatures w14:val="none"/>
    </w:rPr>
  </w:style>
  <w:style w:type="paragraph" w:styleId="Footer">
    <w:name w:val="footer"/>
    <w:basedOn w:val="Normal"/>
    <w:link w:val="FooterChar"/>
    <w:uiPriority w:val="99"/>
    <w:unhideWhenUsed/>
    <w:rsid w:val="00BC068B"/>
    <w:pPr>
      <w:tabs>
        <w:tab w:val="center" w:pos="4513"/>
        <w:tab w:val="right" w:pos="9026"/>
      </w:tabs>
    </w:pPr>
  </w:style>
  <w:style w:type="character" w:customStyle="1" w:styleId="FooterChar">
    <w:name w:val="Footer Char"/>
    <w:basedOn w:val="DefaultParagraphFont"/>
    <w:link w:val="Footer"/>
    <w:uiPriority w:val="99"/>
    <w:rsid w:val="00BC068B"/>
    <w:rPr>
      <w:rFonts w:ascii="Arial" w:eastAsia="Times New Roman" w:hAnsi="Arial"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269206">
      <w:bodyDiv w:val="1"/>
      <w:marLeft w:val="0"/>
      <w:marRight w:val="0"/>
      <w:marTop w:val="0"/>
      <w:marBottom w:val="0"/>
      <w:divBdr>
        <w:top w:val="none" w:sz="0" w:space="0" w:color="auto"/>
        <w:left w:val="none" w:sz="0" w:space="0" w:color="auto"/>
        <w:bottom w:val="none" w:sz="0" w:space="0" w:color="auto"/>
        <w:right w:val="none" w:sz="0" w:space="0" w:color="auto"/>
      </w:divBdr>
      <w:divsChild>
        <w:div w:id="2008635191">
          <w:marLeft w:val="0"/>
          <w:marRight w:val="0"/>
          <w:marTop w:val="0"/>
          <w:marBottom w:val="0"/>
          <w:divBdr>
            <w:top w:val="none" w:sz="0" w:space="0" w:color="auto"/>
            <w:left w:val="none" w:sz="0" w:space="0" w:color="auto"/>
            <w:bottom w:val="none" w:sz="0" w:space="0" w:color="auto"/>
            <w:right w:val="none" w:sz="0" w:space="0" w:color="auto"/>
          </w:divBdr>
          <w:divsChild>
            <w:div w:id="6703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91871">
      <w:bodyDiv w:val="1"/>
      <w:marLeft w:val="0"/>
      <w:marRight w:val="0"/>
      <w:marTop w:val="0"/>
      <w:marBottom w:val="0"/>
      <w:divBdr>
        <w:top w:val="none" w:sz="0" w:space="0" w:color="auto"/>
        <w:left w:val="none" w:sz="0" w:space="0" w:color="auto"/>
        <w:bottom w:val="none" w:sz="0" w:space="0" w:color="auto"/>
        <w:right w:val="none" w:sz="0" w:space="0" w:color="auto"/>
      </w:divBdr>
      <w:divsChild>
        <w:div w:id="1165315031">
          <w:marLeft w:val="0"/>
          <w:marRight w:val="0"/>
          <w:marTop w:val="0"/>
          <w:marBottom w:val="0"/>
          <w:divBdr>
            <w:top w:val="none" w:sz="0" w:space="0" w:color="auto"/>
            <w:left w:val="none" w:sz="0" w:space="0" w:color="auto"/>
            <w:bottom w:val="none" w:sz="0" w:space="0" w:color="auto"/>
            <w:right w:val="none" w:sz="0" w:space="0" w:color="auto"/>
          </w:divBdr>
          <w:divsChild>
            <w:div w:id="146847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896068">
      <w:bodyDiv w:val="1"/>
      <w:marLeft w:val="0"/>
      <w:marRight w:val="0"/>
      <w:marTop w:val="0"/>
      <w:marBottom w:val="0"/>
      <w:divBdr>
        <w:top w:val="none" w:sz="0" w:space="0" w:color="auto"/>
        <w:left w:val="none" w:sz="0" w:space="0" w:color="auto"/>
        <w:bottom w:val="none" w:sz="0" w:space="0" w:color="auto"/>
        <w:right w:val="none" w:sz="0" w:space="0" w:color="auto"/>
      </w:divBdr>
      <w:divsChild>
        <w:div w:id="1350915439">
          <w:marLeft w:val="0"/>
          <w:marRight w:val="0"/>
          <w:marTop w:val="0"/>
          <w:marBottom w:val="0"/>
          <w:divBdr>
            <w:top w:val="none" w:sz="0" w:space="0" w:color="auto"/>
            <w:left w:val="none" w:sz="0" w:space="0" w:color="auto"/>
            <w:bottom w:val="none" w:sz="0" w:space="0" w:color="auto"/>
            <w:right w:val="none" w:sz="0" w:space="0" w:color="auto"/>
          </w:divBdr>
          <w:divsChild>
            <w:div w:id="60419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873200">
      <w:bodyDiv w:val="1"/>
      <w:marLeft w:val="0"/>
      <w:marRight w:val="0"/>
      <w:marTop w:val="0"/>
      <w:marBottom w:val="0"/>
      <w:divBdr>
        <w:top w:val="none" w:sz="0" w:space="0" w:color="auto"/>
        <w:left w:val="none" w:sz="0" w:space="0" w:color="auto"/>
        <w:bottom w:val="none" w:sz="0" w:space="0" w:color="auto"/>
        <w:right w:val="none" w:sz="0" w:space="0" w:color="auto"/>
      </w:divBdr>
      <w:divsChild>
        <w:div w:id="745878466">
          <w:marLeft w:val="0"/>
          <w:marRight w:val="0"/>
          <w:marTop w:val="0"/>
          <w:marBottom w:val="0"/>
          <w:divBdr>
            <w:top w:val="none" w:sz="0" w:space="0" w:color="auto"/>
            <w:left w:val="none" w:sz="0" w:space="0" w:color="auto"/>
            <w:bottom w:val="none" w:sz="0" w:space="0" w:color="auto"/>
            <w:right w:val="none" w:sz="0" w:space="0" w:color="auto"/>
          </w:divBdr>
          <w:divsChild>
            <w:div w:id="63926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07519">
      <w:bodyDiv w:val="1"/>
      <w:marLeft w:val="0"/>
      <w:marRight w:val="0"/>
      <w:marTop w:val="0"/>
      <w:marBottom w:val="0"/>
      <w:divBdr>
        <w:top w:val="none" w:sz="0" w:space="0" w:color="auto"/>
        <w:left w:val="none" w:sz="0" w:space="0" w:color="auto"/>
        <w:bottom w:val="none" w:sz="0" w:space="0" w:color="auto"/>
        <w:right w:val="none" w:sz="0" w:space="0" w:color="auto"/>
      </w:divBdr>
      <w:divsChild>
        <w:div w:id="1741906782">
          <w:marLeft w:val="0"/>
          <w:marRight w:val="0"/>
          <w:marTop w:val="0"/>
          <w:marBottom w:val="0"/>
          <w:divBdr>
            <w:top w:val="none" w:sz="0" w:space="0" w:color="auto"/>
            <w:left w:val="none" w:sz="0" w:space="0" w:color="auto"/>
            <w:bottom w:val="none" w:sz="0" w:space="0" w:color="auto"/>
            <w:right w:val="none" w:sz="0" w:space="0" w:color="auto"/>
          </w:divBdr>
          <w:divsChild>
            <w:div w:id="142503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879591">
      <w:bodyDiv w:val="1"/>
      <w:marLeft w:val="0"/>
      <w:marRight w:val="0"/>
      <w:marTop w:val="0"/>
      <w:marBottom w:val="0"/>
      <w:divBdr>
        <w:top w:val="none" w:sz="0" w:space="0" w:color="auto"/>
        <w:left w:val="none" w:sz="0" w:space="0" w:color="auto"/>
        <w:bottom w:val="none" w:sz="0" w:space="0" w:color="auto"/>
        <w:right w:val="none" w:sz="0" w:space="0" w:color="auto"/>
      </w:divBdr>
      <w:divsChild>
        <w:div w:id="917137730">
          <w:marLeft w:val="0"/>
          <w:marRight w:val="0"/>
          <w:marTop w:val="0"/>
          <w:marBottom w:val="0"/>
          <w:divBdr>
            <w:top w:val="none" w:sz="0" w:space="0" w:color="auto"/>
            <w:left w:val="none" w:sz="0" w:space="0" w:color="auto"/>
            <w:bottom w:val="none" w:sz="0" w:space="0" w:color="auto"/>
            <w:right w:val="none" w:sz="0" w:space="0" w:color="auto"/>
          </w:divBdr>
          <w:divsChild>
            <w:div w:id="191319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210351">
      <w:bodyDiv w:val="1"/>
      <w:marLeft w:val="0"/>
      <w:marRight w:val="0"/>
      <w:marTop w:val="0"/>
      <w:marBottom w:val="0"/>
      <w:divBdr>
        <w:top w:val="none" w:sz="0" w:space="0" w:color="auto"/>
        <w:left w:val="none" w:sz="0" w:space="0" w:color="auto"/>
        <w:bottom w:val="none" w:sz="0" w:space="0" w:color="auto"/>
        <w:right w:val="none" w:sz="0" w:space="0" w:color="auto"/>
      </w:divBdr>
      <w:divsChild>
        <w:div w:id="193160257">
          <w:marLeft w:val="0"/>
          <w:marRight w:val="0"/>
          <w:marTop w:val="0"/>
          <w:marBottom w:val="0"/>
          <w:divBdr>
            <w:top w:val="none" w:sz="0" w:space="0" w:color="auto"/>
            <w:left w:val="none" w:sz="0" w:space="0" w:color="auto"/>
            <w:bottom w:val="none" w:sz="0" w:space="0" w:color="auto"/>
            <w:right w:val="none" w:sz="0" w:space="0" w:color="auto"/>
          </w:divBdr>
          <w:divsChild>
            <w:div w:id="107115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385708">
      <w:bodyDiv w:val="1"/>
      <w:marLeft w:val="0"/>
      <w:marRight w:val="0"/>
      <w:marTop w:val="0"/>
      <w:marBottom w:val="0"/>
      <w:divBdr>
        <w:top w:val="none" w:sz="0" w:space="0" w:color="auto"/>
        <w:left w:val="none" w:sz="0" w:space="0" w:color="auto"/>
        <w:bottom w:val="none" w:sz="0" w:space="0" w:color="auto"/>
        <w:right w:val="none" w:sz="0" w:space="0" w:color="auto"/>
      </w:divBdr>
      <w:divsChild>
        <w:div w:id="256405964">
          <w:marLeft w:val="0"/>
          <w:marRight w:val="0"/>
          <w:marTop w:val="0"/>
          <w:marBottom w:val="0"/>
          <w:divBdr>
            <w:top w:val="none" w:sz="0" w:space="0" w:color="auto"/>
            <w:left w:val="none" w:sz="0" w:space="0" w:color="auto"/>
            <w:bottom w:val="none" w:sz="0" w:space="0" w:color="auto"/>
            <w:right w:val="none" w:sz="0" w:space="0" w:color="auto"/>
          </w:divBdr>
          <w:divsChild>
            <w:div w:id="34028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563383">
      <w:bodyDiv w:val="1"/>
      <w:marLeft w:val="0"/>
      <w:marRight w:val="0"/>
      <w:marTop w:val="0"/>
      <w:marBottom w:val="0"/>
      <w:divBdr>
        <w:top w:val="none" w:sz="0" w:space="0" w:color="auto"/>
        <w:left w:val="none" w:sz="0" w:space="0" w:color="auto"/>
        <w:bottom w:val="none" w:sz="0" w:space="0" w:color="auto"/>
        <w:right w:val="none" w:sz="0" w:space="0" w:color="auto"/>
      </w:divBdr>
      <w:divsChild>
        <w:div w:id="219095215">
          <w:marLeft w:val="0"/>
          <w:marRight w:val="0"/>
          <w:marTop w:val="0"/>
          <w:marBottom w:val="0"/>
          <w:divBdr>
            <w:top w:val="none" w:sz="0" w:space="0" w:color="auto"/>
            <w:left w:val="none" w:sz="0" w:space="0" w:color="auto"/>
            <w:bottom w:val="none" w:sz="0" w:space="0" w:color="auto"/>
            <w:right w:val="none" w:sz="0" w:space="0" w:color="auto"/>
          </w:divBdr>
          <w:divsChild>
            <w:div w:id="201349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840685">
      <w:bodyDiv w:val="1"/>
      <w:marLeft w:val="0"/>
      <w:marRight w:val="0"/>
      <w:marTop w:val="0"/>
      <w:marBottom w:val="0"/>
      <w:divBdr>
        <w:top w:val="none" w:sz="0" w:space="0" w:color="auto"/>
        <w:left w:val="none" w:sz="0" w:space="0" w:color="auto"/>
        <w:bottom w:val="none" w:sz="0" w:space="0" w:color="auto"/>
        <w:right w:val="none" w:sz="0" w:space="0" w:color="auto"/>
      </w:divBdr>
      <w:divsChild>
        <w:div w:id="1510952064">
          <w:marLeft w:val="0"/>
          <w:marRight w:val="0"/>
          <w:marTop w:val="0"/>
          <w:marBottom w:val="0"/>
          <w:divBdr>
            <w:top w:val="none" w:sz="0" w:space="0" w:color="auto"/>
            <w:left w:val="none" w:sz="0" w:space="0" w:color="auto"/>
            <w:bottom w:val="none" w:sz="0" w:space="0" w:color="auto"/>
            <w:right w:val="none" w:sz="0" w:space="0" w:color="auto"/>
          </w:divBdr>
          <w:divsChild>
            <w:div w:id="211354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027808">
      <w:bodyDiv w:val="1"/>
      <w:marLeft w:val="0"/>
      <w:marRight w:val="0"/>
      <w:marTop w:val="0"/>
      <w:marBottom w:val="0"/>
      <w:divBdr>
        <w:top w:val="none" w:sz="0" w:space="0" w:color="auto"/>
        <w:left w:val="none" w:sz="0" w:space="0" w:color="auto"/>
        <w:bottom w:val="none" w:sz="0" w:space="0" w:color="auto"/>
        <w:right w:val="none" w:sz="0" w:space="0" w:color="auto"/>
      </w:divBdr>
      <w:divsChild>
        <w:div w:id="1442914389">
          <w:marLeft w:val="0"/>
          <w:marRight w:val="0"/>
          <w:marTop w:val="0"/>
          <w:marBottom w:val="0"/>
          <w:divBdr>
            <w:top w:val="none" w:sz="0" w:space="0" w:color="auto"/>
            <w:left w:val="none" w:sz="0" w:space="0" w:color="auto"/>
            <w:bottom w:val="none" w:sz="0" w:space="0" w:color="auto"/>
            <w:right w:val="none" w:sz="0" w:space="0" w:color="auto"/>
          </w:divBdr>
          <w:divsChild>
            <w:div w:id="189480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735648X.2017.1373691" TargetMode="External"/><Relationship Id="rId13" Type="http://schemas.openxmlformats.org/officeDocument/2006/relationships/hyperlink" Target="https://doi.org/10.1002/jaal.1281" TargetMode="External"/><Relationship Id="rId18" Type="http://schemas.openxmlformats.org/officeDocument/2006/relationships/hyperlink" Target="https://doi.org/10.1108/SC-08-2021-003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volanteglobal.com/wp-content/uploads/2020/11/Edison-Motor-Police-Pursuits-July-2019-Final.pdf" TargetMode="External"/><Relationship Id="rId17" Type="http://schemas.openxmlformats.org/officeDocument/2006/relationships/hyperlink" Target="https://doi.org/10.46692/9781447308492" TargetMode="External"/><Relationship Id="rId2" Type="http://schemas.openxmlformats.org/officeDocument/2006/relationships/numbering" Target="numbering.xml"/><Relationship Id="rId16" Type="http://schemas.openxmlformats.org/officeDocument/2006/relationships/hyperlink" Target="https://doi.org/10.1016/j.amepre.2013.08.014" TargetMode="External"/><Relationship Id="rId20" Type="http://schemas.openxmlformats.org/officeDocument/2006/relationships/hyperlink" Target="https://doi.org/10.1037/0033-2909.134.3.3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liceconduct.gov.uk/our-work/learning/investigation-police-pursuit-and-subsequent-road-traffic-incident-metropolitan" TargetMode="External"/><Relationship Id="rId5" Type="http://schemas.openxmlformats.org/officeDocument/2006/relationships/webSettings" Target="webSettings.xml"/><Relationship Id="rId15" Type="http://schemas.openxmlformats.org/officeDocument/2006/relationships/hyperlink" Target="https://doi.org/10.1111/socf.12380" TargetMode="External"/><Relationship Id="rId10" Type="http://schemas.openxmlformats.org/officeDocument/2006/relationships/hyperlink" Target="https://www.college.police.uk/app/roads-policing/police-pursuits" TargetMode="External"/><Relationship Id="rId19" Type="http://schemas.openxmlformats.org/officeDocument/2006/relationships/hyperlink" Target="https://www.societyofeditors.org/wp-content/uploads/2024/06/POLICE-AND-THE-MEDIA-REPAIRING-THE-RELATIONSHIP-REPORT.pdf" TargetMode="External"/><Relationship Id="rId4" Type="http://schemas.openxmlformats.org/officeDocument/2006/relationships/settings" Target="settings.xml"/><Relationship Id="rId9" Type="http://schemas.openxmlformats.org/officeDocument/2006/relationships/hyperlink" Target="https://doi.org/10.2478/nor-2020-0021" TargetMode="External"/><Relationship Id="rId14" Type="http://schemas.openxmlformats.org/officeDocument/2006/relationships/hyperlink" Target="https://doi.org/10.1016/S0047-2352(97)00080-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3537E0-00AE-46B7-962A-B8BBEF43D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4639</TotalTime>
  <Pages>6</Pages>
  <Words>2308</Words>
  <Characters>13160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Josh</dc:creator>
  <cp:keywords/>
  <dc:description/>
  <cp:lastModifiedBy>Jackson, Josh</cp:lastModifiedBy>
  <cp:revision>142</cp:revision>
  <dcterms:created xsi:type="dcterms:W3CDTF">2025-05-01T10:58:00Z</dcterms:created>
  <dcterms:modified xsi:type="dcterms:W3CDTF">2025-06-02T10:47:00Z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2025-05-01T10:57:18Z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5255fac7-eb25-4acf-9510-54139cf9807a</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