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C0BE3" w14:textId="3CF50EFE" w:rsidR="00ED1CB4" w:rsidRPr="001711BF" w:rsidRDefault="00000000" w:rsidP="001711BF">
      <w:pPr>
        <w:spacing w:line="360" w:lineRule="auto"/>
        <w:jc w:val="both"/>
        <w:rPr>
          <w:rFonts w:ascii="Times New Roman" w:eastAsia="Times New Roman" w:hAnsi="Times New Roman" w:cs="Times New Roman"/>
          <w:b/>
          <w:sz w:val="24"/>
          <w:szCs w:val="24"/>
        </w:rPr>
      </w:pPr>
      <w:r w:rsidRPr="001711BF">
        <w:rPr>
          <w:rFonts w:ascii="Times New Roman" w:eastAsia="Times New Roman" w:hAnsi="Times New Roman" w:cs="Times New Roman"/>
          <w:b/>
          <w:sz w:val="24"/>
          <w:szCs w:val="24"/>
        </w:rPr>
        <w:br/>
      </w:r>
    </w:p>
    <w:p w14:paraId="6D69E9A0" w14:textId="77777777" w:rsidR="006A61D9" w:rsidRDefault="00000000" w:rsidP="001711BF">
      <w:pPr>
        <w:spacing w:line="360" w:lineRule="auto"/>
        <w:jc w:val="both"/>
        <w:rPr>
          <w:rFonts w:ascii="Times New Roman" w:hAnsi="Times New Roman" w:cs="Times New Roman"/>
          <w:sz w:val="24"/>
          <w:szCs w:val="24"/>
        </w:rPr>
      </w:pPr>
      <w:r w:rsidRPr="001711BF">
        <w:rPr>
          <w:rFonts w:ascii="Times New Roman" w:eastAsia="Times New Roman" w:hAnsi="Times New Roman" w:cs="Times New Roman"/>
          <w:b/>
          <w:sz w:val="24"/>
          <w:szCs w:val="24"/>
        </w:rPr>
        <w:br/>
      </w:r>
      <w:r w:rsidR="006A61D9">
        <w:rPr>
          <w:rFonts w:ascii="Times New Roman" w:eastAsia="Times New Roman" w:hAnsi="Times New Roman" w:cs="Times New Roman"/>
          <w:b/>
          <w:noProof/>
          <w:sz w:val="24"/>
          <w:szCs w:val="24"/>
        </w:rPr>
        <w:drawing>
          <wp:inline distT="0" distB="0" distL="0" distR="0" wp14:anchorId="5F382467" wp14:editId="57EE064C">
            <wp:extent cx="3943350" cy="25396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950375" cy="2544127"/>
                    </a:xfrm>
                    <a:prstGeom prst="rect">
                      <a:avLst/>
                    </a:prstGeom>
                  </pic:spPr>
                </pic:pic>
              </a:graphicData>
            </a:graphic>
          </wp:inline>
        </w:drawing>
      </w:r>
    </w:p>
    <w:p w14:paraId="6298D495" w14:textId="77777777" w:rsidR="006A61D9" w:rsidRDefault="006A61D9"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of Hospitality and Tourism Management </w:t>
      </w:r>
    </w:p>
    <w:p w14:paraId="3A2804C7" w14:textId="14E59993" w:rsidR="00BC28E3" w:rsidRDefault="006A61D9"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 International Hotel Management </w:t>
      </w:r>
    </w:p>
    <w:p w14:paraId="47415F03" w14:textId="3EA0A60C" w:rsidR="00AA1642" w:rsidRDefault="00AA1642"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Module Handbook Spring Term 2</w:t>
      </w:r>
    </w:p>
    <w:p w14:paraId="340EE3CA" w14:textId="52ECB869" w:rsidR="00AA1642" w:rsidRDefault="00AA1642"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2022-2023</w:t>
      </w:r>
    </w:p>
    <w:p w14:paraId="5E6B673D" w14:textId="0E2C287F" w:rsidR="00AA1642" w:rsidRDefault="00AA1642"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BMIH5003</w:t>
      </w:r>
    </w:p>
    <w:p w14:paraId="04B2E221" w14:textId="77777777" w:rsidR="00BC28E3" w:rsidRDefault="00BC28E3"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Foreign Languages and Cultural Awareness </w:t>
      </w:r>
    </w:p>
    <w:p w14:paraId="464E2456" w14:textId="77777777" w:rsidR="002A283E" w:rsidRDefault="00BC28E3"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Level 5 </w:t>
      </w:r>
    </w:p>
    <w:p w14:paraId="5DE3B2E9" w14:textId="77777777" w:rsidR="002A283E" w:rsidRDefault="002A283E"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Module Lead</w:t>
      </w:r>
    </w:p>
    <w:p w14:paraId="366BB92F" w14:textId="77777777" w:rsidR="002A283E" w:rsidRDefault="002A283E"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Rodrigo F. Aguilera</w:t>
      </w:r>
    </w:p>
    <w:p w14:paraId="00000001" w14:textId="21855980" w:rsidR="004D3923" w:rsidRDefault="002A283E" w:rsidP="001711BF">
      <w:pPr>
        <w:spacing w:line="360" w:lineRule="auto"/>
        <w:jc w:val="both"/>
        <w:rPr>
          <w:rFonts w:ascii="Times New Roman" w:hAnsi="Times New Roman" w:cs="Times New Roman"/>
          <w:sz w:val="24"/>
          <w:szCs w:val="24"/>
        </w:rPr>
      </w:pPr>
      <w:r>
        <w:rPr>
          <w:rFonts w:ascii="Times New Roman" w:hAnsi="Times New Roman" w:cs="Times New Roman"/>
          <w:sz w:val="24"/>
          <w:szCs w:val="24"/>
        </w:rPr>
        <w:t>Rodrigo.faguilera@uwtsd.ac.uk</w:t>
      </w:r>
      <w:r w:rsidRPr="001711BF">
        <w:rPr>
          <w:rFonts w:ascii="Times New Roman" w:hAnsi="Times New Roman" w:cs="Times New Roman"/>
          <w:sz w:val="24"/>
          <w:szCs w:val="24"/>
        </w:rPr>
        <w:br w:type="page"/>
      </w:r>
    </w:p>
    <w:p w14:paraId="6CE0BD29" w14:textId="77777777" w:rsidR="006A61D9" w:rsidRPr="001711BF" w:rsidRDefault="006A61D9" w:rsidP="001711BF">
      <w:pPr>
        <w:spacing w:line="360" w:lineRule="auto"/>
        <w:jc w:val="both"/>
        <w:rPr>
          <w:rFonts w:ascii="Times New Roman" w:eastAsia="Times New Roman" w:hAnsi="Times New Roman" w:cs="Times New Roman"/>
          <w:b/>
          <w:sz w:val="24"/>
          <w:szCs w:val="24"/>
        </w:rPr>
      </w:pPr>
    </w:p>
    <w:p w14:paraId="74210789" w14:textId="1CCCCAC8" w:rsidR="00B43173" w:rsidRDefault="00B43173">
      <w:pPr>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GB"/>
        </w:rPr>
        <w:id w:val="-1666318866"/>
        <w:docPartObj>
          <w:docPartGallery w:val="Table of Contents"/>
          <w:docPartUnique/>
        </w:docPartObj>
      </w:sdtPr>
      <w:sdtEndPr>
        <w:rPr>
          <w:b/>
          <w:bCs/>
          <w:noProof/>
        </w:rPr>
      </w:sdtEndPr>
      <w:sdtContent>
        <w:p w14:paraId="098A0F45" w14:textId="37122661" w:rsidR="00B43173" w:rsidRDefault="00B43173">
          <w:pPr>
            <w:pStyle w:val="TOCHeading"/>
          </w:pPr>
          <w:r>
            <w:t>Contents</w:t>
          </w:r>
        </w:p>
        <w:p w14:paraId="6816FEDA" w14:textId="1D4962ED" w:rsidR="00B43173" w:rsidRDefault="00B43173">
          <w:pPr>
            <w:pStyle w:val="TOC1"/>
            <w:tabs>
              <w:tab w:val="right" w:leader="dot" w:pos="9019"/>
            </w:tabs>
            <w:rPr>
              <w:noProof/>
            </w:rPr>
          </w:pPr>
          <w:r>
            <w:fldChar w:fldCharType="begin"/>
          </w:r>
          <w:r>
            <w:instrText xml:space="preserve"> TOC \o "1-3" \h \z \u </w:instrText>
          </w:r>
          <w:r>
            <w:fldChar w:fldCharType="separate"/>
          </w:r>
          <w:hyperlink w:anchor="_Toc128684326" w:history="1">
            <w:r w:rsidRPr="0064392E">
              <w:rPr>
                <w:rStyle w:val="Hyperlink"/>
                <w:noProof/>
              </w:rPr>
              <w:t>Introduction</w:t>
            </w:r>
            <w:r>
              <w:rPr>
                <w:noProof/>
                <w:webHidden/>
              </w:rPr>
              <w:tab/>
            </w:r>
            <w:r>
              <w:rPr>
                <w:noProof/>
                <w:webHidden/>
              </w:rPr>
              <w:fldChar w:fldCharType="begin"/>
            </w:r>
            <w:r>
              <w:rPr>
                <w:noProof/>
                <w:webHidden/>
              </w:rPr>
              <w:instrText xml:space="preserve"> PAGEREF _Toc128684326 \h </w:instrText>
            </w:r>
            <w:r>
              <w:rPr>
                <w:noProof/>
                <w:webHidden/>
              </w:rPr>
            </w:r>
            <w:r>
              <w:rPr>
                <w:noProof/>
                <w:webHidden/>
              </w:rPr>
              <w:fldChar w:fldCharType="separate"/>
            </w:r>
            <w:r>
              <w:rPr>
                <w:noProof/>
                <w:webHidden/>
              </w:rPr>
              <w:t>3</w:t>
            </w:r>
            <w:r>
              <w:rPr>
                <w:noProof/>
                <w:webHidden/>
              </w:rPr>
              <w:fldChar w:fldCharType="end"/>
            </w:r>
          </w:hyperlink>
        </w:p>
        <w:p w14:paraId="553BE2A3" w14:textId="4C69A176" w:rsidR="00B43173" w:rsidRDefault="00000000">
          <w:pPr>
            <w:pStyle w:val="TOC1"/>
            <w:tabs>
              <w:tab w:val="right" w:leader="dot" w:pos="9019"/>
            </w:tabs>
            <w:rPr>
              <w:noProof/>
            </w:rPr>
          </w:pPr>
          <w:hyperlink w:anchor="_Toc128684327" w:history="1">
            <w:r w:rsidR="00B43173" w:rsidRPr="0064392E">
              <w:rPr>
                <w:rStyle w:val="Hyperlink"/>
                <w:noProof/>
              </w:rPr>
              <w:t>Hotel management for International guests</w:t>
            </w:r>
            <w:r w:rsidR="00B43173">
              <w:rPr>
                <w:noProof/>
                <w:webHidden/>
              </w:rPr>
              <w:tab/>
            </w:r>
            <w:r w:rsidR="00B43173">
              <w:rPr>
                <w:noProof/>
                <w:webHidden/>
              </w:rPr>
              <w:fldChar w:fldCharType="begin"/>
            </w:r>
            <w:r w:rsidR="00B43173">
              <w:rPr>
                <w:noProof/>
                <w:webHidden/>
              </w:rPr>
              <w:instrText xml:space="preserve"> PAGEREF _Toc128684327 \h </w:instrText>
            </w:r>
            <w:r w:rsidR="00B43173">
              <w:rPr>
                <w:noProof/>
                <w:webHidden/>
              </w:rPr>
            </w:r>
            <w:r w:rsidR="00B43173">
              <w:rPr>
                <w:noProof/>
                <w:webHidden/>
              </w:rPr>
              <w:fldChar w:fldCharType="separate"/>
            </w:r>
            <w:r w:rsidR="00B43173">
              <w:rPr>
                <w:noProof/>
                <w:webHidden/>
              </w:rPr>
              <w:t>3</w:t>
            </w:r>
            <w:r w:rsidR="00B43173">
              <w:rPr>
                <w:noProof/>
                <w:webHidden/>
              </w:rPr>
              <w:fldChar w:fldCharType="end"/>
            </w:r>
          </w:hyperlink>
        </w:p>
        <w:p w14:paraId="75726133" w14:textId="3CEE59CF" w:rsidR="00B43173" w:rsidRDefault="00000000">
          <w:pPr>
            <w:pStyle w:val="TOC1"/>
            <w:tabs>
              <w:tab w:val="right" w:leader="dot" w:pos="9019"/>
            </w:tabs>
            <w:rPr>
              <w:noProof/>
            </w:rPr>
          </w:pPr>
          <w:hyperlink w:anchor="_Toc128684328" w:history="1">
            <w:r w:rsidR="00B43173" w:rsidRPr="0064392E">
              <w:rPr>
                <w:rStyle w:val="Hyperlink"/>
                <w:noProof/>
              </w:rPr>
              <w:t>Key Cultural Differences between the UK and China</w:t>
            </w:r>
            <w:r w:rsidR="00B43173">
              <w:rPr>
                <w:noProof/>
                <w:webHidden/>
              </w:rPr>
              <w:tab/>
            </w:r>
            <w:r w:rsidR="00B43173">
              <w:rPr>
                <w:noProof/>
                <w:webHidden/>
              </w:rPr>
              <w:fldChar w:fldCharType="begin"/>
            </w:r>
            <w:r w:rsidR="00B43173">
              <w:rPr>
                <w:noProof/>
                <w:webHidden/>
              </w:rPr>
              <w:instrText xml:space="preserve"> PAGEREF _Toc128684328 \h </w:instrText>
            </w:r>
            <w:r w:rsidR="00B43173">
              <w:rPr>
                <w:noProof/>
                <w:webHidden/>
              </w:rPr>
            </w:r>
            <w:r w:rsidR="00B43173">
              <w:rPr>
                <w:noProof/>
                <w:webHidden/>
              </w:rPr>
              <w:fldChar w:fldCharType="separate"/>
            </w:r>
            <w:r w:rsidR="00B43173">
              <w:rPr>
                <w:noProof/>
                <w:webHidden/>
              </w:rPr>
              <w:t>3</w:t>
            </w:r>
            <w:r w:rsidR="00B43173">
              <w:rPr>
                <w:noProof/>
                <w:webHidden/>
              </w:rPr>
              <w:fldChar w:fldCharType="end"/>
            </w:r>
          </w:hyperlink>
        </w:p>
        <w:p w14:paraId="4007E780" w14:textId="27DB91BD" w:rsidR="00B43173" w:rsidRDefault="00000000">
          <w:pPr>
            <w:pStyle w:val="TOC1"/>
            <w:tabs>
              <w:tab w:val="right" w:leader="dot" w:pos="9019"/>
            </w:tabs>
            <w:rPr>
              <w:noProof/>
            </w:rPr>
          </w:pPr>
          <w:hyperlink w:anchor="_Toc128684329" w:history="1">
            <w:r w:rsidR="00B43173" w:rsidRPr="0064392E">
              <w:rPr>
                <w:rStyle w:val="Hyperlink"/>
                <w:noProof/>
              </w:rPr>
              <w:t>Conclusion and Suggestive Recommendations</w:t>
            </w:r>
            <w:r w:rsidR="00B43173">
              <w:rPr>
                <w:noProof/>
                <w:webHidden/>
              </w:rPr>
              <w:tab/>
            </w:r>
            <w:r w:rsidR="00B43173">
              <w:rPr>
                <w:noProof/>
                <w:webHidden/>
              </w:rPr>
              <w:fldChar w:fldCharType="begin"/>
            </w:r>
            <w:r w:rsidR="00B43173">
              <w:rPr>
                <w:noProof/>
                <w:webHidden/>
              </w:rPr>
              <w:instrText xml:space="preserve"> PAGEREF _Toc128684329 \h </w:instrText>
            </w:r>
            <w:r w:rsidR="00B43173">
              <w:rPr>
                <w:noProof/>
                <w:webHidden/>
              </w:rPr>
            </w:r>
            <w:r w:rsidR="00B43173">
              <w:rPr>
                <w:noProof/>
                <w:webHidden/>
              </w:rPr>
              <w:fldChar w:fldCharType="separate"/>
            </w:r>
            <w:r w:rsidR="00B43173">
              <w:rPr>
                <w:noProof/>
                <w:webHidden/>
              </w:rPr>
              <w:t>5</w:t>
            </w:r>
            <w:r w:rsidR="00B43173">
              <w:rPr>
                <w:noProof/>
                <w:webHidden/>
              </w:rPr>
              <w:fldChar w:fldCharType="end"/>
            </w:r>
          </w:hyperlink>
        </w:p>
        <w:p w14:paraId="0A48EAA7" w14:textId="109E6066" w:rsidR="00B43173" w:rsidRDefault="00000000">
          <w:pPr>
            <w:pStyle w:val="TOC1"/>
            <w:tabs>
              <w:tab w:val="right" w:leader="dot" w:pos="9019"/>
            </w:tabs>
            <w:rPr>
              <w:noProof/>
            </w:rPr>
          </w:pPr>
          <w:hyperlink w:anchor="_Toc128684330" w:history="1">
            <w:r w:rsidR="00B43173" w:rsidRPr="0064392E">
              <w:rPr>
                <w:rStyle w:val="Hyperlink"/>
                <w:noProof/>
              </w:rPr>
              <w:t>Reference</w:t>
            </w:r>
            <w:r w:rsidR="00B43173">
              <w:rPr>
                <w:noProof/>
                <w:webHidden/>
              </w:rPr>
              <w:tab/>
            </w:r>
            <w:r w:rsidR="00B43173">
              <w:rPr>
                <w:noProof/>
                <w:webHidden/>
              </w:rPr>
              <w:fldChar w:fldCharType="begin"/>
            </w:r>
            <w:r w:rsidR="00B43173">
              <w:rPr>
                <w:noProof/>
                <w:webHidden/>
              </w:rPr>
              <w:instrText xml:space="preserve"> PAGEREF _Toc128684330 \h </w:instrText>
            </w:r>
            <w:r w:rsidR="00B43173">
              <w:rPr>
                <w:noProof/>
                <w:webHidden/>
              </w:rPr>
            </w:r>
            <w:r w:rsidR="00B43173">
              <w:rPr>
                <w:noProof/>
                <w:webHidden/>
              </w:rPr>
              <w:fldChar w:fldCharType="separate"/>
            </w:r>
            <w:r w:rsidR="00B43173">
              <w:rPr>
                <w:noProof/>
                <w:webHidden/>
              </w:rPr>
              <w:t>6</w:t>
            </w:r>
            <w:r w:rsidR="00B43173">
              <w:rPr>
                <w:noProof/>
                <w:webHidden/>
              </w:rPr>
              <w:fldChar w:fldCharType="end"/>
            </w:r>
          </w:hyperlink>
        </w:p>
        <w:p w14:paraId="10787108" w14:textId="26E4EAD8" w:rsidR="00B43173" w:rsidRDefault="00B43173">
          <w:r>
            <w:rPr>
              <w:b/>
              <w:bCs/>
              <w:noProof/>
            </w:rPr>
            <w:fldChar w:fldCharType="end"/>
          </w:r>
        </w:p>
      </w:sdtContent>
    </w:sdt>
    <w:p w14:paraId="2DB1ABFA" w14:textId="75AFCB8E" w:rsidR="00E84461" w:rsidRDefault="00E8446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2" w14:textId="023B0815" w:rsidR="004D3923" w:rsidRPr="00B43173" w:rsidRDefault="00000000" w:rsidP="00B43173">
      <w:pPr>
        <w:pStyle w:val="Heading1"/>
      </w:pPr>
      <w:bookmarkStart w:id="0" w:name="_Toc128684326"/>
      <w:r w:rsidRPr="00B43173">
        <w:lastRenderedPageBreak/>
        <w:t>Introduction</w:t>
      </w:r>
      <w:bookmarkEnd w:id="0"/>
    </w:p>
    <w:p w14:paraId="00000003" w14:textId="77777777" w:rsidR="004D3923" w:rsidRPr="001711BF" w:rsidRDefault="004D3923" w:rsidP="001711BF">
      <w:pPr>
        <w:spacing w:line="360" w:lineRule="auto"/>
        <w:jc w:val="both"/>
        <w:rPr>
          <w:rFonts w:ascii="Times New Roman" w:eastAsia="Times New Roman" w:hAnsi="Times New Roman" w:cs="Times New Roman"/>
          <w:b/>
          <w:sz w:val="24"/>
          <w:szCs w:val="24"/>
        </w:rPr>
      </w:pPr>
    </w:p>
    <w:p w14:paraId="00000006" w14:textId="5D05698A" w:rsidR="004D3923" w:rsidRPr="001711BF" w:rsidRDefault="00000000" w:rsidP="001711BF">
      <w:pPr>
        <w:pStyle w:val="NormalWeb"/>
        <w:spacing w:before="0" w:beforeAutospacing="0" w:after="0" w:afterAutospacing="0" w:line="360" w:lineRule="auto"/>
        <w:jc w:val="both"/>
        <w:rPr>
          <w:color w:val="0E101A"/>
        </w:rPr>
      </w:pPr>
      <w:r w:rsidRPr="001711BF">
        <w:t>Intercultural competency is becoming increasingly vital in a society that is getting increasingly globalized and networked. The capacity to communicate successfully across multiple ethnicities and to collaborate with persons who come from a variety of cultural backgrounds is a fundamental component of this skill</w:t>
      </w:r>
      <w:r w:rsidR="006F6644" w:rsidRPr="001711BF">
        <w:t xml:space="preserve"> </w:t>
      </w:r>
      <w:r w:rsidR="006F6644" w:rsidRPr="001711BF">
        <w:rPr>
          <w:color w:val="0E101A"/>
        </w:rPr>
        <w:t>(Tao, 2019)</w:t>
      </w:r>
      <w:r w:rsidRPr="001711BF">
        <w:t>. Intercultural competency is without a doubt a very useful ability in today's globalized environment, where relationships with people all over the world are much more regular. We contact with people from a variety of nations and cultures on a daily basis, both in our professional and our personal lives. These individuals are likely to hold a range of values and views that contrast with our own. Intercultural competency is an absolute necessity in today's environment, and it will come in handy in situations like this.</w:t>
      </w:r>
    </w:p>
    <w:p w14:paraId="00000007" w14:textId="77777777" w:rsidR="004D3923" w:rsidRPr="001711BF" w:rsidRDefault="004D3923" w:rsidP="001711BF">
      <w:pPr>
        <w:spacing w:line="360" w:lineRule="auto"/>
        <w:jc w:val="both"/>
        <w:rPr>
          <w:rFonts w:ascii="Times New Roman" w:eastAsia="Times New Roman" w:hAnsi="Times New Roman" w:cs="Times New Roman"/>
          <w:sz w:val="24"/>
          <w:szCs w:val="24"/>
        </w:rPr>
      </w:pPr>
    </w:p>
    <w:p w14:paraId="00000008" w14:textId="38C874EC" w:rsidR="004D3923" w:rsidRPr="00B43173" w:rsidRDefault="00000000" w:rsidP="00B43173">
      <w:pPr>
        <w:pStyle w:val="Heading1"/>
      </w:pPr>
      <w:bookmarkStart w:id="1" w:name="_Toc128684327"/>
      <w:r w:rsidRPr="00B43173">
        <w:t>Hotel management for International guests</w:t>
      </w:r>
      <w:bookmarkEnd w:id="1"/>
    </w:p>
    <w:p w14:paraId="00000009" w14:textId="77777777" w:rsidR="004D3923" w:rsidRPr="001711BF" w:rsidRDefault="004D3923" w:rsidP="001711BF">
      <w:pPr>
        <w:spacing w:line="360" w:lineRule="auto"/>
        <w:jc w:val="both"/>
        <w:rPr>
          <w:rFonts w:ascii="Times New Roman" w:eastAsia="Times New Roman" w:hAnsi="Times New Roman" w:cs="Times New Roman"/>
          <w:sz w:val="24"/>
          <w:szCs w:val="24"/>
        </w:rPr>
      </w:pPr>
    </w:p>
    <w:p w14:paraId="0000000C" w14:textId="419BB64D" w:rsidR="004D3923" w:rsidRPr="001711BF" w:rsidRDefault="00000000" w:rsidP="001711BF">
      <w:pPr>
        <w:spacing w:line="360" w:lineRule="auto"/>
        <w:jc w:val="both"/>
        <w:rPr>
          <w:rFonts w:ascii="Times New Roman" w:eastAsia="Times New Roman" w:hAnsi="Times New Roman" w:cs="Times New Roman"/>
          <w:sz w:val="24"/>
          <w:szCs w:val="24"/>
        </w:rPr>
      </w:pPr>
      <w:r w:rsidRPr="001711BF">
        <w:rPr>
          <w:rFonts w:ascii="Times New Roman" w:eastAsia="Times New Roman" w:hAnsi="Times New Roman" w:cs="Times New Roman"/>
          <w:sz w:val="24"/>
          <w:szCs w:val="24"/>
        </w:rPr>
        <w:t>In contemporary culture, the idea that a hotel actually "knows the visitor" is sometimes presented as an indication that the establishment provides excellent service. Although if hotels are able to provide customers' fundamental requirements for overnight accommodations, customers in today's market demand and expect much more from their stay at a hotel. Hoteliers have to ratchet up the customer experiences and be in sync with what their guests want in order to win their loyalty and boost the number of repeat customers.</w:t>
      </w:r>
      <w:r w:rsidR="001711BF">
        <w:rPr>
          <w:rFonts w:ascii="Times New Roman" w:eastAsia="Times New Roman" w:hAnsi="Times New Roman" w:cs="Times New Roman"/>
          <w:sz w:val="24"/>
          <w:szCs w:val="24"/>
        </w:rPr>
        <w:t xml:space="preserve"> </w:t>
      </w:r>
      <w:r w:rsidRPr="001711BF">
        <w:rPr>
          <w:rFonts w:ascii="Times New Roman" w:eastAsia="Times New Roman" w:hAnsi="Times New Roman" w:cs="Times New Roman"/>
          <w:sz w:val="24"/>
          <w:szCs w:val="24"/>
        </w:rPr>
        <w:t>Andrew Heiton was the architect behind the construction of the Perth Station Hotel in 1888, and it did not open its doors to the public until August of 1890</w:t>
      </w:r>
      <w:r w:rsidR="00A52239" w:rsidRPr="001711BF">
        <w:rPr>
          <w:rFonts w:ascii="Times New Roman" w:eastAsia="Times New Roman" w:hAnsi="Times New Roman" w:cs="Times New Roman"/>
          <w:sz w:val="24"/>
          <w:szCs w:val="24"/>
        </w:rPr>
        <w:t xml:space="preserve"> </w:t>
      </w:r>
      <w:r w:rsidR="00A52239" w:rsidRPr="001711BF">
        <w:rPr>
          <w:rFonts w:ascii="Times New Roman" w:hAnsi="Times New Roman" w:cs="Times New Roman"/>
          <w:color w:val="0E101A"/>
          <w:sz w:val="24"/>
          <w:szCs w:val="24"/>
        </w:rPr>
        <w:t>(James, 2020)</w:t>
      </w:r>
      <w:r w:rsidRPr="001711BF">
        <w:rPr>
          <w:rFonts w:ascii="Times New Roman" w:eastAsia="Times New Roman" w:hAnsi="Times New Roman" w:cs="Times New Roman"/>
          <w:sz w:val="24"/>
          <w:szCs w:val="24"/>
        </w:rPr>
        <w:t>. It served as the station hotel for the Perth train station. Overnight, the hotel became Queen Victoria's preferred lodging option in Scotland. Because the queen traveled to this location so frequently, a "royal tunnel" was established that led directly from the railway station to the hotel.</w:t>
      </w:r>
    </w:p>
    <w:p w14:paraId="0000000D" w14:textId="77777777" w:rsidR="004D3923" w:rsidRPr="001711BF" w:rsidRDefault="004D3923" w:rsidP="001711BF">
      <w:pPr>
        <w:spacing w:line="360" w:lineRule="auto"/>
        <w:jc w:val="both"/>
        <w:rPr>
          <w:rFonts w:ascii="Times New Roman" w:eastAsia="Times New Roman" w:hAnsi="Times New Roman" w:cs="Times New Roman"/>
          <w:sz w:val="24"/>
          <w:szCs w:val="24"/>
        </w:rPr>
      </w:pPr>
    </w:p>
    <w:p w14:paraId="0000000E" w14:textId="77777777" w:rsidR="004D3923" w:rsidRPr="001711BF" w:rsidRDefault="004D3923" w:rsidP="001711BF">
      <w:pPr>
        <w:spacing w:line="360" w:lineRule="auto"/>
        <w:jc w:val="both"/>
        <w:rPr>
          <w:rFonts w:ascii="Times New Roman" w:eastAsia="Times New Roman" w:hAnsi="Times New Roman" w:cs="Times New Roman"/>
          <w:b/>
          <w:sz w:val="24"/>
          <w:szCs w:val="24"/>
        </w:rPr>
      </w:pPr>
    </w:p>
    <w:p w14:paraId="0000000F" w14:textId="77777777" w:rsidR="004D3923" w:rsidRPr="001711BF" w:rsidRDefault="004D3923" w:rsidP="001711BF">
      <w:pPr>
        <w:spacing w:line="360" w:lineRule="auto"/>
        <w:jc w:val="both"/>
        <w:rPr>
          <w:rFonts w:ascii="Times New Roman" w:eastAsia="Times New Roman" w:hAnsi="Times New Roman" w:cs="Times New Roman"/>
          <w:b/>
          <w:sz w:val="24"/>
          <w:szCs w:val="24"/>
        </w:rPr>
      </w:pPr>
    </w:p>
    <w:p w14:paraId="00000010" w14:textId="77777777" w:rsidR="004D3923" w:rsidRPr="001711BF" w:rsidRDefault="004D3923" w:rsidP="001711BF">
      <w:pPr>
        <w:spacing w:line="360" w:lineRule="auto"/>
        <w:jc w:val="both"/>
        <w:rPr>
          <w:rFonts w:ascii="Times New Roman" w:eastAsia="Times New Roman" w:hAnsi="Times New Roman" w:cs="Times New Roman"/>
          <w:b/>
          <w:sz w:val="24"/>
          <w:szCs w:val="24"/>
        </w:rPr>
      </w:pPr>
    </w:p>
    <w:p w14:paraId="00000011" w14:textId="40EA5D42" w:rsidR="004D3923" w:rsidRPr="00B43173" w:rsidRDefault="00000000" w:rsidP="00B43173">
      <w:pPr>
        <w:pStyle w:val="Heading1"/>
      </w:pPr>
      <w:bookmarkStart w:id="2" w:name="_Toc128684328"/>
      <w:r w:rsidRPr="00B43173">
        <w:t>Key Cultural Differences between the UK and</w:t>
      </w:r>
      <w:r w:rsidR="006103A9" w:rsidRPr="00B43173">
        <w:t xml:space="preserve"> China</w:t>
      </w:r>
      <w:bookmarkEnd w:id="2"/>
    </w:p>
    <w:p w14:paraId="00000012" w14:textId="77777777" w:rsidR="004D3923" w:rsidRPr="001711BF" w:rsidRDefault="004D3923" w:rsidP="001711BF">
      <w:pPr>
        <w:spacing w:line="360" w:lineRule="auto"/>
        <w:jc w:val="both"/>
        <w:rPr>
          <w:rFonts w:ascii="Times New Roman" w:eastAsia="Times New Roman" w:hAnsi="Times New Roman" w:cs="Times New Roman"/>
          <w:b/>
          <w:sz w:val="24"/>
          <w:szCs w:val="24"/>
        </w:rPr>
      </w:pPr>
    </w:p>
    <w:p w14:paraId="00000013" w14:textId="6B2AA961" w:rsidR="004D3923" w:rsidRPr="001711BF" w:rsidRDefault="00000000" w:rsidP="001711BF">
      <w:pPr>
        <w:pStyle w:val="NormalWeb"/>
        <w:spacing w:before="0" w:beforeAutospacing="0" w:after="0" w:afterAutospacing="0" w:line="360" w:lineRule="auto"/>
        <w:jc w:val="both"/>
        <w:rPr>
          <w:color w:val="0E101A"/>
        </w:rPr>
      </w:pPr>
      <w:r w:rsidRPr="001711BF">
        <w:lastRenderedPageBreak/>
        <w:t xml:space="preserve">Despite their many shared characteristics, the </w:t>
      </w:r>
      <w:r w:rsidR="00AF245F" w:rsidRPr="001711BF">
        <w:t>China</w:t>
      </w:r>
      <w:r w:rsidRPr="001711BF">
        <w:t xml:space="preserve"> and the United Kingdom have quite distinct cultural norms and values. The way people speak differs, not just in terms of their accents or the words they use, but also in terms of the overarching tone and meaning. People do things differently when it comes to establishing friends, looking for work, and communicating with one another at work</w:t>
      </w:r>
      <w:r w:rsidR="002A57F5" w:rsidRPr="001711BF">
        <w:t xml:space="preserve"> </w:t>
      </w:r>
      <w:r w:rsidR="002A57F5" w:rsidRPr="001711BF">
        <w:rPr>
          <w:color w:val="0E101A"/>
        </w:rPr>
        <w:t>(Holmes, 2022)</w:t>
      </w:r>
      <w:r w:rsidRPr="001711BF">
        <w:t xml:space="preserve">. The social structure is quite unlike to what you are accustomed to, and the religious differences may seem as a bit of a surprise to you. Outwardly, </w:t>
      </w:r>
      <w:r w:rsidR="00AF245F" w:rsidRPr="001711BF">
        <w:t>the people of China</w:t>
      </w:r>
      <w:r w:rsidRPr="001711BF">
        <w:t xml:space="preserve"> have a highly pleasant demeanor; they will strike up conversations with total strangers in public places like stores and bars, and they are always willing to assist their neighbors in times of need. Yet, many people who have moved abroad have mentioned that it is challenging to make "truly close relationships" on the same level as they did in the UK. According to several reports, the friendliness is simply on the surface.</w:t>
      </w:r>
    </w:p>
    <w:p w14:paraId="04A8A99D" w14:textId="5D32F23D" w:rsidR="002178DC" w:rsidRPr="001711BF" w:rsidRDefault="00000000" w:rsidP="001711BF">
      <w:pPr>
        <w:spacing w:line="360" w:lineRule="auto"/>
        <w:jc w:val="both"/>
        <w:rPr>
          <w:rFonts w:ascii="Times New Roman" w:eastAsia="Times New Roman" w:hAnsi="Times New Roman" w:cs="Times New Roman"/>
          <w:sz w:val="24"/>
          <w:szCs w:val="24"/>
        </w:rPr>
      </w:pPr>
      <w:r w:rsidRPr="001711BF">
        <w:rPr>
          <w:rFonts w:ascii="Times New Roman" w:eastAsia="Times New Roman" w:hAnsi="Times New Roman" w:cs="Times New Roman"/>
          <w:sz w:val="24"/>
          <w:szCs w:val="24"/>
        </w:rPr>
        <w:t xml:space="preserve">The media in the </w:t>
      </w:r>
      <w:r w:rsidR="002178DC" w:rsidRPr="001711BF">
        <w:rPr>
          <w:rFonts w:ascii="Times New Roman" w:eastAsia="Times New Roman" w:hAnsi="Times New Roman" w:cs="Times New Roman"/>
          <w:sz w:val="24"/>
          <w:szCs w:val="24"/>
        </w:rPr>
        <w:t>China</w:t>
      </w:r>
      <w:r w:rsidRPr="001711BF">
        <w:rPr>
          <w:rFonts w:ascii="Times New Roman" w:eastAsia="Times New Roman" w:hAnsi="Times New Roman" w:cs="Times New Roman"/>
          <w:sz w:val="24"/>
          <w:szCs w:val="24"/>
        </w:rPr>
        <w:t xml:space="preserve"> barely mentions Europe, much alone the rest of the globe, and the vast majority of </w:t>
      </w:r>
      <w:r w:rsidR="002178DC" w:rsidRPr="001711BF">
        <w:rPr>
          <w:rFonts w:ascii="Times New Roman" w:eastAsia="Times New Roman" w:hAnsi="Times New Roman" w:cs="Times New Roman"/>
          <w:sz w:val="24"/>
          <w:szCs w:val="24"/>
        </w:rPr>
        <w:t xml:space="preserve">Chinese </w:t>
      </w:r>
      <w:r w:rsidRPr="001711BF">
        <w:rPr>
          <w:rFonts w:ascii="Times New Roman" w:eastAsia="Times New Roman" w:hAnsi="Times New Roman" w:cs="Times New Roman"/>
          <w:sz w:val="24"/>
          <w:szCs w:val="24"/>
        </w:rPr>
        <w:t xml:space="preserve">are not the least bit interested in the problems that Brussels and the European Union are currently confronting (in fact, polls indicated that a majority has negative feelings toward the UN). The </w:t>
      </w:r>
      <w:r w:rsidR="002178DC" w:rsidRPr="001711BF">
        <w:rPr>
          <w:rFonts w:ascii="Times New Roman" w:eastAsia="Times New Roman" w:hAnsi="Times New Roman" w:cs="Times New Roman"/>
          <w:sz w:val="24"/>
          <w:szCs w:val="24"/>
        </w:rPr>
        <w:t>China</w:t>
      </w:r>
      <w:r w:rsidRPr="001711BF">
        <w:rPr>
          <w:rFonts w:ascii="Times New Roman" w:eastAsia="Times New Roman" w:hAnsi="Times New Roman" w:cs="Times New Roman"/>
          <w:sz w:val="24"/>
          <w:szCs w:val="24"/>
        </w:rPr>
        <w:t>, on the other hand, is a very large country</w:t>
      </w:r>
      <w:r w:rsidR="002178DC" w:rsidRPr="001711BF">
        <w:rPr>
          <w:rFonts w:ascii="Times New Roman" w:eastAsia="Times New Roman" w:hAnsi="Times New Roman" w:cs="Times New Roman"/>
          <w:sz w:val="24"/>
          <w:szCs w:val="24"/>
        </w:rPr>
        <w:t xml:space="preserve"> and has a huge population of different races.</w:t>
      </w:r>
    </w:p>
    <w:p w14:paraId="00000017" w14:textId="77777777" w:rsidR="004D3923" w:rsidRPr="00CD5D79" w:rsidRDefault="00000000" w:rsidP="001711BF">
      <w:pPr>
        <w:spacing w:line="360" w:lineRule="auto"/>
        <w:jc w:val="both"/>
        <w:rPr>
          <w:rFonts w:ascii="Times New Roman" w:eastAsia="Times New Roman" w:hAnsi="Times New Roman" w:cs="Times New Roman"/>
          <w:b/>
          <w:bCs/>
          <w:sz w:val="24"/>
          <w:szCs w:val="24"/>
        </w:rPr>
      </w:pPr>
      <w:r w:rsidRPr="00CD5D79">
        <w:rPr>
          <w:rFonts w:ascii="Times New Roman" w:eastAsia="Times New Roman" w:hAnsi="Times New Roman" w:cs="Times New Roman"/>
          <w:b/>
          <w:bCs/>
          <w:sz w:val="24"/>
          <w:szCs w:val="24"/>
        </w:rPr>
        <w:t>Hofstede’s Cultural Dimensions:</w:t>
      </w:r>
    </w:p>
    <w:p w14:paraId="00000019" w14:textId="77777777" w:rsidR="004D3923" w:rsidRPr="00CD5D79" w:rsidRDefault="00000000" w:rsidP="001711BF">
      <w:pPr>
        <w:spacing w:line="360" w:lineRule="auto"/>
        <w:jc w:val="both"/>
        <w:rPr>
          <w:rFonts w:ascii="Times New Roman" w:eastAsia="Times New Roman" w:hAnsi="Times New Roman" w:cs="Times New Roman"/>
          <w:b/>
          <w:bCs/>
          <w:sz w:val="24"/>
          <w:szCs w:val="24"/>
        </w:rPr>
      </w:pPr>
      <w:r w:rsidRPr="00CD5D79">
        <w:rPr>
          <w:rFonts w:ascii="Times New Roman" w:eastAsia="Times New Roman" w:hAnsi="Times New Roman" w:cs="Times New Roman"/>
          <w:b/>
          <w:bCs/>
          <w:sz w:val="24"/>
          <w:szCs w:val="24"/>
        </w:rPr>
        <w:t>Power distance Index:</w:t>
      </w:r>
    </w:p>
    <w:p w14:paraId="0000001B" w14:textId="3182957F" w:rsidR="004D3923" w:rsidRPr="001711BF" w:rsidRDefault="00000000" w:rsidP="001711BF">
      <w:pPr>
        <w:pStyle w:val="NormalWeb"/>
        <w:spacing w:before="0" w:beforeAutospacing="0" w:after="0" w:afterAutospacing="0" w:line="360" w:lineRule="auto"/>
        <w:jc w:val="both"/>
        <w:rPr>
          <w:color w:val="0E101A"/>
        </w:rPr>
      </w:pPr>
      <w:r w:rsidRPr="001711BF">
        <w:t>This refers to the degree of inequality that occurs between persons who have power and those who do not have authority, as well as the degree to which this inequality is tolerated</w:t>
      </w:r>
      <w:r w:rsidR="00E3346B" w:rsidRPr="001711BF">
        <w:t xml:space="preserve"> </w:t>
      </w:r>
      <w:r w:rsidR="00E3346B" w:rsidRPr="001711BF">
        <w:rPr>
          <w:color w:val="0E101A"/>
        </w:rPr>
        <w:t>(Dilep, 2019)</w:t>
      </w:r>
      <w:r w:rsidRPr="001711BF">
        <w:t>. A high PDI score suggests that people in a society recognize "their position" in the system and are willing to tolerate an unequal and hierarchical allocation of power.</w:t>
      </w:r>
    </w:p>
    <w:p w14:paraId="0000001D" w14:textId="77777777" w:rsidR="004D3923" w:rsidRPr="001711BF" w:rsidRDefault="00000000" w:rsidP="001711BF">
      <w:pPr>
        <w:spacing w:line="360" w:lineRule="auto"/>
        <w:jc w:val="both"/>
        <w:rPr>
          <w:rFonts w:ascii="Times New Roman" w:eastAsia="Times New Roman" w:hAnsi="Times New Roman" w:cs="Times New Roman"/>
          <w:sz w:val="24"/>
          <w:szCs w:val="24"/>
        </w:rPr>
      </w:pPr>
      <w:r w:rsidRPr="00CD5D79">
        <w:rPr>
          <w:rFonts w:ascii="Times New Roman" w:eastAsia="Times New Roman" w:hAnsi="Times New Roman" w:cs="Times New Roman"/>
          <w:b/>
          <w:bCs/>
          <w:sz w:val="24"/>
          <w:szCs w:val="24"/>
        </w:rPr>
        <w:t>Individualism versus Collectivism</w:t>
      </w:r>
      <w:r w:rsidRPr="001711BF">
        <w:rPr>
          <w:rFonts w:ascii="Times New Roman" w:eastAsia="Times New Roman" w:hAnsi="Times New Roman" w:cs="Times New Roman"/>
          <w:sz w:val="24"/>
          <w:szCs w:val="24"/>
        </w:rPr>
        <w:t>:</w:t>
      </w:r>
    </w:p>
    <w:p w14:paraId="0000001F" w14:textId="59BD8775" w:rsidR="004D3923" w:rsidRPr="001711BF" w:rsidRDefault="00000000" w:rsidP="001711BF">
      <w:pPr>
        <w:pStyle w:val="NormalWeb"/>
        <w:spacing w:before="0" w:beforeAutospacing="0" w:after="0" w:afterAutospacing="0" w:line="360" w:lineRule="auto"/>
        <w:jc w:val="both"/>
        <w:rPr>
          <w:color w:val="0E101A"/>
        </w:rPr>
      </w:pPr>
      <w:r w:rsidRPr="001711BF">
        <w:t>This is a reference to the depth of the connections that individuals have with one another and with those who are a part of their community. A high IDV score suggests that persons who are not part of a core "family" do not have strong interpersonal connections with one another</w:t>
      </w:r>
      <w:r w:rsidR="00311D46" w:rsidRPr="001711BF">
        <w:t xml:space="preserve"> </w:t>
      </w:r>
      <w:r w:rsidR="00311D46" w:rsidRPr="001711BF">
        <w:rPr>
          <w:color w:val="0E101A"/>
        </w:rPr>
        <w:t>(Rice, 2022)</w:t>
      </w:r>
      <w:r w:rsidRPr="001711BF">
        <w:t>. In this society, people accept less responsibility for the acts of others and the results of those actions.</w:t>
      </w:r>
    </w:p>
    <w:p w14:paraId="00000021" w14:textId="77777777" w:rsidR="004D3923" w:rsidRPr="00CD5D79" w:rsidRDefault="00000000" w:rsidP="001711BF">
      <w:pPr>
        <w:spacing w:line="360" w:lineRule="auto"/>
        <w:jc w:val="both"/>
        <w:rPr>
          <w:rFonts w:ascii="Times New Roman" w:eastAsia="Times New Roman" w:hAnsi="Times New Roman" w:cs="Times New Roman"/>
          <w:b/>
          <w:bCs/>
          <w:sz w:val="24"/>
          <w:szCs w:val="24"/>
        </w:rPr>
      </w:pPr>
      <w:r w:rsidRPr="00CD5D79">
        <w:rPr>
          <w:rFonts w:ascii="Times New Roman" w:eastAsia="Times New Roman" w:hAnsi="Times New Roman" w:cs="Times New Roman"/>
          <w:b/>
          <w:bCs/>
          <w:sz w:val="24"/>
          <w:szCs w:val="24"/>
        </w:rPr>
        <w:t>Masculinity vs Feminity</w:t>
      </w:r>
    </w:p>
    <w:p w14:paraId="00000023" w14:textId="77777777" w:rsidR="004D3923" w:rsidRPr="001711BF" w:rsidRDefault="00000000" w:rsidP="001711BF">
      <w:pPr>
        <w:spacing w:line="360" w:lineRule="auto"/>
        <w:jc w:val="both"/>
        <w:rPr>
          <w:rFonts w:ascii="Times New Roman" w:eastAsia="Times New Roman" w:hAnsi="Times New Roman" w:cs="Times New Roman"/>
          <w:sz w:val="24"/>
          <w:szCs w:val="24"/>
        </w:rPr>
      </w:pPr>
      <w:r w:rsidRPr="001711BF">
        <w:rPr>
          <w:rFonts w:ascii="Times New Roman" w:eastAsia="Times New Roman" w:hAnsi="Times New Roman" w:cs="Times New Roman"/>
          <w:sz w:val="24"/>
          <w:szCs w:val="24"/>
        </w:rPr>
        <w:t>This is a reference to the division of labor between males and females in society. In communities that are more masculine, there is less overlap between the roles that men and women play, and males are expected to behave in a dominant manner. Being able to provide evidence of your achievement, in addition to being powerful and quick, are all seen as favorable attributes.</w:t>
      </w:r>
    </w:p>
    <w:p w14:paraId="00000025" w14:textId="77777777" w:rsidR="004D3923" w:rsidRPr="00CD5D79" w:rsidRDefault="00000000" w:rsidP="001711BF">
      <w:pPr>
        <w:spacing w:line="360" w:lineRule="auto"/>
        <w:jc w:val="both"/>
        <w:rPr>
          <w:rFonts w:ascii="Times New Roman" w:eastAsia="Times New Roman" w:hAnsi="Times New Roman" w:cs="Times New Roman"/>
          <w:b/>
          <w:bCs/>
          <w:sz w:val="24"/>
          <w:szCs w:val="24"/>
        </w:rPr>
      </w:pPr>
      <w:r w:rsidRPr="00CD5D79">
        <w:rPr>
          <w:rFonts w:ascii="Times New Roman" w:eastAsia="Times New Roman" w:hAnsi="Times New Roman" w:cs="Times New Roman"/>
          <w:b/>
          <w:bCs/>
          <w:sz w:val="24"/>
          <w:szCs w:val="24"/>
        </w:rPr>
        <w:lastRenderedPageBreak/>
        <w:t>Uncertainty Avoidance Index</w:t>
      </w:r>
    </w:p>
    <w:p w14:paraId="00000026" w14:textId="77777777" w:rsidR="004D3923" w:rsidRPr="001711BF" w:rsidRDefault="004D3923" w:rsidP="001711BF">
      <w:pPr>
        <w:spacing w:line="360" w:lineRule="auto"/>
        <w:jc w:val="both"/>
        <w:rPr>
          <w:rFonts w:ascii="Times New Roman" w:eastAsia="Times New Roman" w:hAnsi="Times New Roman" w:cs="Times New Roman"/>
          <w:sz w:val="24"/>
          <w:szCs w:val="24"/>
        </w:rPr>
      </w:pPr>
    </w:p>
    <w:p w14:paraId="00000027" w14:textId="32DF3A3E" w:rsidR="004D3923" w:rsidRPr="001711BF" w:rsidRDefault="00000000" w:rsidP="001711BF">
      <w:pPr>
        <w:pStyle w:val="NormalWeb"/>
        <w:spacing w:before="0" w:beforeAutospacing="0" w:after="0" w:afterAutospacing="0" w:line="360" w:lineRule="auto"/>
        <w:jc w:val="both"/>
        <w:rPr>
          <w:color w:val="0E101A"/>
        </w:rPr>
      </w:pPr>
      <w:r w:rsidRPr="001711BF">
        <w:t>People in countries who do well on the Uncertainty Avoidance scale strive to make their lives as predictable and under their control as they possibly can</w:t>
      </w:r>
      <w:r w:rsidR="00EB6E15" w:rsidRPr="001711BF">
        <w:t xml:space="preserve"> </w:t>
      </w:r>
      <w:r w:rsidR="00EB6E15" w:rsidRPr="001711BF">
        <w:rPr>
          <w:color w:val="0E101A"/>
        </w:rPr>
        <w:t>(Huffard, 2021)</w:t>
      </w:r>
      <w:r w:rsidRPr="001711BF">
        <w:t>. They may be inclined to give up attempting to govern their own life if they discover that they cannot do so on their own. These individuals could make reference to "Manana" or say that they are putting their destinies "in the hands of God."</w:t>
      </w:r>
    </w:p>
    <w:p w14:paraId="00000028" w14:textId="77777777" w:rsidR="004D3923" w:rsidRPr="00CD5D79" w:rsidRDefault="00000000" w:rsidP="001711BF">
      <w:pPr>
        <w:spacing w:line="360" w:lineRule="auto"/>
        <w:jc w:val="both"/>
        <w:rPr>
          <w:rFonts w:ascii="Times New Roman" w:eastAsia="Times New Roman" w:hAnsi="Times New Roman" w:cs="Times New Roman"/>
          <w:b/>
          <w:bCs/>
          <w:sz w:val="24"/>
          <w:szCs w:val="24"/>
        </w:rPr>
      </w:pPr>
      <w:r w:rsidRPr="00CD5D79">
        <w:rPr>
          <w:rFonts w:ascii="Times New Roman" w:eastAsia="Times New Roman" w:hAnsi="Times New Roman" w:cs="Times New Roman"/>
          <w:b/>
          <w:bCs/>
          <w:sz w:val="24"/>
          <w:szCs w:val="24"/>
        </w:rPr>
        <w:t>Long vs Short term orientation</w:t>
      </w:r>
    </w:p>
    <w:p w14:paraId="0000002A" w14:textId="77777777" w:rsidR="004D3923" w:rsidRPr="001711BF" w:rsidRDefault="00000000" w:rsidP="001711BF">
      <w:pPr>
        <w:spacing w:line="360" w:lineRule="auto"/>
        <w:jc w:val="both"/>
        <w:rPr>
          <w:rFonts w:ascii="Times New Roman" w:eastAsia="Times New Roman" w:hAnsi="Times New Roman" w:cs="Times New Roman"/>
          <w:sz w:val="24"/>
          <w:szCs w:val="24"/>
        </w:rPr>
      </w:pPr>
      <w:r w:rsidRPr="001711BF">
        <w:rPr>
          <w:rFonts w:ascii="Times New Roman" w:eastAsia="Times New Roman" w:hAnsi="Times New Roman" w:cs="Times New Roman"/>
          <w:sz w:val="24"/>
          <w:szCs w:val="24"/>
        </w:rPr>
        <w:t>Originally, this dimension was referred to as the "Pragmatic Versus Normative (PRA)" dimension. It is a reference to the perspective on time that individuals in a culture have. Nations that focus on the long term are typically more realistic, modest, and frugal than other countries.</w:t>
      </w:r>
    </w:p>
    <w:p w14:paraId="0000002C" w14:textId="77777777" w:rsidR="004D3923" w:rsidRPr="00CD5D79" w:rsidRDefault="00000000" w:rsidP="001711BF">
      <w:pPr>
        <w:spacing w:line="360" w:lineRule="auto"/>
        <w:jc w:val="both"/>
        <w:rPr>
          <w:rFonts w:ascii="Times New Roman" w:eastAsia="Times New Roman" w:hAnsi="Times New Roman" w:cs="Times New Roman"/>
          <w:b/>
          <w:bCs/>
          <w:sz w:val="24"/>
          <w:szCs w:val="24"/>
        </w:rPr>
      </w:pPr>
      <w:r w:rsidRPr="00CD5D79">
        <w:rPr>
          <w:rFonts w:ascii="Times New Roman" w:eastAsia="Times New Roman" w:hAnsi="Times New Roman" w:cs="Times New Roman"/>
          <w:b/>
          <w:bCs/>
          <w:sz w:val="24"/>
          <w:szCs w:val="24"/>
        </w:rPr>
        <w:t>Indulgence vs Restraint</w:t>
      </w:r>
    </w:p>
    <w:p w14:paraId="0000002E" w14:textId="77777777" w:rsidR="004D3923" w:rsidRPr="001711BF" w:rsidRDefault="00000000" w:rsidP="001711BF">
      <w:pPr>
        <w:spacing w:line="360" w:lineRule="auto"/>
        <w:jc w:val="both"/>
        <w:rPr>
          <w:rFonts w:ascii="Times New Roman" w:eastAsia="Times New Roman" w:hAnsi="Times New Roman" w:cs="Times New Roman"/>
          <w:sz w:val="24"/>
          <w:szCs w:val="24"/>
        </w:rPr>
      </w:pPr>
      <w:r w:rsidRPr="001711BF">
        <w:rPr>
          <w:rFonts w:ascii="Times New Roman" w:eastAsia="Times New Roman" w:hAnsi="Times New Roman" w:cs="Times New Roman"/>
          <w:sz w:val="24"/>
          <w:szCs w:val="24"/>
        </w:rPr>
        <w:t>The sixth dimension of Hofstede's model, which was found and published in collaboration with Michael Minkov, is likewise relatively new and, as a result, is accompanied by a smaller amount of data. Countries with a high IVR score permit or promote relatively unfettered fulfillment of people's own impulses and emotions, such as enjoying life and having pleasure. This includes things like going out and having a good time.</w:t>
      </w:r>
    </w:p>
    <w:p w14:paraId="0000002F" w14:textId="77777777" w:rsidR="004D3923" w:rsidRPr="001711BF" w:rsidRDefault="004D3923" w:rsidP="001711BF">
      <w:pPr>
        <w:spacing w:line="360" w:lineRule="auto"/>
        <w:jc w:val="both"/>
        <w:rPr>
          <w:rFonts w:ascii="Times New Roman" w:eastAsia="Times New Roman" w:hAnsi="Times New Roman" w:cs="Times New Roman"/>
          <w:sz w:val="24"/>
          <w:szCs w:val="24"/>
        </w:rPr>
      </w:pPr>
    </w:p>
    <w:p w14:paraId="00000030" w14:textId="35BFD6ED" w:rsidR="004D3923" w:rsidRPr="00B43173" w:rsidRDefault="00000000" w:rsidP="00B43173">
      <w:pPr>
        <w:pStyle w:val="Heading1"/>
      </w:pPr>
      <w:bookmarkStart w:id="3" w:name="_Toc128684329"/>
      <w:r w:rsidRPr="00B43173">
        <w:t>Conclusion and Suggestive Recommendations</w:t>
      </w:r>
      <w:bookmarkEnd w:id="3"/>
    </w:p>
    <w:p w14:paraId="00000032" w14:textId="635644A9" w:rsidR="004D3923" w:rsidRPr="001711BF" w:rsidRDefault="00000000" w:rsidP="001711BF">
      <w:pPr>
        <w:spacing w:line="360" w:lineRule="auto"/>
        <w:jc w:val="both"/>
        <w:rPr>
          <w:rFonts w:ascii="Times New Roman" w:eastAsia="Times New Roman" w:hAnsi="Times New Roman" w:cs="Times New Roman"/>
          <w:sz w:val="24"/>
          <w:szCs w:val="24"/>
        </w:rPr>
      </w:pPr>
      <w:r w:rsidRPr="001711BF">
        <w:rPr>
          <w:rFonts w:ascii="Times New Roman" w:eastAsia="Times New Roman" w:hAnsi="Times New Roman" w:cs="Times New Roman"/>
          <w:sz w:val="24"/>
          <w:szCs w:val="24"/>
        </w:rPr>
        <w:t xml:space="preserve">When it comes to interpersonal connections on the job, cultural values play a significant role. When </w:t>
      </w:r>
      <w:r w:rsidR="002178DC" w:rsidRPr="001711BF">
        <w:rPr>
          <w:rFonts w:ascii="Times New Roman" w:eastAsia="Times New Roman" w:hAnsi="Times New Roman" w:cs="Times New Roman"/>
          <w:sz w:val="24"/>
          <w:szCs w:val="24"/>
        </w:rPr>
        <w:t>people</w:t>
      </w:r>
      <w:r w:rsidRPr="001711BF">
        <w:rPr>
          <w:rFonts w:ascii="Times New Roman" w:eastAsia="Times New Roman" w:hAnsi="Times New Roman" w:cs="Times New Roman"/>
          <w:sz w:val="24"/>
          <w:szCs w:val="24"/>
        </w:rPr>
        <w:t xml:space="preserve"> are raised in a particular culture, </w:t>
      </w:r>
      <w:r w:rsidR="002178DC" w:rsidRPr="001711BF">
        <w:rPr>
          <w:rFonts w:ascii="Times New Roman" w:eastAsia="Times New Roman" w:hAnsi="Times New Roman" w:cs="Times New Roman"/>
          <w:sz w:val="24"/>
          <w:szCs w:val="24"/>
        </w:rPr>
        <w:t>they</w:t>
      </w:r>
      <w:r w:rsidRPr="001711BF">
        <w:rPr>
          <w:rFonts w:ascii="Times New Roman" w:eastAsia="Times New Roman" w:hAnsi="Times New Roman" w:cs="Times New Roman"/>
          <w:sz w:val="24"/>
          <w:szCs w:val="24"/>
        </w:rPr>
        <w:t xml:space="preserve"> tend to automatically accept the social conventions that are associated with that culture. As long as </w:t>
      </w:r>
      <w:r w:rsidR="002178DC" w:rsidRPr="001711BF">
        <w:rPr>
          <w:rFonts w:ascii="Times New Roman" w:eastAsia="Times New Roman" w:hAnsi="Times New Roman" w:cs="Times New Roman"/>
          <w:sz w:val="24"/>
          <w:szCs w:val="24"/>
        </w:rPr>
        <w:t>they</w:t>
      </w:r>
      <w:r w:rsidRPr="001711BF">
        <w:rPr>
          <w:rFonts w:ascii="Times New Roman" w:eastAsia="Times New Roman" w:hAnsi="Times New Roman" w:cs="Times New Roman"/>
          <w:sz w:val="24"/>
          <w:szCs w:val="24"/>
        </w:rPr>
        <w:t xml:space="preserve"> don't stray too far from the norm of your culture in terms of your emotions, tastes, and sentiments, </w:t>
      </w:r>
      <w:r w:rsidR="002178DC" w:rsidRPr="001711BF">
        <w:rPr>
          <w:rFonts w:ascii="Times New Roman" w:eastAsia="Times New Roman" w:hAnsi="Times New Roman" w:cs="Times New Roman"/>
          <w:sz w:val="24"/>
          <w:szCs w:val="24"/>
        </w:rPr>
        <w:t>they</w:t>
      </w:r>
      <w:r w:rsidRPr="001711BF">
        <w:rPr>
          <w:rFonts w:ascii="Times New Roman" w:eastAsia="Times New Roman" w:hAnsi="Times New Roman" w:cs="Times New Roman"/>
          <w:sz w:val="24"/>
          <w:szCs w:val="24"/>
        </w:rPr>
        <w:t xml:space="preserve"> won't need to give them any thought.</w:t>
      </w:r>
    </w:p>
    <w:p w14:paraId="00000034" w14:textId="77777777" w:rsidR="004D3923" w:rsidRPr="001711BF" w:rsidRDefault="00000000" w:rsidP="001711BF">
      <w:pPr>
        <w:spacing w:line="360" w:lineRule="auto"/>
        <w:jc w:val="both"/>
        <w:rPr>
          <w:rFonts w:ascii="Times New Roman" w:eastAsia="Times New Roman" w:hAnsi="Times New Roman" w:cs="Times New Roman"/>
          <w:sz w:val="24"/>
          <w:szCs w:val="24"/>
        </w:rPr>
      </w:pPr>
      <w:r w:rsidRPr="001711BF">
        <w:rPr>
          <w:rFonts w:ascii="Times New Roman" w:eastAsia="Times New Roman" w:hAnsi="Times New Roman" w:cs="Times New Roman"/>
          <w:sz w:val="24"/>
          <w:szCs w:val="24"/>
        </w:rPr>
        <w:t>The feedback provided by guests should be actively solicited, analyzed, and used by hoteliers. It is important that hotel workers be included as a source of feedback in addition to guest customer satisfaction survey and websites that provide travel reviews. Hoteliers have a responsibility to comprehend the fundamental problems that are associated with the manner in which guests are experiencing the hotel's brands and properties, to work meticulously to improve the guest experience on a continuing process, and to take into account the cultural values of their customers.</w:t>
      </w:r>
    </w:p>
    <w:p w14:paraId="00000035" w14:textId="77777777" w:rsidR="004D3923" w:rsidRPr="001711BF" w:rsidRDefault="004D3923" w:rsidP="001711BF">
      <w:pPr>
        <w:spacing w:line="360" w:lineRule="auto"/>
        <w:jc w:val="both"/>
        <w:rPr>
          <w:rFonts w:ascii="Times New Roman" w:eastAsia="Times New Roman" w:hAnsi="Times New Roman" w:cs="Times New Roman"/>
          <w:b/>
          <w:sz w:val="24"/>
          <w:szCs w:val="24"/>
        </w:rPr>
      </w:pPr>
    </w:p>
    <w:p w14:paraId="00000036" w14:textId="77777777" w:rsidR="004D3923" w:rsidRPr="001711BF" w:rsidRDefault="004D3923" w:rsidP="001711BF">
      <w:pPr>
        <w:spacing w:line="360" w:lineRule="auto"/>
        <w:jc w:val="both"/>
        <w:rPr>
          <w:rFonts w:ascii="Times New Roman" w:eastAsia="Times New Roman" w:hAnsi="Times New Roman" w:cs="Times New Roman"/>
          <w:b/>
          <w:sz w:val="24"/>
          <w:szCs w:val="24"/>
        </w:rPr>
      </w:pPr>
    </w:p>
    <w:p w14:paraId="00000037" w14:textId="77777777" w:rsidR="004D3923" w:rsidRPr="001711BF" w:rsidRDefault="004D3923" w:rsidP="001711BF">
      <w:pPr>
        <w:spacing w:line="360" w:lineRule="auto"/>
        <w:jc w:val="both"/>
        <w:rPr>
          <w:rFonts w:ascii="Times New Roman" w:eastAsia="Times New Roman" w:hAnsi="Times New Roman" w:cs="Times New Roman"/>
          <w:sz w:val="24"/>
          <w:szCs w:val="24"/>
        </w:rPr>
      </w:pPr>
    </w:p>
    <w:p w14:paraId="71AF2BE9" w14:textId="77777777" w:rsidR="003A11E0" w:rsidRDefault="003A11E0" w:rsidP="001711BF">
      <w:pPr>
        <w:pStyle w:val="NormalWeb"/>
        <w:spacing w:before="0" w:beforeAutospacing="0" w:after="0" w:afterAutospacing="0" w:line="360" w:lineRule="auto"/>
        <w:jc w:val="both"/>
        <w:rPr>
          <w:color w:val="0E101A"/>
        </w:rPr>
      </w:pPr>
    </w:p>
    <w:p w14:paraId="41ECA357" w14:textId="77777777" w:rsidR="003A11E0" w:rsidRDefault="003A11E0" w:rsidP="001711BF">
      <w:pPr>
        <w:pStyle w:val="NormalWeb"/>
        <w:spacing w:before="0" w:beforeAutospacing="0" w:after="0" w:afterAutospacing="0" w:line="360" w:lineRule="auto"/>
        <w:jc w:val="both"/>
        <w:rPr>
          <w:color w:val="0E101A"/>
        </w:rPr>
      </w:pPr>
    </w:p>
    <w:p w14:paraId="16845525" w14:textId="68348559" w:rsidR="003A11E0" w:rsidRPr="00B43173" w:rsidRDefault="003A11E0" w:rsidP="00B43173">
      <w:pPr>
        <w:pStyle w:val="Heading1"/>
      </w:pPr>
      <w:bookmarkStart w:id="4" w:name="_Toc128684330"/>
      <w:r w:rsidRPr="00B43173">
        <w:t>Reference</w:t>
      </w:r>
      <w:bookmarkEnd w:id="4"/>
    </w:p>
    <w:p w14:paraId="2B26B65B" w14:textId="407D0061" w:rsidR="00391CB9" w:rsidRPr="001711BF" w:rsidRDefault="00391CB9" w:rsidP="001711BF">
      <w:pPr>
        <w:pStyle w:val="NormalWeb"/>
        <w:spacing w:before="0" w:beforeAutospacing="0" w:after="0" w:afterAutospacing="0" w:line="360" w:lineRule="auto"/>
        <w:jc w:val="both"/>
        <w:rPr>
          <w:color w:val="0E101A"/>
        </w:rPr>
      </w:pPr>
      <w:r w:rsidRPr="001711BF">
        <w:rPr>
          <w:color w:val="0E101A"/>
        </w:rPr>
        <w:t>Dileep, M. (2019) “The impact of tourism on indigenous communities,” </w:t>
      </w:r>
      <w:r w:rsidRPr="001711BF">
        <w:rPr>
          <w:rStyle w:val="Emphasis"/>
          <w:color w:val="0E101A"/>
        </w:rPr>
        <w:t>Tourism, Transport, and Travel Management</w:t>
      </w:r>
      <w:r w:rsidRPr="001711BF">
        <w:rPr>
          <w:color w:val="0E101A"/>
        </w:rPr>
        <w:t>. Available at: https://chailaiorchid.com/blog/the-impact-of-tourism-on-indigenous-communities-in-thailand-2/.</w:t>
      </w:r>
    </w:p>
    <w:p w14:paraId="072E81CD" w14:textId="77777777" w:rsidR="00391CB9" w:rsidRPr="001711BF" w:rsidRDefault="00391CB9" w:rsidP="001711BF">
      <w:pPr>
        <w:pStyle w:val="NormalWeb"/>
        <w:spacing w:before="0" w:beforeAutospacing="0" w:after="0" w:afterAutospacing="0" w:line="360" w:lineRule="auto"/>
        <w:jc w:val="both"/>
        <w:rPr>
          <w:color w:val="0E101A"/>
        </w:rPr>
      </w:pPr>
      <w:r w:rsidRPr="001711BF">
        <w:rPr>
          <w:color w:val="0E101A"/>
        </w:rPr>
        <w:t>Huffard, E. (2021) </w:t>
      </w:r>
      <w:r w:rsidRPr="001711BF">
        <w:rPr>
          <w:rStyle w:val="Emphasis"/>
          <w:color w:val="0E101A"/>
        </w:rPr>
        <w:t>Why is cultural awareness important?</w:t>
      </w:r>
      <w:r w:rsidRPr="001711BF">
        <w:rPr>
          <w:color w:val="0E101A"/>
        </w:rPr>
        <w:t> Newcastle: Green University Press.</w:t>
      </w:r>
    </w:p>
    <w:p w14:paraId="1E36468E" w14:textId="77777777" w:rsidR="00391CB9" w:rsidRPr="001711BF" w:rsidRDefault="00391CB9" w:rsidP="001711BF">
      <w:pPr>
        <w:pStyle w:val="NormalWeb"/>
        <w:spacing w:before="0" w:beforeAutospacing="0" w:after="0" w:afterAutospacing="0" w:line="360" w:lineRule="auto"/>
        <w:jc w:val="both"/>
        <w:rPr>
          <w:color w:val="0E101A"/>
        </w:rPr>
      </w:pPr>
      <w:r w:rsidRPr="001711BF">
        <w:rPr>
          <w:color w:val="0E101A"/>
        </w:rPr>
        <w:t>Holmes, E. (2022) </w:t>
      </w:r>
      <w:r w:rsidRPr="001711BF">
        <w:rPr>
          <w:rStyle w:val="Emphasis"/>
          <w:color w:val="0E101A"/>
        </w:rPr>
        <w:t>Culture and Customs</w:t>
      </w:r>
      <w:r w:rsidRPr="001711BF">
        <w:rPr>
          <w:color w:val="0E101A"/>
        </w:rPr>
        <w:t>. Brighton: Star Publication.</w:t>
      </w:r>
    </w:p>
    <w:p w14:paraId="233D6817" w14:textId="77777777" w:rsidR="00391CB9" w:rsidRPr="001711BF" w:rsidRDefault="00391CB9" w:rsidP="001711BF">
      <w:pPr>
        <w:pStyle w:val="NormalWeb"/>
        <w:spacing w:before="0" w:beforeAutospacing="0" w:after="0" w:afterAutospacing="0" w:line="360" w:lineRule="auto"/>
        <w:jc w:val="both"/>
        <w:rPr>
          <w:color w:val="0E101A"/>
        </w:rPr>
      </w:pPr>
      <w:r w:rsidRPr="001711BF">
        <w:rPr>
          <w:color w:val="0E101A"/>
        </w:rPr>
        <w:t>James, R. (2020) </w:t>
      </w:r>
      <w:r w:rsidRPr="001711BF">
        <w:rPr>
          <w:rStyle w:val="Emphasis"/>
          <w:color w:val="0E101A"/>
        </w:rPr>
        <w:t>10 basic requirements to meet your hotel guest needs - hotel and lodging</w:t>
      </w:r>
      <w:r w:rsidRPr="001711BF">
        <w:rPr>
          <w:color w:val="0E101A"/>
        </w:rPr>
        <w:t>, Available at: https://texaslodging.com/10-basic-requirements-to-meet-your-hotel-guest-needs/ (Accessed: March 2, 2023).</w:t>
      </w:r>
    </w:p>
    <w:p w14:paraId="05CEFE2B" w14:textId="77777777" w:rsidR="00391CB9" w:rsidRPr="001711BF" w:rsidRDefault="00391CB9" w:rsidP="001711BF">
      <w:pPr>
        <w:pStyle w:val="NormalWeb"/>
        <w:spacing w:before="0" w:beforeAutospacing="0" w:after="0" w:afterAutospacing="0" w:line="360" w:lineRule="auto"/>
        <w:jc w:val="both"/>
        <w:rPr>
          <w:color w:val="0E101A"/>
        </w:rPr>
      </w:pPr>
      <w:r w:rsidRPr="001711BF">
        <w:rPr>
          <w:color w:val="0E101A"/>
        </w:rPr>
        <w:t>Rice, C. (2022) “Understanding customer behaviour,” </w:t>
      </w:r>
      <w:r w:rsidRPr="001711BF">
        <w:rPr>
          <w:rStyle w:val="Emphasis"/>
          <w:color w:val="0E101A"/>
        </w:rPr>
        <w:t>Understanding consumer behavior: how to influence the decision-making process</w:t>
      </w:r>
      <w:r w:rsidRPr="001711BF">
        <w:rPr>
          <w:color w:val="0E101A"/>
        </w:rPr>
        <w:t>. Available at: https://hospitalityinsights.ehl.edu/understanding-consumer-behavior.</w:t>
      </w:r>
    </w:p>
    <w:p w14:paraId="70F979DB" w14:textId="77777777" w:rsidR="00391CB9" w:rsidRPr="001711BF" w:rsidRDefault="00391CB9" w:rsidP="001711BF">
      <w:pPr>
        <w:pStyle w:val="NormalWeb"/>
        <w:spacing w:before="0" w:beforeAutospacing="0" w:after="0" w:afterAutospacing="0" w:line="360" w:lineRule="auto"/>
        <w:jc w:val="both"/>
        <w:rPr>
          <w:color w:val="0E101A"/>
        </w:rPr>
      </w:pPr>
      <w:r w:rsidRPr="001711BF">
        <w:rPr>
          <w:color w:val="0E101A"/>
        </w:rPr>
        <w:t>Tao, T. (2019) </w:t>
      </w:r>
      <w:r w:rsidRPr="001711BF">
        <w:rPr>
          <w:rStyle w:val="Emphasis"/>
          <w:color w:val="0E101A"/>
        </w:rPr>
        <w:t>Tourism as a livelihood strategy in indigenous communities</w:t>
      </w:r>
      <w:r w:rsidRPr="001711BF">
        <w:rPr>
          <w:color w:val="0E101A"/>
        </w:rPr>
        <w:t>. Liverpool: Sage Publication.</w:t>
      </w:r>
    </w:p>
    <w:p w14:paraId="00000038" w14:textId="77777777" w:rsidR="004D3923" w:rsidRPr="001711BF" w:rsidRDefault="004D3923" w:rsidP="001711BF">
      <w:pPr>
        <w:spacing w:line="360" w:lineRule="auto"/>
        <w:jc w:val="both"/>
        <w:rPr>
          <w:rFonts w:ascii="Times New Roman" w:eastAsia="Times New Roman" w:hAnsi="Times New Roman" w:cs="Times New Roman"/>
          <w:sz w:val="24"/>
          <w:szCs w:val="24"/>
        </w:rPr>
      </w:pPr>
    </w:p>
    <w:sectPr w:rsidR="004D3923" w:rsidRPr="001711BF">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3923"/>
    <w:rsid w:val="000B774A"/>
    <w:rsid w:val="001711BF"/>
    <w:rsid w:val="002178DC"/>
    <w:rsid w:val="002A283E"/>
    <w:rsid w:val="002A57F5"/>
    <w:rsid w:val="00311D46"/>
    <w:rsid w:val="00391CB9"/>
    <w:rsid w:val="003A11E0"/>
    <w:rsid w:val="004D3923"/>
    <w:rsid w:val="006103A9"/>
    <w:rsid w:val="006A61D9"/>
    <w:rsid w:val="006F6644"/>
    <w:rsid w:val="00A52239"/>
    <w:rsid w:val="00AA1642"/>
    <w:rsid w:val="00AF245F"/>
    <w:rsid w:val="00B43173"/>
    <w:rsid w:val="00B85D68"/>
    <w:rsid w:val="00BC28E3"/>
    <w:rsid w:val="00CD5D79"/>
    <w:rsid w:val="00E3346B"/>
    <w:rsid w:val="00E84461"/>
    <w:rsid w:val="00EB6E15"/>
    <w:rsid w:val="00ED1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07781"/>
  <w15:docId w15:val="{C98A4A2B-AF7F-4E90-821A-C2FCA3A80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43173"/>
    <w:pPr>
      <w:keepNext/>
      <w:keepLines/>
      <w:spacing w:before="400" w:after="120"/>
      <w:outlineLvl w:val="0"/>
    </w:pPr>
    <w:rPr>
      <w:rFonts w:ascii="Times New Roman" w:hAnsi="Times New Roman"/>
      <w:b/>
      <w:sz w:val="32"/>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391CB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91CB9"/>
    <w:rPr>
      <w:i/>
      <w:iCs/>
    </w:rPr>
  </w:style>
  <w:style w:type="paragraph" w:styleId="TOCHeading">
    <w:name w:val="TOC Heading"/>
    <w:basedOn w:val="Heading1"/>
    <w:next w:val="Normal"/>
    <w:uiPriority w:val="39"/>
    <w:unhideWhenUsed/>
    <w:qFormat/>
    <w:rsid w:val="00B43173"/>
    <w:pPr>
      <w:spacing w:before="240" w:after="0" w:line="259" w:lineRule="auto"/>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B43173"/>
    <w:pPr>
      <w:spacing w:after="100"/>
    </w:pPr>
  </w:style>
  <w:style w:type="character" w:styleId="Hyperlink">
    <w:name w:val="Hyperlink"/>
    <w:basedOn w:val="DefaultParagraphFont"/>
    <w:uiPriority w:val="99"/>
    <w:unhideWhenUsed/>
    <w:rsid w:val="00B4317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8775B-4EE4-4856-99A9-24F4BEC5F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6</Pages>
  <Words>1272</Words>
  <Characters>7256</Characters>
  <Application>Microsoft Office Word</Application>
  <DocSecurity>0</DocSecurity>
  <Lines>60</Lines>
  <Paragraphs>17</Paragraphs>
  <ScaleCrop>false</ScaleCrop>
  <Company/>
  <LinksUpToDate>false</LinksUpToDate>
  <CharactersWithSpaces>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lastModifiedBy>
  <cp:revision>23</cp:revision>
  <dcterms:created xsi:type="dcterms:W3CDTF">2023-03-02T14:54:00Z</dcterms:created>
  <dcterms:modified xsi:type="dcterms:W3CDTF">2023-03-02T15:31:00Z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d76a3d3a762f452eed4d7531b6eec3a67d697bd09b111bbb8958a2017d2979fa</vt:lpwstr>
  </property>
</Properties>
</file>