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bookmarkStart w:id="0" w:name="_Hlk179192431"/>
      <w:bookmarkEnd w:id="0"/>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E950D9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86A91">
              <w:rPr>
                <w:rFonts w:ascii="Times New Roman" w:hAnsi="Times New Roman" w:cs="Times New Roman"/>
                <w:b/>
                <w:color w:val="auto"/>
                <w:sz w:val="48"/>
              </w:rPr>
              <w:t>Ellie Cleaton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8A7DA9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A2243">
              <w:rPr>
                <w:rFonts w:ascii="Times New Roman" w:hAnsi="Times New Roman" w:cs="Times New Roman"/>
                <w:b/>
                <w:color w:val="auto"/>
                <w:sz w:val="48"/>
              </w:rPr>
              <w:t xml:space="preserve"> 1402352@student.uwtsd.ac.uk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7B4D0E73" w14:textId="6E09371A" w:rsidR="007727F1" w:rsidRPr="005D3F07" w:rsidRDefault="007727F1"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1402352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512D998F"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Bogo, M., Regehr, C., Baird, S., Paterson, J. and LeBlanc, V.R. (2017) ‘Cognitive and affective elements of practice confidence in social work students and practitioners’, </w:t>
      </w:r>
      <w:r w:rsidRPr="00AC54AA">
        <w:rPr>
          <w:rFonts w:eastAsia="Aptos"/>
          <w:i/>
          <w:iCs/>
          <w:color w:val="auto"/>
          <w:kern w:val="2"/>
          <w:sz w:val="24"/>
          <w:szCs w:val="24"/>
          <w:lang w:eastAsia="en-US"/>
          <w14:ligatures w14:val="standardContextual"/>
        </w:rPr>
        <w:t>British Journal of Social Work</w:t>
      </w:r>
      <w:r w:rsidRPr="00AC54AA">
        <w:rPr>
          <w:rFonts w:eastAsia="Aptos"/>
          <w:color w:val="auto"/>
          <w:kern w:val="2"/>
          <w:sz w:val="24"/>
          <w:szCs w:val="24"/>
          <w:lang w:eastAsia="en-US"/>
          <w14:ligatures w14:val="standardContextual"/>
        </w:rPr>
        <w:t xml:space="preserve">, 47(3), pp.701-718. Available at: </w:t>
      </w:r>
      <w:hyperlink r:id="rId11" w:tgtFrame="_new" w:history="1">
        <w:r w:rsidRPr="00AC54AA">
          <w:rPr>
            <w:rFonts w:eastAsia="Aptos"/>
            <w:color w:val="467886"/>
            <w:kern w:val="2"/>
            <w:sz w:val="24"/>
            <w:szCs w:val="24"/>
            <w:u w:val="single"/>
            <w:lang w:eastAsia="en-US"/>
            <w14:ligatures w14:val="standardContextual"/>
          </w:rPr>
          <w:t>https://doi.org/10.1093/bjsw/bcw026</w:t>
        </w:r>
      </w:hyperlink>
    </w:p>
    <w:p w14:paraId="5D68E1BB"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Borton, T. (1970) </w:t>
      </w:r>
      <w:r w:rsidRPr="00AC54AA">
        <w:rPr>
          <w:rFonts w:eastAsia="Aptos"/>
          <w:i/>
          <w:iCs/>
          <w:color w:val="auto"/>
          <w:kern w:val="2"/>
          <w:sz w:val="24"/>
          <w:szCs w:val="24"/>
          <w:lang w:eastAsia="en-US"/>
          <w14:ligatures w14:val="standardContextual"/>
        </w:rPr>
        <w:t>Reach, touch and teach</w:t>
      </w:r>
      <w:r w:rsidRPr="00AC54AA">
        <w:rPr>
          <w:rFonts w:eastAsia="Aptos"/>
          <w:color w:val="auto"/>
          <w:kern w:val="2"/>
          <w:sz w:val="24"/>
          <w:szCs w:val="24"/>
          <w:lang w:eastAsia="en-US"/>
          <w14:ligatures w14:val="standardContextual"/>
        </w:rPr>
        <w:t>. London: Hutchinson.</w:t>
      </w:r>
    </w:p>
    <w:p w14:paraId="1BA8BA86"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British Association of Social Workers (2018) </w:t>
      </w:r>
      <w:r w:rsidRPr="00AC54AA">
        <w:rPr>
          <w:rFonts w:eastAsia="Aptos"/>
          <w:i/>
          <w:iCs/>
          <w:color w:val="auto"/>
          <w:kern w:val="2"/>
          <w:sz w:val="24"/>
          <w:szCs w:val="24"/>
          <w:lang w:eastAsia="en-US"/>
          <w14:ligatures w14:val="standardContextual"/>
        </w:rPr>
        <w:t>Signs of Safety: Findings from a mixed-methods systematic review focused on reducing the need for children to be in care</w:t>
      </w:r>
      <w:r w:rsidRPr="00AC54AA">
        <w:rPr>
          <w:rFonts w:eastAsia="Aptos"/>
          <w:color w:val="auto"/>
          <w:kern w:val="2"/>
          <w:sz w:val="24"/>
          <w:szCs w:val="24"/>
          <w:lang w:eastAsia="en-US"/>
          <w14:ligatures w14:val="standardContextual"/>
        </w:rPr>
        <w:t xml:space="preserve">. Available at: </w:t>
      </w:r>
      <w:hyperlink r:id="rId12" w:tgtFrame="_new" w:history="1">
        <w:r w:rsidRPr="00AC54AA">
          <w:rPr>
            <w:rFonts w:eastAsia="Aptos"/>
            <w:color w:val="467886"/>
            <w:kern w:val="2"/>
            <w:sz w:val="24"/>
            <w:szCs w:val="24"/>
            <w:u w:val="single"/>
            <w:lang w:eastAsia="en-US"/>
            <w14:ligatures w14:val="standardContextual"/>
          </w:rPr>
          <w:t>https://basw.co.uk/sites/default/files/resources/SoS_systematic_review_GD_Edit_v3.pdf</w:t>
        </w:r>
      </w:hyperlink>
      <w:r w:rsidRPr="00AC54AA">
        <w:rPr>
          <w:rFonts w:eastAsia="Aptos"/>
          <w:color w:val="auto"/>
          <w:kern w:val="2"/>
          <w:sz w:val="24"/>
          <w:szCs w:val="24"/>
          <w:lang w:eastAsia="en-US"/>
          <w14:ligatures w14:val="standardContextual"/>
        </w:rPr>
        <w:t xml:space="preserve"> (Accessed 19 September 2024).</w:t>
      </w:r>
    </w:p>
    <w:p w14:paraId="33085643"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i/>
          <w:iCs/>
          <w:color w:val="auto"/>
          <w:kern w:val="2"/>
          <w:sz w:val="24"/>
          <w:szCs w:val="24"/>
          <w:lang w:eastAsia="en-US"/>
          <w14:ligatures w14:val="standardContextual"/>
        </w:rPr>
        <w:t>Care Act 2014</w:t>
      </w:r>
      <w:r w:rsidRPr="00AC54AA">
        <w:rPr>
          <w:rFonts w:eastAsia="Aptos"/>
          <w:color w:val="auto"/>
          <w:kern w:val="2"/>
          <w:sz w:val="24"/>
          <w:szCs w:val="24"/>
          <w:lang w:eastAsia="en-US"/>
          <w14:ligatures w14:val="standardContextual"/>
        </w:rPr>
        <w:t xml:space="preserve">. Available at: </w:t>
      </w:r>
      <w:hyperlink r:id="rId13" w:tgtFrame="_new" w:history="1">
        <w:r w:rsidRPr="00AC54AA">
          <w:rPr>
            <w:rFonts w:eastAsia="Aptos"/>
            <w:color w:val="467886"/>
            <w:kern w:val="2"/>
            <w:sz w:val="24"/>
            <w:szCs w:val="24"/>
            <w:u w:val="single"/>
            <w:lang w:eastAsia="en-US"/>
            <w14:ligatures w14:val="standardContextual"/>
          </w:rPr>
          <w:t>https://www.legislation.gov.uk/ukpga/2014/23/contents</w:t>
        </w:r>
      </w:hyperlink>
    </w:p>
    <w:p w14:paraId="61E208ED"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Department of Health and Social Care (2019) </w:t>
      </w:r>
      <w:r w:rsidRPr="00AC54AA">
        <w:rPr>
          <w:rFonts w:eastAsia="Aptos"/>
          <w:i/>
          <w:iCs/>
          <w:color w:val="auto"/>
          <w:kern w:val="2"/>
          <w:sz w:val="24"/>
          <w:szCs w:val="24"/>
          <w:lang w:eastAsia="en-US"/>
          <w14:ligatures w14:val="standardContextual"/>
        </w:rPr>
        <w:t>Strengths-based approach: Practice Framework and Practice Handbook</w:t>
      </w:r>
      <w:r w:rsidRPr="00AC54AA">
        <w:rPr>
          <w:rFonts w:eastAsia="Aptos"/>
          <w:color w:val="auto"/>
          <w:kern w:val="2"/>
          <w:sz w:val="24"/>
          <w:szCs w:val="24"/>
          <w:lang w:eastAsia="en-US"/>
          <w14:ligatures w14:val="standardContextual"/>
        </w:rPr>
        <w:t xml:space="preserve">. Available at: </w:t>
      </w:r>
      <w:hyperlink r:id="rId14" w:tgtFrame="_new" w:history="1">
        <w:r w:rsidRPr="00AC54AA">
          <w:rPr>
            <w:rFonts w:eastAsia="Aptos"/>
            <w:color w:val="467886"/>
            <w:kern w:val="2"/>
            <w:sz w:val="24"/>
            <w:szCs w:val="24"/>
            <w:u w:val="single"/>
            <w:lang w:eastAsia="en-US"/>
            <w14:ligatures w14:val="standardContextual"/>
          </w:rPr>
          <w:t>https://assets.publishing.service.gov.uk/media/5c62ae87ed915d04446a5739/stengths-based-approach-practice-framework-and-handbook.pdf</w:t>
        </w:r>
      </w:hyperlink>
      <w:r w:rsidRPr="00AC54AA">
        <w:rPr>
          <w:rFonts w:eastAsia="Aptos"/>
          <w:color w:val="auto"/>
          <w:kern w:val="2"/>
          <w:sz w:val="24"/>
          <w:szCs w:val="24"/>
          <w:lang w:eastAsia="en-US"/>
          <w14:ligatures w14:val="standardContextual"/>
        </w:rPr>
        <w:t xml:space="preserve"> (Accessed 15 September 2024).</w:t>
      </w:r>
    </w:p>
    <w:p w14:paraId="377D5BF7"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De Shazer, S. (1994). </w:t>
      </w:r>
      <w:r w:rsidRPr="00AC54AA">
        <w:rPr>
          <w:rFonts w:eastAsia="Aptos"/>
          <w:i/>
          <w:iCs/>
          <w:color w:val="auto"/>
          <w:kern w:val="2"/>
          <w:sz w:val="24"/>
          <w:szCs w:val="24"/>
          <w:lang w:eastAsia="en-US"/>
          <w14:ligatures w14:val="standardContextual"/>
        </w:rPr>
        <w:t>Words Were Originally Magic</w:t>
      </w:r>
      <w:r w:rsidRPr="00AC54AA">
        <w:rPr>
          <w:rFonts w:eastAsia="Aptos"/>
          <w:color w:val="auto"/>
          <w:kern w:val="2"/>
          <w:sz w:val="24"/>
          <w:szCs w:val="24"/>
          <w:lang w:eastAsia="en-US"/>
          <w14:ligatures w14:val="standardContextual"/>
        </w:rPr>
        <w:t>. New York: Norton.</w:t>
      </w:r>
    </w:p>
    <w:p w14:paraId="5F3DF3D6"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Ekman, I., Britten, N., Bordin, J., </w:t>
      </w:r>
      <w:proofErr w:type="spellStart"/>
      <w:r w:rsidRPr="00AC54AA">
        <w:rPr>
          <w:rFonts w:eastAsia="Aptos"/>
          <w:color w:val="auto"/>
          <w:kern w:val="2"/>
          <w:sz w:val="24"/>
          <w:szCs w:val="24"/>
          <w:lang w:eastAsia="en-US"/>
          <w14:ligatures w14:val="standardContextual"/>
        </w:rPr>
        <w:t>Codagnone</w:t>
      </w:r>
      <w:proofErr w:type="spellEnd"/>
      <w:r w:rsidRPr="00AC54AA">
        <w:rPr>
          <w:rFonts w:eastAsia="Aptos"/>
          <w:color w:val="auto"/>
          <w:kern w:val="2"/>
          <w:sz w:val="24"/>
          <w:szCs w:val="24"/>
          <w:lang w:eastAsia="en-US"/>
          <w14:ligatures w14:val="standardContextual"/>
        </w:rPr>
        <w:t xml:space="preserve">, C., Eden, S., Forslund, D., Fredman, P., Grip, L., Hedman, H., </w:t>
      </w:r>
      <w:proofErr w:type="spellStart"/>
      <w:r w:rsidRPr="00AC54AA">
        <w:rPr>
          <w:rFonts w:eastAsia="Aptos"/>
          <w:color w:val="auto"/>
          <w:kern w:val="2"/>
          <w:sz w:val="24"/>
          <w:szCs w:val="24"/>
          <w:lang w:eastAsia="en-US"/>
          <w14:ligatures w14:val="standardContextual"/>
        </w:rPr>
        <w:t>Hesselbom</w:t>
      </w:r>
      <w:proofErr w:type="spellEnd"/>
      <w:r w:rsidRPr="00AC54AA">
        <w:rPr>
          <w:rFonts w:eastAsia="Aptos"/>
          <w:color w:val="auto"/>
          <w:kern w:val="2"/>
          <w:sz w:val="24"/>
          <w:szCs w:val="24"/>
          <w:lang w:eastAsia="en-US"/>
          <w14:ligatures w14:val="standardContextual"/>
        </w:rPr>
        <w:t xml:space="preserve">, T. and Hard, I. (2013) ‘The person-centred approach to an ageing society’, </w:t>
      </w:r>
      <w:r w:rsidRPr="00AC54AA">
        <w:rPr>
          <w:rFonts w:eastAsia="Aptos"/>
          <w:i/>
          <w:iCs/>
          <w:color w:val="auto"/>
          <w:kern w:val="2"/>
          <w:sz w:val="24"/>
          <w:szCs w:val="24"/>
          <w:lang w:eastAsia="en-US"/>
          <w14:ligatures w14:val="standardContextual"/>
        </w:rPr>
        <w:t xml:space="preserve">European Journal for Person </w:t>
      </w:r>
      <w:proofErr w:type="spellStart"/>
      <w:r w:rsidRPr="00AC54AA">
        <w:rPr>
          <w:rFonts w:eastAsia="Aptos"/>
          <w:i/>
          <w:iCs/>
          <w:color w:val="auto"/>
          <w:kern w:val="2"/>
          <w:sz w:val="24"/>
          <w:szCs w:val="24"/>
          <w:lang w:eastAsia="en-US"/>
          <w14:ligatures w14:val="standardContextual"/>
        </w:rPr>
        <w:t>Centered</w:t>
      </w:r>
      <w:proofErr w:type="spellEnd"/>
      <w:r w:rsidRPr="00AC54AA">
        <w:rPr>
          <w:rFonts w:eastAsia="Aptos"/>
          <w:i/>
          <w:iCs/>
          <w:color w:val="auto"/>
          <w:kern w:val="2"/>
          <w:sz w:val="24"/>
          <w:szCs w:val="24"/>
          <w:lang w:eastAsia="en-US"/>
          <w14:ligatures w14:val="standardContextual"/>
        </w:rPr>
        <w:t xml:space="preserve"> Healthcare</w:t>
      </w:r>
      <w:r w:rsidRPr="00AC54AA">
        <w:rPr>
          <w:rFonts w:eastAsia="Aptos"/>
          <w:color w:val="auto"/>
          <w:kern w:val="2"/>
          <w:sz w:val="24"/>
          <w:szCs w:val="24"/>
          <w:lang w:eastAsia="en-US"/>
          <w14:ligatures w14:val="standardContextual"/>
        </w:rPr>
        <w:t>, 1(1), pp.132-137. Available at: dx.doi.org/10.5750/</w:t>
      </w:r>
      <w:proofErr w:type="gramStart"/>
      <w:r w:rsidRPr="00AC54AA">
        <w:rPr>
          <w:rFonts w:eastAsia="Aptos"/>
          <w:color w:val="auto"/>
          <w:kern w:val="2"/>
          <w:sz w:val="24"/>
          <w:szCs w:val="24"/>
          <w:lang w:eastAsia="en-US"/>
          <w14:ligatures w14:val="standardContextual"/>
        </w:rPr>
        <w:t>ejpch.v</w:t>
      </w:r>
      <w:proofErr w:type="gramEnd"/>
      <w:r w:rsidRPr="00AC54AA">
        <w:rPr>
          <w:rFonts w:eastAsia="Aptos"/>
          <w:color w:val="auto"/>
          <w:kern w:val="2"/>
          <w:sz w:val="24"/>
          <w:szCs w:val="24"/>
          <w:lang w:eastAsia="en-US"/>
          <w14:ligatures w14:val="standardContextual"/>
        </w:rPr>
        <w:t>1i1.644</w:t>
      </w:r>
    </w:p>
    <w:p w14:paraId="66C0422A"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Frost, N., Robinson, M. and Anning, A. (2005) ‘Social workers in multidisciplinary teams: issues and dilemmas for professional practice’, </w:t>
      </w:r>
      <w:r w:rsidRPr="00AC54AA">
        <w:rPr>
          <w:rFonts w:eastAsia="Aptos"/>
          <w:i/>
          <w:iCs/>
          <w:color w:val="auto"/>
          <w:kern w:val="2"/>
          <w:sz w:val="24"/>
          <w:szCs w:val="24"/>
          <w:lang w:eastAsia="en-US"/>
          <w14:ligatures w14:val="standardContextual"/>
        </w:rPr>
        <w:t>Child &amp; Family Social Work</w:t>
      </w:r>
      <w:r w:rsidRPr="00AC54AA">
        <w:rPr>
          <w:rFonts w:eastAsia="Aptos"/>
          <w:color w:val="auto"/>
          <w:kern w:val="2"/>
          <w:sz w:val="24"/>
          <w:szCs w:val="24"/>
          <w:lang w:eastAsia="en-US"/>
          <w14:ligatures w14:val="standardContextual"/>
        </w:rPr>
        <w:t xml:space="preserve">, 10(3), pp.187-196. Available at: </w:t>
      </w:r>
      <w:hyperlink r:id="rId15" w:tgtFrame="_new" w:history="1">
        <w:r w:rsidRPr="00AC54AA">
          <w:rPr>
            <w:rFonts w:eastAsia="Aptos"/>
            <w:color w:val="467886"/>
            <w:kern w:val="2"/>
            <w:sz w:val="24"/>
            <w:szCs w:val="24"/>
            <w:u w:val="single"/>
            <w:lang w:eastAsia="en-US"/>
            <w14:ligatures w14:val="standardContextual"/>
          </w:rPr>
          <w:t>https://doi.org/10.1111/j.1365-2206.2005.00370.x</w:t>
        </w:r>
      </w:hyperlink>
    </w:p>
    <w:p w14:paraId="78B734E6"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Harms Smiths, L., Martinez-Herrero, M.-I., Arnell, P., Bolger, J., Butler-Warke, A., Cook, W., Downey, M., Farmer, N., Nicholls, J., &amp; Mac Dermott, D. (2019) ‘Social Work and Human Rights: A Practice Guide’, </w:t>
      </w:r>
      <w:r w:rsidRPr="00AC54AA">
        <w:rPr>
          <w:rFonts w:eastAsia="Aptos"/>
          <w:i/>
          <w:iCs/>
          <w:color w:val="auto"/>
          <w:kern w:val="2"/>
          <w:sz w:val="24"/>
          <w:szCs w:val="24"/>
          <w:lang w:eastAsia="en-US"/>
          <w14:ligatures w14:val="standardContextual"/>
        </w:rPr>
        <w:t>British Association of Social Workers</w:t>
      </w:r>
      <w:r w:rsidRPr="00AC54AA">
        <w:rPr>
          <w:rFonts w:eastAsia="Aptos"/>
          <w:color w:val="auto"/>
          <w:kern w:val="2"/>
          <w:sz w:val="24"/>
          <w:szCs w:val="24"/>
          <w:lang w:eastAsia="en-US"/>
          <w14:ligatures w14:val="standardContextual"/>
        </w:rPr>
        <w:t xml:space="preserve">. Available at: </w:t>
      </w:r>
      <w:hyperlink r:id="rId16" w:anchor=":~:text=Harms.%20Smiths,%20L.,%20Martinez-Herrero,%20M.-I.,%20Arnell,%20P.,%20Bolger,%20J" w:tgtFrame="_new" w:history="1">
        <w:r w:rsidRPr="00AC54AA">
          <w:rPr>
            <w:rFonts w:eastAsia="Aptos"/>
            <w:color w:val="467886"/>
            <w:kern w:val="2"/>
            <w:sz w:val="24"/>
            <w:szCs w:val="24"/>
            <w:u w:val="single"/>
            <w:lang w:eastAsia="en-US"/>
            <w14:ligatures w14:val="standardContextual"/>
          </w:rPr>
          <w:t>https://pure.ulster.ac.uk/ws/portalfiles/portal/77911585/Social_Work_and_Human_Rights_A_Practice_Guide_0.pdf#:~:text=Harms.%20Smiths,%20L.,%20Martinez-Herrero,%20M.-I.,%20Arnell,%20P.,%20Bolger,%20J</w:t>
        </w:r>
      </w:hyperlink>
      <w:r w:rsidRPr="00AC54AA">
        <w:rPr>
          <w:rFonts w:eastAsia="Aptos"/>
          <w:color w:val="auto"/>
          <w:kern w:val="2"/>
          <w:sz w:val="24"/>
          <w:szCs w:val="24"/>
          <w:lang w:eastAsia="en-US"/>
          <w14:ligatures w14:val="standardContextual"/>
        </w:rPr>
        <w:t>., (Accessed 19 September 2024).</w:t>
      </w:r>
    </w:p>
    <w:p w14:paraId="27754E1F"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Hall, B. and Scragg, T. (2012) </w:t>
      </w:r>
      <w:r w:rsidRPr="00AC54AA">
        <w:rPr>
          <w:rFonts w:eastAsia="Aptos"/>
          <w:i/>
          <w:iCs/>
          <w:color w:val="auto"/>
          <w:kern w:val="2"/>
          <w:sz w:val="24"/>
          <w:szCs w:val="24"/>
          <w:lang w:eastAsia="en-US"/>
          <w14:ligatures w14:val="standardContextual"/>
        </w:rPr>
        <w:t>Social work with older people: Approaches to person-centred practice</w:t>
      </w:r>
      <w:r w:rsidRPr="00AC54AA">
        <w:rPr>
          <w:rFonts w:eastAsia="Aptos"/>
          <w:color w:val="auto"/>
          <w:kern w:val="2"/>
          <w:sz w:val="24"/>
          <w:szCs w:val="24"/>
          <w:lang w:eastAsia="en-US"/>
          <w14:ligatures w14:val="standardContextual"/>
        </w:rPr>
        <w:t>. Maidenhead: Open University Press.</w:t>
      </w:r>
    </w:p>
    <w:p w14:paraId="5A42CAC2"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Howe, D. (2009) </w:t>
      </w:r>
      <w:r w:rsidRPr="00AC54AA">
        <w:rPr>
          <w:rFonts w:eastAsia="Aptos"/>
          <w:i/>
          <w:iCs/>
          <w:color w:val="auto"/>
          <w:kern w:val="2"/>
          <w:sz w:val="24"/>
          <w:szCs w:val="24"/>
          <w:lang w:eastAsia="en-US"/>
          <w14:ligatures w14:val="standardContextual"/>
        </w:rPr>
        <w:t>A brief introduction to social work</w:t>
      </w:r>
      <w:r w:rsidRPr="00AC54AA">
        <w:rPr>
          <w:rFonts w:eastAsia="Aptos"/>
          <w:color w:val="auto"/>
          <w:kern w:val="2"/>
          <w:sz w:val="24"/>
          <w:szCs w:val="24"/>
          <w:lang w:eastAsia="en-US"/>
          <w14:ligatures w14:val="standardContextual"/>
        </w:rPr>
        <w:t>. Basingstoke: Palgrave.</w:t>
      </w:r>
    </w:p>
    <w:p w14:paraId="4F6969F7"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i/>
          <w:iCs/>
          <w:color w:val="auto"/>
          <w:kern w:val="2"/>
          <w:sz w:val="24"/>
          <w:szCs w:val="24"/>
          <w:lang w:eastAsia="en-US"/>
          <w14:ligatures w14:val="standardContextual"/>
        </w:rPr>
        <w:t>Human Rights Act 1998</w:t>
      </w:r>
      <w:r w:rsidRPr="00AC54AA">
        <w:rPr>
          <w:rFonts w:eastAsia="Aptos"/>
          <w:color w:val="auto"/>
          <w:kern w:val="2"/>
          <w:sz w:val="24"/>
          <w:szCs w:val="24"/>
          <w:lang w:eastAsia="en-US"/>
          <w14:ligatures w14:val="standardContextual"/>
        </w:rPr>
        <w:t xml:space="preserve">. Available at: </w:t>
      </w:r>
      <w:hyperlink r:id="rId17" w:anchor=":~:text=Everyone%20has%20the%20right%20to%20freedom%20of%20thought,#:~:text=Everyone%20has%20the%20right%20to%20freedom%20of%20thought" w:tgtFrame="_new" w:history="1">
        <w:r w:rsidRPr="00AC54AA">
          <w:rPr>
            <w:rFonts w:eastAsia="Aptos"/>
            <w:color w:val="467886"/>
            <w:kern w:val="2"/>
            <w:sz w:val="24"/>
            <w:szCs w:val="24"/>
            <w:u w:val="single"/>
            <w:lang w:eastAsia="en-US"/>
            <w14:ligatures w14:val="standardContextual"/>
          </w:rPr>
          <w:t>https://www.legislation.gov.uk/ukpga/1998/42/schedule/1#:~:text=Everyone%20has%20the%20right%20to%20freedom%20of%20thought,#:~:text=Everyone%20has%20the%20right%20to%20freedom%20of%20thought</w:t>
        </w:r>
      </w:hyperlink>
      <w:r w:rsidRPr="00AC54AA">
        <w:rPr>
          <w:rFonts w:eastAsia="Aptos"/>
          <w:color w:val="auto"/>
          <w:kern w:val="2"/>
          <w:sz w:val="24"/>
          <w:szCs w:val="24"/>
          <w:lang w:eastAsia="en-US"/>
          <w14:ligatures w14:val="standardContextual"/>
        </w:rPr>
        <w:t xml:space="preserve"> (Accessed 13 September 2024).</w:t>
      </w:r>
    </w:p>
    <w:p w14:paraId="1A12FB61"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Joseph-Williams, N., Edwards, A., and Elwyn, G. (2014) ‘Power imbalance prevents shared decision-making’, </w:t>
      </w:r>
      <w:r w:rsidRPr="00AC54AA">
        <w:rPr>
          <w:rFonts w:eastAsia="Aptos"/>
          <w:i/>
          <w:iCs/>
          <w:color w:val="auto"/>
          <w:kern w:val="2"/>
          <w:sz w:val="24"/>
          <w:szCs w:val="24"/>
          <w:lang w:eastAsia="en-US"/>
          <w14:ligatures w14:val="standardContextual"/>
        </w:rPr>
        <w:t>BMJ</w:t>
      </w:r>
      <w:r w:rsidRPr="00AC54AA">
        <w:rPr>
          <w:rFonts w:eastAsia="Aptos"/>
          <w:color w:val="auto"/>
          <w:kern w:val="2"/>
          <w:sz w:val="24"/>
          <w:szCs w:val="24"/>
          <w:lang w:eastAsia="en-US"/>
          <w14:ligatures w14:val="standardContextual"/>
        </w:rPr>
        <w:t xml:space="preserve">, 348. Available at: </w:t>
      </w:r>
      <w:hyperlink r:id="rId18" w:tgtFrame="_new" w:history="1">
        <w:r w:rsidRPr="00AC54AA">
          <w:rPr>
            <w:rFonts w:eastAsia="Aptos"/>
            <w:color w:val="467886"/>
            <w:kern w:val="2"/>
            <w:sz w:val="24"/>
            <w:szCs w:val="24"/>
            <w:u w:val="single"/>
            <w:lang w:eastAsia="en-US"/>
            <w14:ligatures w14:val="standardContextual"/>
          </w:rPr>
          <w:t>https://www.bmj.com/content/348/bmj.g3178</w:t>
        </w:r>
      </w:hyperlink>
    </w:p>
    <w:p w14:paraId="65427920"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Lloyd, M. (1992) 'Tools for many trades: reaffirming the use of grief counselling by health, welfare and pastoral workers', </w:t>
      </w:r>
      <w:r w:rsidRPr="00AC54AA">
        <w:rPr>
          <w:rFonts w:eastAsia="Aptos"/>
          <w:i/>
          <w:iCs/>
          <w:color w:val="auto"/>
          <w:kern w:val="2"/>
          <w:sz w:val="24"/>
          <w:szCs w:val="24"/>
          <w:lang w:eastAsia="en-US"/>
          <w14:ligatures w14:val="standardContextual"/>
        </w:rPr>
        <w:t>British Journal of Guidance and Counselling</w:t>
      </w:r>
      <w:r w:rsidRPr="00AC54AA">
        <w:rPr>
          <w:rFonts w:eastAsia="Aptos"/>
          <w:color w:val="auto"/>
          <w:kern w:val="2"/>
          <w:sz w:val="24"/>
          <w:szCs w:val="24"/>
          <w:lang w:eastAsia="en-US"/>
          <w14:ligatures w14:val="standardContextual"/>
        </w:rPr>
        <w:t>, 20 (2), pp.150-163. Available at: https://doi.org/10.1080/03069889208253617</w:t>
      </w:r>
    </w:p>
    <w:p w14:paraId="422DA601"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McSorley, A. (2020) ‘Deprivation of Liberty Safeguards’, </w:t>
      </w:r>
      <w:r w:rsidRPr="00AC54AA">
        <w:rPr>
          <w:rFonts w:eastAsia="Aptos"/>
          <w:i/>
          <w:iCs/>
          <w:color w:val="auto"/>
          <w:kern w:val="2"/>
          <w:sz w:val="24"/>
          <w:szCs w:val="24"/>
          <w:lang w:eastAsia="en-US"/>
          <w14:ligatures w14:val="standardContextual"/>
        </w:rPr>
        <w:t>InnovAiT</w:t>
      </w:r>
      <w:r w:rsidRPr="00AC54AA">
        <w:rPr>
          <w:rFonts w:eastAsia="Aptos"/>
          <w:color w:val="auto"/>
          <w:kern w:val="2"/>
          <w:sz w:val="24"/>
          <w:szCs w:val="24"/>
          <w:lang w:eastAsia="en-US"/>
          <w14:ligatures w14:val="standardContextual"/>
        </w:rPr>
        <w:t xml:space="preserve">, 13(1) pp. 53-58. Available at: </w:t>
      </w:r>
      <w:hyperlink r:id="rId19" w:tgtFrame="_new" w:history="1">
        <w:r w:rsidRPr="00AC54AA">
          <w:rPr>
            <w:rFonts w:eastAsia="Aptos"/>
            <w:color w:val="467886"/>
            <w:kern w:val="2"/>
            <w:sz w:val="24"/>
            <w:szCs w:val="24"/>
            <w:u w:val="single"/>
            <w:lang w:eastAsia="en-US"/>
            <w14:ligatures w14:val="standardContextual"/>
          </w:rPr>
          <w:t>https://journals.sagepub.com/doi/epub/10.1177/1755738019885398</w:t>
        </w:r>
      </w:hyperlink>
    </w:p>
    <w:p w14:paraId="6C4644FC"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i/>
          <w:iCs/>
          <w:color w:val="auto"/>
          <w:kern w:val="2"/>
          <w:sz w:val="24"/>
          <w:szCs w:val="24"/>
          <w:lang w:eastAsia="en-US"/>
          <w14:ligatures w14:val="standardContextual"/>
        </w:rPr>
        <w:t>Mental Capacity Act 2005</w:t>
      </w:r>
      <w:r w:rsidRPr="00AC54AA">
        <w:rPr>
          <w:rFonts w:eastAsia="Aptos"/>
          <w:color w:val="auto"/>
          <w:kern w:val="2"/>
          <w:sz w:val="24"/>
          <w:szCs w:val="24"/>
          <w:lang w:eastAsia="en-US"/>
          <w14:ligatures w14:val="standardContextual"/>
        </w:rPr>
        <w:t xml:space="preserve">. Available at: </w:t>
      </w:r>
      <w:hyperlink r:id="rId20" w:tgtFrame="_new" w:history="1">
        <w:r w:rsidRPr="00AC54AA">
          <w:rPr>
            <w:rFonts w:eastAsia="Aptos"/>
            <w:color w:val="467886"/>
            <w:kern w:val="2"/>
            <w:sz w:val="24"/>
            <w:szCs w:val="24"/>
            <w:u w:val="single"/>
            <w:lang w:eastAsia="en-US"/>
            <w14:ligatures w14:val="standardContextual"/>
          </w:rPr>
          <w:t>https://www.legislation.gov.uk/ukpga/2005/9/contents</w:t>
        </w:r>
      </w:hyperlink>
      <w:r w:rsidRPr="00AC54AA">
        <w:rPr>
          <w:rFonts w:eastAsia="Aptos"/>
          <w:color w:val="auto"/>
          <w:kern w:val="2"/>
          <w:sz w:val="24"/>
          <w:szCs w:val="24"/>
          <w:lang w:eastAsia="en-US"/>
          <w14:ligatures w14:val="standardContextual"/>
        </w:rPr>
        <w:t xml:space="preserve"> (Accessed: 31/05/2024).</w:t>
      </w:r>
    </w:p>
    <w:p w14:paraId="5ED16278"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NSPCC (2022) </w:t>
      </w:r>
      <w:r w:rsidRPr="00AC54AA">
        <w:rPr>
          <w:rFonts w:eastAsia="Aptos"/>
          <w:i/>
          <w:iCs/>
          <w:color w:val="auto"/>
          <w:kern w:val="2"/>
          <w:sz w:val="24"/>
          <w:szCs w:val="24"/>
          <w:lang w:eastAsia="en-US"/>
          <w14:ligatures w14:val="standardContextual"/>
        </w:rPr>
        <w:t>Gillick competence and Fraser guidelines</w:t>
      </w:r>
      <w:r w:rsidRPr="00AC54AA">
        <w:rPr>
          <w:rFonts w:eastAsia="Aptos"/>
          <w:color w:val="auto"/>
          <w:kern w:val="2"/>
          <w:sz w:val="24"/>
          <w:szCs w:val="24"/>
          <w:lang w:eastAsia="en-US"/>
          <w14:ligatures w14:val="standardContextual"/>
        </w:rPr>
        <w:t xml:space="preserve">. Available at: </w:t>
      </w:r>
      <w:hyperlink r:id="rId21" w:tgtFrame="_new" w:history="1">
        <w:r w:rsidRPr="00AC54AA">
          <w:rPr>
            <w:rFonts w:eastAsia="Aptos"/>
            <w:color w:val="467886"/>
            <w:kern w:val="2"/>
            <w:sz w:val="24"/>
            <w:szCs w:val="24"/>
            <w:u w:val="single"/>
            <w:lang w:eastAsia="en-US"/>
            <w14:ligatures w14:val="standardContextual"/>
          </w:rPr>
          <w:t>https://learning.nspcc.org.uk/child-protection-system/gillick-competence-fraser-guidelines</w:t>
        </w:r>
      </w:hyperlink>
      <w:r w:rsidRPr="00AC54AA">
        <w:rPr>
          <w:rFonts w:eastAsia="Aptos"/>
          <w:color w:val="auto"/>
          <w:kern w:val="2"/>
          <w:sz w:val="24"/>
          <w:szCs w:val="24"/>
          <w:lang w:eastAsia="en-US"/>
          <w14:ligatures w14:val="standardContextual"/>
        </w:rPr>
        <w:t xml:space="preserve"> (Accessed: 19 September 2024).</w:t>
      </w:r>
    </w:p>
    <w:p w14:paraId="21BB773A"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Office for National Statistics (2022) </w:t>
      </w:r>
      <w:r w:rsidRPr="00AC54AA">
        <w:rPr>
          <w:rFonts w:eastAsia="Aptos"/>
          <w:i/>
          <w:iCs/>
          <w:color w:val="auto"/>
          <w:kern w:val="2"/>
          <w:sz w:val="24"/>
          <w:szCs w:val="24"/>
          <w:lang w:eastAsia="en-US"/>
          <w14:ligatures w14:val="standardContextual"/>
        </w:rPr>
        <w:t>How the population changed in Local Authority X: Census 2021</w:t>
      </w:r>
      <w:r w:rsidRPr="00AC54AA">
        <w:rPr>
          <w:rFonts w:eastAsia="Aptos"/>
          <w:color w:val="auto"/>
          <w:kern w:val="2"/>
          <w:sz w:val="24"/>
          <w:szCs w:val="24"/>
          <w:lang w:eastAsia="en-US"/>
          <w14:ligatures w14:val="standardContextual"/>
        </w:rPr>
        <w:t xml:space="preserve">. Available at: </w:t>
      </w:r>
      <w:hyperlink r:id="rId22" w:tgtFrame="_new" w:history="1">
        <w:r w:rsidRPr="00AC54AA">
          <w:rPr>
            <w:rFonts w:eastAsia="Aptos"/>
            <w:color w:val="467886"/>
            <w:kern w:val="2"/>
            <w:sz w:val="24"/>
            <w:szCs w:val="24"/>
            <w:u w:val="single"/>
            <w:lang w:eastAsia="en-US"/>
            <w14:ligatures w14:val="standardContextual"/>
          </w:rPr>
          <w:t>https://www.ons.gov.uk/visualisations/censuspopulationchange/W06000010/</w:t>
        </w:r>
      </w:hyperlink>
      <w:r w:rsidRPr="00AC54AA">
        <w:rPr>
          <w:rFonts w:eastAsia="Aptos"/>
          <w:color w:val="auto"/>
          <w:kern w:val="2"/>
          <w:sz w:val="24"/>
          <w:szCs w:val="24"/>
          <w:lang w:eastAsia="en-US"/>
          <w14:ligatures w14:val="standardContextual"/>
        </w:rPr>
        <w:t xml:space="preserve"> (Accessed: 26 August 2024).</w:t>
      </w:r>
    </w:p>
    <w:p w14:paraId="2FD9B98C"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Office for National Statistics (2023) </w:t>
      </w:r>
      <w:r w:rsidRPr="00AC54AA">
        <w:rPr>
          <w:rFonts w:eastAsia="Aptos"/>
          <w:i/>
          <w:iCs/>
          <w:color w:val="auto"/>
          <w:kern w:val="2"/>
          <w:sz w:val="24"/>
          <w:szCs w:val="24"/>
          <w:lang w:eastAsia="en-US"/>
          <w14:ligatures w14:val="standardContextual"/>
        </w:rPr>
        <w:t>Unpaid care by age, sex and deprivation, England and Wales: Census 2021</w:t>
      </w:r>
      <w:r w:rsidRPr="00AC54AA">
        <w:rPr>
          <w:rFonts w:eastAsia="Aptos"/>
          <w:color w:val="auto"/>
          <w:kern w:val="2"/>
          <w:sz w:val="24"/>
          <w:szCs w:val="24"/>
          <w:lang w:eastAsia="en-US"/>
          <w14:ligatures w14:val="standardContextual"/>
        </w:rPr>
        <w:t xml:space="preserve">. Available at: </w:t>
      </w:r>
      <w:hyperlink r:id="rId23" w:tgtFrame="_new" w:history="1">
        <w:r w:rsidRPr="00AC54AA">
          <w:rPr>
            <w:rFonts w:eastAsia="Aptos"/>
            <w:color w:val="467886"/>
            <w:kern w:val="2"/>
            <w:sz w:val="24"/>
            <w:szCs w:val="24"/>
            <w:u w:val="single"/>
            <w:lang w:eastAsia="en-US"/>
            <w14:ligatures w14:val="standardContextual"/>
          </w:rPr>
          <w:t>https://www.ons.gov.uk/peoplepopulationandcommunity/healthandsocialcare/socialcare/articles/unpaidcarebyagesexanddeprivationenglandandwales/census2021</w:t>
        </w:r>
      </w:hyperlink>
      <w:r w:rsidRPr="00AC54AA">
        <w:rPr>
          <w:rFonts w:eastAsia="Aptos"/>
          <w:color w:val="auto"/>
          <w:kern w:val="2"/>
          <w:sz w:val="24"/>
          <w:szCs w:val="24"/>
          <w:lang w:eastAsia="en-US"/>
          <w14:ligatures w14:val="standardContextual"/>
        </w:rPr>
        <w:t xml:space="preserve"> (Accessed: 01/09/2024).</w:t>
      </w:r>
    </w:p>
    <w:p w14:paraId="4EB002A8"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Rogers, C. R. (1951) </w:t>
      </w:r>
      <w:r w:rsidRPr="00AC54AA">
        <w:rPr>
          <w:rFonts w:eastAsia="Aptos"/>
          <w:i/>
          <w:iCs/>
          <w:color w:val="auto"/>
          <w:kern w:val="2"/>
          <w:sz w:val="24"/>
          <w:szCs w:val="24"/>
          <w:lang w:eastAsia="en-US"/>
          <w14:ligatures w14:val="standardContextual"/>
        </w:rPr>
        <w:t>Client-</w:t>
      </w:r>
      <w:proofErr w:type="spellStart"/>
      <w:r w:rsidRPr="00AC54AA">
        <w:rPr>
          <w:rFonts w:eastAsia="Aptos"/>
          <w:i/>
          <w:iCs/>
          <w:color w:val="auto"/>
          <w:kern w:val="2"/>
          <w:sz w:val="24"/>
          <w:szCs w:val="24"/>
          <w:lang w:eastAsia="en-US"/>
          <w14:ligatures w14:val="standardContextual"/>
        </w:rPr>
        <w:t>centered</w:t>
      </w:r>
      <w:proofErr w:type="spellEnd"/>
      <w:r w:rsidRPr="00AC54AA">
        <w:rPr>
          <w:rFonts w:eastAsia="Aptos"/>
          <w:i/>
          <w:iCs/>
          <w:color w:val="auto"/>
          <w:kern w:val="2"/>
          <w:sz w:val="24"/>
          <w:szCs w:val="24"/>
          <w:lang w:eastAsia="en-US"/>
          <w14:ligatures w14:val="standardContextual"/>
        </w:rPr>
        <w:t xml:space="preserve"> therapy: Its current practice, implication, theory</w:t>
      </w:r>
      <w:r w:rsidRPr="00AC54AA">
        <w:rPr>
          <w:rFonts w:eastAsia="Aptos"/>
          <w:color w:val="auto"/>
          <w:kern w:val="2"/>
          <w:sz w:val="24"/>
          <w:szCs w:val="24"/>
          <w:lang w:eastAsia="en-US"/>
          <w14:ligatures w14:val="standardContextual"/>
        </w:rPr>
        <w:t>. Boston: Houghton Mifflin.</w:t>
      </w:r>
    </w:p>
    <w:p w14:paraId="5162B5DB"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Rogers, C. R. (1995) </w:t>
      </w:r>
      <w:r w:rsidRPr="00AC54AA">
        <w:rPr>
          <w:rFonts w:eastAsia="Aptos"/>
          <w:i/>
          <w:iCs/>
          <w:color w:val="auto"/>
          <w:kern w:val="2"/>
          <w:sz w:val="24"/>
          <w:szCs w:val="24"/>
          <w:lang w:eastAsia="en-US"/>
          <w14:ligatures w14:val="standardContextual"/>
        </w:rPr>
        <w:t>On becoming a person: A therapists’ view of psychotherapy</w:t>
      </w:r>
      <w:r w:rsidRPr="00AC54AA">
        <w:rPr>
          <w:rFonts w:eastAsia="Aptos"/>
          <w:color w:val="auto"/>
          <w:kern w:val="2"/>
          <w:sz w:val="24"/>
          <w:szCs w:val="24"/>
          <w:lang w:eastAsia="en-US"/>
          <w14:ligatures w14:val="standardContextual"/>
        </w:rPr>
        <w:t>. Boston: Houghton Mifflin Harcourt.</w:t>
      </w:r>
    </w:p>
    <w:p w14:paraId="52E76FB2"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Ryden, N. (2015) ‘Using observation in training and development’, in O’Loughlin, M. and O’Loughlin, S. (eds) </w:t>
      </w:r>
      <w:r w:rsidRPr="00AC54AA">
        <w:rPr>
          <w:rFonts w:eastAsia="Aptos"/>
          <w:i/>
          <w:iCs/>
          <w:color w:val="auto"/>
          <w:kern w:val="2"/>
          <w:sz w:val="24"/>
          <w:szCs w:val="24"/>
          <w:lang w:eastAsia="en-US"/>
          <w14:ligatures w14:val="standardContextual"/>
        </w:rPr>
        <w:t>Effective Observation in Social Work Practice</w:t>
      </w:r>
      <w:r w:rsidRPr="00AC54AA">
        <w:rPr>
          <w:rFonts w:eastAsia="Aptos"/>
          <w:color w:val="auto"/>
          <w:kern w:val="2"/>
          <w:sz w:val="24"/>
          <w:szCs w:val="24"/>
          <w:lang w:eastAsia="en-US"/>
          <w14:ligatures w14:val="standardContextual"/>
        </w:rPr>
        <w:t>. London: Sage, pp. 56-69.</w:t>
      </w:r>
    </w:p>
    <w:p w14:paraId="13B4D10A"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proofErr w:type="spellStart"/>
      <w:r w:rsidRPr="00AC54AA">
        <w:rPr>
          <w:rFonts w:eastAsia="Aptos"/>
          <w:color w:val="auto"/>
          <w:kern w:val="2"/>
          <w:sz w:val="24"/>
          <w:szCs w:val="24"/>
          <w:lang w:eastAsia="en-US"/>
          <w14:ligatures w14:val="standardContextual"/>
        </w:rPr>
        <w:t>Saleebey</w:t>
      </w:r>
      <w:proofErr w:type="spellEnd"/>
      <w:r w:rsidRPr="00AC54AA">
        <w:rPr>
          <w:rFonts w:eastAsia="Aptos"/>
          <w:color w:val="auto"/>
          <w:kern w:val="2"/>
          <w:sz w:val="24"/>
          <w:szCs w:val="24"/>
          <w:lang w:eastAsia="en-US"/>
          <w14:ligatures w14:val="standardContextual"/>
        </w:rPr>
        <w:t xml:space="preserve">, D. (1996). </w:t>
      </w:r>
      <w:r w:rsidRPr="00AC54AA">
        <w:rPr>
          <w:rFonts w:eastAsia="Aptos"/>
          <w:i/>
          <w:iCs/>
          <w:color w:val="auto"/>
          <w:kern w:val="2"/>
          <w:sz w:val="24"/>
          <w:szCs w:val="24"/>
          <w:lang w:eastAsia="en-US"/>
          <w14:ligatures w14:val="standardContextual"/>
        </w:rPr>
        <w:t>The strengths perspective in social work practice: Extensions and cautions</w:t>
      </w:r>
      <w:r w:rsidRPr="00AC54AA">
        <w:rPr>
          <w:rFonts w:eastAsia="Aptos"/>
          <w:color w:val="auto"/>
          <w:kern w:val="2"/>
          <w:sz w:val="24"/>
          <w:szCs w:val="24"/>
          <w:lang w:eastAsia="en-US"/>
          <w14:ligatures w14:val="standardContextual"/>
        </w:rPr>
        <w:t xml:space="preserve">. </w:t>
      </w:r>
      <w:r w:rsidRPr="00AC54AA">
        <w:rPr>
          <w:rFonts w:eastAsia="Aptos"/>
          <w:i/>
          <w:iCs/>
          <w:color w:val="auto"/>
          <w:kern w:val="2"/>
          <w:sz w:val="24"/>
          <w:szCs w:val="24"/>
          <w:lang w:eastAsia="en-US"/>
          <w14:ligatures w14:val="standardContextual"/>
        </w:rPr>
        <w:t>Social Work</w:t>
      </w:r>
      <w:r w:rsidRPr="00AC54AA">
        <w:rPr>
          <w:rFonts w:eastAsia="Aptos"/>
          <w:color w:val="auto"/>
          <w:kern w:val="2"/>
          <w:sz w:val="24"/>
          <w:szCs w:val="24"/>
          <w:lang w:eastAsia="en-US"/>
          <w14:ligatures w14:val="standardContextual"/>
        </w:rPr>
        <w:t>, 41(3), 296.</w:t>
      </w:r>
    </w:p>
    <w:p w14:paraId="1AC42A27"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Sanderson, H., Thompson, J., &amp; Kilbane, J. (2006) ‘The emergence of person-centred planning as evidence-based practice’, </w:t>
      </w:r>
      <w:r w:rsidRPr="00AC54AA">
        <w:rPr>
          <w:rFonts w:eastAsia="Aptos"/>
          <w:i/>
          <w:iCs/>
          <w:color w:val="auto"/>
          <w:kern w:val="2"/>
          <w:sz w:val="24"/>
          <w:szCs w:val="24"/>
          <w:lang w:eastAsia="en-US"/>
          <w14:ligatures w14:val="standardContextual"/>
        </w:rPr>
        <w:t>Journal of Integrated Care</w:t>
      </w:r>
      <w:r w:rsidRPr="00AC54AA">
        <w:rPr>
          <w:rFonts w:eastAsia="Aptos"/>
          <w:color w:val="auto"/>
          <w:kern w:val="2"/>
          <w:sz w:val="24"/>
          <w:szCs w:val="24"/>
          <w:lang w:eastAsia="en-US"/>
          <w14:ligatures w14:val="standardContextual"/>
        </w:rPr>
        <w:t xml:space="preserve">, 14(2), 18–25. Available at: </w:t>
      </w:r>
      <w:hyperlink r:id="rId24" w:tgtFrame="_new" w:history="1">
        <w:r w:rsidRPr="00AC54AA">
          <w:rPr>
            <w:rFonts w:eastAsia="Aptos"/>
            <w:color w:val="467886"/>
            <w:kern w:val="2"/>
            <w:sz w:val="24"/>
            <w:szCs w:val="24"/>
            <w:u w:val="single"/>
            <w:lang w:eastAsia="en-US"/>
            <w14:ligatures w14:val="standardContextual"/>
          </w:rPr>
          <w:t>https://doi.org/10.1108/147690182006000014</w:t>
        </w:r>
      </w:hyperlink>
    </w:p>
    <w:p w14:paraId="7291D283"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proofErr w:type="spellStart"/>
      <w:r w:rsidRPr="00AC54AA">
        <w:rPr>
          <w:rFonts w:eastAsia="Aptos"/>
          <w:color w:val="auto"/>
          <w:kern w:val="2"/>
          <w:sz w:val="24"/>
          <w:szCs w:val="24"/>
          <w:lang w:eastAsia="en-US"/>
          <w14:ligatures w14:val="standardContextual"/>
        </w:rPr>
        <w:t>Shortis</w:t>
      </w:r>
      <w:proofErr w:type="spellEnd"/>
      <w:r w:rsidRPr="00AC54AA">
        <w:rPr>
          <w:rFonts w:eastAsia="Aptos"/>
          <w:color w:val="auto"/>
          <w:kern w:val="2"/>
          <w:sz w:val="24"/>
          <w:szCs w:val="24"/>
          <w:lang w:eastAsia="en-US"/>
          <w14:ligatures w14:val="standardContextual"/>
        </w:rPr>
        <w:t xml:space="preserve">, E.J., Newton-Clarke, A.J., Verma, A., Allen, D.E., Viola, E. and Metcalfe, N.H. (2023) ‘Reforming </w:t>
      </w:r>
      <w:proofErr w:type="spellStart"/>
      <w:r w:rsidRPr="00AC54AA">
        <w:rPr>
          <w:rFonts w:eastAsia="Aptos"/>
          <w:color w:val="auto"/>
          <w:kern w:val="2"/>
          <w:sz w:val="24"/>
          <w:szCs w:val="24"/>
          <w:lang w:eastAsia="en-US"/>
          <w14:ligatures w14:val="standardContextual"/>
        </w:rPr>
        <w:t>DoLS</w:t>
      </w:r>
      <w:proofErr w:type="spellEnd"/>
      <w:r w:rsidRPr="00AC54AA">
        <w:rPr>
          <w:rFonts w:eastAsia="Aptos"/>
          <w:color w:val="auto"/>
          <w:kern w:val="2"/>
          <w:sz w:val="24"/>
          <w:szCs w:val="24"/>
          <w:lang w:eastAsia="en-US"/>
          <w14:ligatures w14:val="standardContextual"/>
        </w:rPr>
        <w:t xml:space="preserve">: Liberty Protection Safeguards’, </w:t>
      </w:r>
      <w:r w:rsidRPr="00AC54AA">
        <w:rPr>
          <w:rFonts w:eastAsia="Aptos"/>
          <w:i/>
          <w:iCs/>
          <w:color w:val="auto"/>
          <w:kern w:val="2"/>
          <w:sz w:val="24"/>
          <w:szCs w:val="24"/>
          <w:lang w:eastAsia="en-US"/>
          <w14:ligatures w14:val="standardContextual"/>
        </w:rPr>
        <w:t>Postgraduate Medical Journal</w:t>
      </w:r>
      <w:r w:rsidRPr="00AC54AA">
        <w:rPr>
          <w:rFonts w:eastAsia="Aptos"/>
          <w:color w:val="auto"/>
          <w:kern w:val="2"/>
          <w:sz w:val="24"/>
          <w:szCs w:val="24"/>
          <w:lang w:eastAsia="en-US"/>
          <w14:ligatures w14:val="standardContextual"/>
        </w:rPr>
        <w:t xml:space="preserve">, 99(1173), pp.788-793. Available at: </w:t>
      </w:r>
      <w:hyperlink r:id="rId25" w:tgtFrame="_new" w:history="1">
        <w:r w:rsidRPr="00AC54AA">
          <w:rPr>
            <w:rFonts w:eastAsia="Aptos"/>
            <w:color w:val="467886"/>
            <w:kern w:val="2"/>
            <w:sz w:val="24"/>
            <w:szCs w:val="24"/>
            <w:u w:val="single"/>
            <w:lang w:eastAsia="en-US"/>
            <w14:ligatures w14:val="standardContextual"/>
          </w:rPr>
          <w:t>https://doi.org/10.1136/pmj-2022-141611</w:t>
        </w:r>
      </w:hyperlink>
    </w:p>
    <w:p w14:paraId="5F45DC35"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Smale, G., Tuson, G., </w:t>
      </w:r>
      <w:proofErr w:type="spellStart"/>
      <w:r w:rsidRPr="00AC54AA">
        <w:rPr>
          <w:rFonts w:eastAsia="Aptos"/>
          <w:color w:val="auto"/>
          <w:kern w:val="2"/>
          <w:sz w:val="24"/>
          <w:szCs w:val="24"/>
          <w:lang w:eastAsia="en-US"/>
          <w14:ligatures w14:val="standardContextual"/>
        </w:rPr>
        <w:t>Biehal</w:t>
      </w:r>
      <w:proofErr w:type="spellEnd"/>
      <w:r w:rsidRPr="00AC54AA">
        <w:rPr>
          <w:rFonts w:eastAsia="Aptos"/>
          <w:color w:val="auto"/>
          <w:kern w:val="2"/>
          <w:sz w:val="24"/>
          <w:szCs w:val="24"/>
          <w:lang w:eastAsia="en-US"/>
          <w14:ligatures w14:val="standardContextual"/>
        </w:rPr>
        <w:t>, N., and Marsh, P. (1993)</w:t>
      </w:r>
      <w:r w:rsidRPr="00AC54AA">
        <w:rPr>
          <w:rFonts w:eastAsia="Aptos"/>
          <w:i/>
          <w:iCs/>
          <w:color w:val="auto"/>
          <w:kern w:val="2"/>
          <w:sz w:val="24"/>
          <w:szCs w:val="24"/>
          <w:lang w:eastAsia="en-US"/>
          <w14:ligatures w14:val="standardContextual"/>
        </w:rPr>
        <w:t xml:space="preserve"> Empowerment, assessment, care management and the skilled worker.</w:t>
      </w:r>
      <w:r w:rsidRPr="00AC54AA">
        <w:rPr>
          <w:rFonts w:eastAsia="Aptos"/>
          <w:color w:val="auto"/>
          <w:kern w:val="2"/>
          <w:sz w:val="24"/>
          <w:szCs w:val="24"/>
          <w:lang w:eastAsia="en-US"/>
          <w14:ligatures w14:val="standardContextual"/>
        </w:rPr>
        <w:t xml:space="preserve"> London: The Stationery Office.</w:t>
      </w:r>
    </w:p>
    <w:p w14:paraId="161DB765"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Social Care Wales (2011) </w:t>
      </w:r>
      <w:r w:rsidRPr="00AC54AA">
        <w:rPr>
          <w:rFonts w:eastAsia="Aptos"/>
          <w:i/>
          <w:iCs/>
          <w:color w:val="auto"/>
          <w:kern w:val="2"/>
          <w:sz w:val="24"/>
          <w:szCs w:val="24"/>
          <w:lang w:eastAsia="en-US"/>
          <w14:ligatures w14:val="standardContextual"/>
        </w:rPr>
        <w:t>National occupational standards for social work</w:t>
      </w:r>
      <w:r w:rsidRPr="00AC54AA">
        <w:rPr>
          <w:rFonts w:eastAsia="Aptos"/>
          <w:color w:val="auto"/>
          <w:kern w:val="2"/>
          <w:sz w:val="24"/>
          <w:szCs w:val="24"/>
          <w:lang w:eastAsia="en-US"/>
          <w14:ligatures w14:val="standardContextual"/>
        </w:rPr>
        <w:t xml:space="preserve">. Available at: </w:t>
      </w:r>
      <w:hyperlink r:id="rId26" w:tgtFrame="_new" w:history="1">
        <w:r w:rsidRPr="00AC54AA">
          <w:rPr>
            <w:rFonts w:eastAsia="Aptos"/>
            <w:color w:val="467886"/>
            <w:kern w:val="2"/>
            <w:sz w:val="24"/>
            <w:szCs w:val="24"/>
            <w:u w:val="single"/>
            <w:lang w:eastAsia="en-US"/>
            <w14:ligatures w14:val="standardContextual"/>
          </w:rPr>
          <w:t>https://socialcare.wales/resources-guidance/early-years-and-childcare/national-occupational-standards-nos/social-work</w:t>
        </w:r>
      </w:hyperlink>
      <w:r w:rsidRPr="00AC54AA">
        <w:rPr>
          <w:rFonts w:eastAsia="Aptos"/>
          <w:color w:val="auto"/>
          <w:kern w:val="2"/>
          <w:sz w:val="24"/>
          <w:szCs w:val="24"/>
          <w:lang w:eastAsia="en-US"/>
          <w14:ligatures w14:val="standardContextual"/>
        </w:rPr>
        <w:t xml:space="preserve"> (Accessed: 08/09/2024).</w:t>
      </w:r>
    </w:p>
    <w:p w14:paraId="0D1164E0"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Social Care Wales (2017) </w:t>
      </w:r>
      <w:r w:rsidRPr="00AC54AA">
        <w:rPr>
          <w:rFonts w:eastAsia="Aptos"/>
          <w:i/>
          <w:iCs/>
          <w:color w:val="auto"/>
          <w:kern w:val="2"/>
          <w:sz w:val="24"/>
          <w:szCs w:val="24"/>
          <w:lang w:eastAsia="en-US"/>
          <w14:ligatures w14:val="standardContextual"/>
        </w:rPr>
        <w:t>Code of Professional Practice</w:t>
      </w:r>
      <w:r w:rsidRPr="00AC54AA">
        <w:rPr>
          <w:rFonts w:eastAsia="Aptos"/>
          <w:color w:val="auto"/>
          <w:kern w:val="2"/>
          <w:sz w:val="24"/>
          <w:szCs w:val="24"/>
          <w:lang w:eastAsia="en-US"/>
          <w14:ligatures w14:val="standardContextual"/>
        </w:rPr>
        <w:t xml:space="preserve">. Available at: </w:t>
      </w:r>
      <w:hyperlink r:id="rId27" w:tgtFrame="_new" w:history="1">
        <w:r w:rsidRPr="00AC54AA">
          <w:rPr>
            <w:rFonts w:eastAsia="Aptos"/>
            <w:color w:val="467886"/>
            <w:kern w:val="2"/>
            <w:sz w:val="24"/>
            <w:szCs w:val="24"/>
            <w:u w:val="single"/>
            <w:lang w:eastAsia="en-US"/>
            <w14:ligatures w14:val="standardContextual"/>
          </w:rPr>
          <w:t>https://socialcare.wales/cms-assets/documents/Code-Print-Friendly-English.pdf</w:t>
        </w:r>
      </w:hyperlink>
      <w:r w:rsidRPr="00AC54AA">
        <w:rPr>
          <w:rFonts w:eastAsia="Aptos"/>
          <w:color w:val="auto"/>
          <w:kern w:val="2"/>
          <w:sz w:val="24"/>
          <w:szCs w:val="24"/>
          <w:lang w:eastAsia="en-US"/>
          <w14:ligatures w14:val="standardContextual"/>
        </w:rPr>
        <w:t xml:space="preserve"> (Accessed: 08/09/2024).</w:t>
      </w:r>
    </w:p>
    <w:p w14:paraId="6F57AE47"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i/>
          <w:iCs/>
          <w:color w:val="auto"/>
          <w:kern w:val="2"/>
          <w:sz w:val="24"/>
          <w:szCs w:val="24"/>
          <w:lang w:eastAsia="en-US"/>
          <w14:ligatures w14:val="standardContextual"/>
        </w:rPr>
        <w:t>Social Services and Well-being (Wales) Act 2014.</w:t>
      </w:r>
      <w:r w:rsidRPr="00AC54AA">
        <w:rPr>
          <w:rFonts w:eastAsia="Aptos"/>
          <w:color w:val="auto"/>
          <w:kern w:val="2"/>
          <w:sz w:val="24"/>
          <w:szCs w:val="24"/>
          <w:lang w:eastAsia="en-US"/>
          <w14:ligatures w14:val="standardContextual"/>
        </w:rPr>
        <w:t xml:space="preserve"> Available at: </w:t>
      </w:r>
      <w:hyperlink r:id="rId28" w:tgtFrame="_new" w:history="1">
        <w:r w:rsidRPr="00AC54AA">
          <w:rPr>
            <w:rFonts w:eastAsia="Aptos"/>
            <w:color w:val="467886"/>
            <w:kern w:val="2"/>
            <w:sz w:val="24"/>
            <w:szCs w:val="24"/>
            <w:u w:val="single"/>
            <w:lang w:eastAsia="en-US"/>
            <w14:ligatures w14:val="standardContextual"/>
          </w:rPr>
          <w:t>https://www.legislation.gov.uk/anaw/2014/4/contents</w:t>
        </w:r>
      </w:hyperlink>
      <w:r w:rsidRPr="00AC54AA">
        <w:rPr>
          <w:rFonts w:eastAsia="Aptos"/>
          <w:color w:val="auto"/>
          <w:kern w:val="2"/>
          <w:sz w:val="24"/>
          <w:szCs w:val="24"/>
          <w:lang w:eastAsia="en-US"/>
          <w14:ligatures w14:val="standardContextual"/>
        </w:rPr>
        <w:t xml:space="preserve"> (Accessed 11 September 2024).</w:t>
      </w:r>
    </w:p>
    <w:p w14:paraId="11C5CFE2"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i/>
          <w:iCs/>
          <w:color w:val="auto"/>
          <w:kern w:val="2"/>
          <w:sz w:val="24"/>
          <w:szCs w:val="24"/>
          <w:lang w:eastAsia="en-US"/>
          <w14:ligatures w14:val="standardContextual"/>
        </w:rPr>
        <w:lastRenderedPageBreak/>
        <w:t>Social Services and Well-being (Wales) Act 2014 (Part 3 Code of Practice (assessing the needs of individuals).</w:t>
      </w:r>
      <w:r w:rsidRPr="00AC54AA">
        <w:rPr>
          <w:rFonts w:eastAsia="Aptos"/>
          <w:color w:val="auto"/>
          <w:kern w:val="2"/>
          <w:sz w:val="24"/>
          <w:szCs w:val="24"/>
          <w:lang w:eastAsia="en-US"/>
          <w14:ligatures w14:val="standardContextual"/>
        </w:rPr>
        <w:t xml:space="preserve"> Available at: </w:t>
      </w:r>
      <w:hyperlink r:id="rId29" w:tgtFrame="_new" w:history="1">
        <w:r w:rsidRPr="00AC54AA">
          <w:rPr>
            <w:rFonts w:eastAsia="Aptos"/>
            <w:color w:val="467886"/>
            <w:kern w:val="2"/>
            <w:sz w:val="24"/>
            <w:szCs w:val="24"/>
            <w:u w:val="single"/>
            <w:lang w:eastAsia="en-US"/>
            <w14:ligatures w14:val="standardContextual"/>
          </w:rPr>
          <w:t>https://www.gov.wales/sites/default/files/publications/2019-05/part-3-code-of-practice-assessing-the-needs-of-individuals.pdf</w:t>
        </w:r>
      </w:hyperlink>
      <w:r w:rsidRPr="00AC54AA">
        <w:rPr>
          <w:rFonts w:eastAsia="Aptos"/>
          <w:color w:val="auto"/>
          <w:kern w:val="2"/>
          <w:sz w:val="24"/>
          <w:szCs w:val="24"/>
          <w:lang w:eastAsia="en-US"/>
          <w14:ligatures w14:val="standardContextual"/>
        </w:rPr>
        <w:t xml:space="preserve"> (Accessed 26 August 2024).</w:t>
      </w:r>
    </w:p>
    <w:p w14:paraId="6CC4CEC4"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i/>
          <w:iCs/>
          <w:color w:val="auto"/>
          <w:kern w:val="2"/>
          <w:sz w:val="24"/>
          <w:szCs w:val="24"/>
          <w:lang w:eastAsia="en-US"/>
          <w14:ligatures w14:val="standardContextual"/>
        </w:rPr>
        <w:t>Social Services and Well-being (Wales) Act 2014 (Part 7).</w:t>
      </w:r>
      <w:r w:rsidRPr="00AC54AA">
        <w:rPr>
          <w:rFonts w:eastAsia="Aptos"/>
          <w:color w:val="auto"/>
          <w:kern w:val="2"/>
          <w:sz w:val="24"/>
          <w:szCs w:val="24"/>
          <w:lang w:eastAsia="en-US"/>
          <w14:ligatures w14:val="standardContextual"/>
        </w:rPr>
        <w:t xml:space="preserve"> Available at: </w:t>
      </w:r>
      <w:hyperlink r:id="rId30" w:tgtFrame="_new" w:history="1">
        <w:r w:rsidRPr="00AC54AA">
          <w:rPr>
            <w:rFonts w:eastAsia="Aptos"/>
            <w:color w:val="467886"/>
            <w:kern w:val="2"/>
            <w:sz w:val="24"/>
            <w:szCs w:val="24"/>
            <w:u w:val="single"/>
            <w:lang w:eastAsia="en-US"/>
            <w14:ligatures w14:val="standardContextual"/>
          </w:rPr>
          <w:t>https://www.legislation.gov.uk/anaw/2014/4/part/7</w:t>
        </w:r>
      </w:hyperlink>
      <w:r w:rsidRPr="00AC54AA">
        <w:rPr>
          <w:rFonts w:eastAsia="Aptos"/>
          <w:color w:val="auto"/>
          <w:kern w:val="2"/>
          <w:sz w:val="24"/>
          <w:szCs w:val="24"/>
          <w:lang w:eastAsia="en-US"/>
          <w14:ligatures w14:val="standardContextual"/>
        </w:rPr>
        <w:t xml:space="preserve"> (Accessed 11 September 2024).</w:t>
      </w:r>
    </w:p>
    <w:p w14:paraId="553D21D9"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i/>
          <w:iCs/>
          <w:color w:val="auto"/>
          <w:kern w:val="2"/>
          <w:sz w:val="24"/>
          <w:szCs w:val="24"/>
          <w:lang w:eastAsia="en-US"/>
          <w14:ligatures w14:val="standardContextual"/>
        </w:rPr>
        <w:t>Social Services and Well-being (Wales) Act 2014 (Working Together to Safeguard People, Volume 2- Child Practice Reviews).</w:t>
      </w:r>
      <w:r w:rsidRPr="00AC54AA">
        <w:rPr>
          <w:rFonts w:eastAsia="Aptos"/>
          <w:color w:val="auto"/>
          <w:kern w:val="2"/>
          <w:sz w:val="24"/>
          <w:szCs w:val="24"/>
          <w:lang w:eastAsia="en-US"/>
          <w14:ligatures w14:val="standardContextual"/>
        </w:rPr>
        <w:t xml:space="preserve"> Available at: </w:t>
      </w:r>
      <w:hyperlink r:id="rId31" w:tgtFrame="_new" w:history="1">
        <w:r w:rsidRPr="00AC54AA">
          <w:rPr>
            <w:rFonts w:eastAsia="Aptos"/>
            <w:color w:val="467886"/>
            <w:kern w:val="2"/>
            <w:sz w:val="24"/>
            <w:szCs w:val="24"/>
            <w:u w:val="single"/>
            <w:lang w:eastAsia="en-US"/>
            <w14:ligatures w14:val="standardContextual"/>
          </w:rPr>
          <w:t>https://socialcare.wales/cms-assets/documents/hub-downloads/Working_Together_to_Safeguard</w:t>
        </w:r>
      </w:hyperlink>
    </w:p>
    <w:p w14:paraId="25486A5C"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proofErr w:type="spellStart"/>
      <w:r w:rsidRPr="00AC54AA">
        <w:rPr>
          <w:rFonts w:eastAsia="Aptos"/>
          <w:color w:val="auto"/>
          <w:kern w:val="2"/>
          <w:sz w:val="24"/>
          <w:szCs w:val="24"/>
          <w:lang w:eastAsia="en-US"/>
          <w14:ligatures w14:val="standardContextual"/>
        </w:rPr>
        <w:t>StatsWales</w:t>
      </w:r>
      <w:proofErr w:type="spellEnd"/>
      <w:r w:rsidRPr="00AC54AA">
        <w:rPr>
          <w:rFonts w:eastAsia="Aptos"/>
          <w:color w:val="auto"/>
          <w:kern w:val="2"/>
          <w:sz w:val="24"/>
          <w:szCs w:val="24"/>
          <w:lang w:eastAsia="en-US"/>
          <w14:ligatures w14:val="standardContextual"/>
        </w:rPr>
        <w:t xml:space="preserve"> (2024) </w:t>
      </w:r>
      <w:r w:rsidRPr="00AC54AA">
        <w:rPr>
          <w:rFonts w:eastAsia="Aptos"/>
          <w:i/>
          <w:iCs/>
          <w:color w:val="auto"/>
          <w:kern w:val="2"/>
          <w:sz w:val="24"/>
          <w:szCs w:val="24"/>
          <w:lang w:eastAsia="en-US"/>
          <w14:ligatures w14:val="standardContextual"/>
        </w:rPr>
        <w:t>Annual Population Survey - Ability to speak Welsh by local authority and year</w:t>
      </w:r>
      <w:r w:rsidRPr="00AC54AA">
        <w:rPr>
          <w:rFonts w:eastAsia="Aptos"/>
          <w:color w:val="auto"/>
          <w:kern w:val="2"/>
          <w:sz w:val="24"/>
          <w:szCs w:val="24"/>
          <w:lang w:eastAsia="en-US"/>
          <w14:ligatures w14:val="standardContextual"/>
        </w:rPr>
        <w:t>. Available at: https://statswales.gov.wales/Catalogue/Welsh-Language/Annual-Population-Survey-Welsh-Language/annualpopulationsurveyestimatesofpersonsaged3andoverwhosaytheycanspeakwelsh-by-localauthority-measure (Accessed: 26 August 2024).</w:t>
      </w:r>
    </w:p>
    <w:p w14:paraId="66250DCE"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Tew, J. (2006) ‘Understanding and promoting resilience in mental health’, </w:t>
      </w:r>
      <w:r w:rsidRPr="00AC54AA">
        <w:rPr>
          <w:rFonts w:eastAsia="Aptos"/>
          <w:i/>
          <w:iCs/>
          <w:color w:val="auto"/>
          <w:kern w:val="2"/>
          <w:sz w:val="24"/>
          <w:szCs w:val="24"/>
          <w:lang w:eastAsia="en-US"/>
          <w14:ligatures w14:val="standardContextual"/>
        </w:rPr>
        <w:t>Social Work in Mental Health</w:t>
      </w:r>
      <w:r w:rsidRPr="00AC54AA">
        <w:rPr>
          <w:rFonts w:eastAsia="Aptos"/>
          <w:color w:val="auto"/>
          <w:kern w:val="2"/>
          <w:sz w:val="24"/>
          <w:szCs w:val="24"/>
          <w:lang w:eastAsia="en-US"/>
          <w14:ligatures w14:val="standardContextual"/>
        </w:rPr>
        <w:t xml:space="preserve">, 4(3), pp.17-34. Available at: </w:t>
      </w:r>
      <w:hyperlink r:id="rId32" w:history="1">
        <w:r w:rsidRPr="00AC54AA">
          <w:rPr>
            <w:rFonts w:eastAsia="Aptos"/>
            <w:color w:val="467886"/>
            <w:kern w:val="2"/>
            <w:sz w:val="24"/>
            <w:szCs w:val="24"/>
            <w:u w:val="single"/>
            <w:lang w:eastAsia="en-US"/>
            <w14:ligatures w14:val="standardContextual"/>
          </w:rPr>
          <w:t>https://doi.org/10.1300/J200v04n03_02</w:t>
        </w:r>
      </w:hyperlink>
    </w:p>
    <w:p w14:paraId="368F957E"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i/>
          <w:iCs/>
          <w:color w:val="auto"/>
          <w:kern w:val="2"/>
          <w:sz w:val="24"/>
          <w:szCs w:val="24"/>
          <w:lang w:eastAsia="en-US"/>
          <w14:ligatures w14:val="standardContextual"/>
        </w:rPr>
        <w:t>The Rights of Children and Young Persons (Wales) Measure 2011</w:t>
      </w:r>
      <w:r w:rsidRPr="00AC54AA">
        <w:rPr>
          <w:rFonts w:eastAsia="Aptos"/>
          <w:color w:val="auto"/>
          <w:kern w:val="2"/>
          <w:sz w:val="24"/>
          <w:szCs w:val="24"/>
          <w:lang w:eastAsia="en-US"/>
          <w14:ligatures w14:val="standardContextual"/>
        </w:rPr>
        <w:t>. Available at: https://www.legislation.gov.uk/mwa/2011/2/contents (Accessed: 02 October 2024)</w:t>
      </w:r>
    </w:p>
    <w:p w14:paraId="3D66CDB4"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Thompson, N. (2016) </w:t>
      </w:r>
      <w:r w:rsidRPr="00AC54AA">
        <w:rPr>
          <w:rFonts w:eastAsia="Aptos"/>
          <w:i/>
          <w:iCs/>
          <w:color w:val="auto"/>
          <w:kern w:val="2"/>
          <w:sz w:val="24"/>
          <w:szCs w:val="24"/>
          <w:lang w:eastAsia="en-US"/>
          <w14:ligatures w14:val="standardContextual"/>
        </w:rPr>
        <w:t>Anti-Discriminatory Practice</w:t>
      </w:r>
      <w:r w:rsidRPr="00AC54AA">
        <w:rPr>
          <w:rFonts w:eastAsia="Aptos"/>
          <w:color w:val="auto"/>
          <w:kern w:val="2"/>
          <w:sz w:val="24"/>
          <w:szCs w:val="24"/>
          <w:lang w:eastAsia="en-US"/>
          <w14:ligatures w14:val="standardContextual"/>
        </w:rPr>
        <w:t xml:space="preserve">. 4th </w:t>
      </w:r>
      <w:proofErr w:type="spellStart"/>
      <w:r w:rsidRPr="00AC54AA">
        <w:rPr>
          <w:rFonts w:eastAsia="Aptos"/>
          <w:color w:val="auto"/>
          <w:kern w:val="2"/>
          <w:sz w:val="24"/>
          <w:szCs w:val="24"/>
          <w:lang w:eastAsia="en-US"/>
          <w14:ligatures w14:val="standardContextual"/>
        </w:rPr>
        <w:t>edn</w:t>
      </w:r>
      <w:proofErr w:type="spellEnd"/>
      <w:r w:rsidRPr="00AC54AA">
        <w:rPr>
          <w:rFonts w:eastAsia="Aptos"/>
          <w:color w:val="auto"/>
          <w:kern w:val="2"/>
          <w:sz w:val="24"/>
          <w:szCs w:val="24"/>
          <w:lang w:eastAsia="en-US"/>
          <w14:ligatures w14:val="standardContextual"/>
        </w:rPr>
        <w:t>. Basingstoke: Palgrave Macmillan.</w:t>
      </w:r>
    </w:p>
    <w:p w14:paraId="2BEE3E72"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Turnell, A. and Edwards, S. (1999) </w:t>
      </w:r>
      <w:r w:rsidRPr="00AC54AA">
        <w:rPr>
          <w:rFonts w:eastAsia="Aptos"/>
          <w:i/>
          <w:iCs/>
          <w:color w:val="auto"/>
          <w:kern w:val="2"/>
          <w:sz w:val="24"/>
          <w:szCs w:val="24"/>
          <w:lang w:eastAsia="en-US"/>
          <w14:ligatures w14:val="standardContextual"/>
        </w:rPr>
        <w:t>Signs of Safety: A Solution and Safety Oriented Approach to Child Protection Casework</w:t>
      </w:r>
      <w:r w:rsidRPr="00AC54AA">
        <w:rPr>
          <w:rFonts w:eastAsia="Aptos"/>
          <w:color w:val="auto"/>
          <w:kern w:val="2"/>
          <w:sz w:val="24"/>
          <w:szCs w:val="24"/>
          <w:lang w:eastAsia="en-US"/>
          <w14:ligatures w14:val="standardContextual"/>
        </w:rPr>
        <w:t>. New York: W.W. Norton &amp; Company.</w:t>
      </w:r>
    </w:p>
    <w:p w14:paraId="6DDE5CE6"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i/>
          <w:iCs/>
          <w:color w:val="auto"/>
          <w:kern w:val="2"/>
          <w:sz w:val="24"/>
          <w:szCs w:val="24"/>
          <w:lang w:eastAsia="en-US"/>
          <w14:ligatures w14:val="standardContextual"/>
        </w:rPr>
        <w:t>UN Convention on the Rights of the Child (1989).</w:t>
      </w:r>
      <w:r w:rsidRPr="00AC54AA">
        <w:rPr>
          <w:rFonts w:eastAsia="Aptos"/>
          <w:color w:val="auto"/>
          <w:kern w:val="2"/>
          <w:sz w:val="24"/>
          <w:szCs w:val="24"/>
          <w:lang w:eastAsia="en-US"/>
          <w14:ligatures w14:val="standardContextual"/>
        </w:rPr>
        <w:t xml:space="preserve"> Available at: https://www.unicef.org.uk/what-we-do/un-convention-child-rights/ (Accessed: 19 September 2024).</w:t>
      </w:r>
    </w:p>
    <w:p w14:paraId="069EDA52"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i/>
          <w:iCs/>
          <w:color w:val="auto"/>
          <w:kern w:val="2"/>
          <w:sz w:val="24"/>
          <w:szCs w:val="24"/>
          <w:lang w:eastAsia="en-US"/>
          <w14:ligatures w14:val="standardContextual"/>
        </w:rPr>
        <w:t xml:space="preserve">United Nations Principles for Older Persons 1991. </w:t>
      </w:r>
      <w:r w:rsidRPr="00AC54AA">
        <w:rPr>
          <w:rFonts w:eastAsia="Aptos"/>
          <w:color w:val="auto"/>
          <w:kern w:val="2"/>
          <w:sz w:val="24"/>
          <w:szCs w:val="24"/>
          <w:lang w:eastAsia="en-US"/>
          <w14:ligatures w14:val="standardContextual"/>
        </w:rPr>
        <w:t xml:space="preserve">Available at: </w:t>
      </w:r>
      <w:hyperlink r:id="rId33" w:history="1">
        <w:r w:rsidRPr="00AC54AA">
          <w:rPr>
            <w:rFonts w:eastAsia="Aptos"/>
            <w:color w:val="467886"/>
            <w:kern w:val="2"/>
            <w:sz w:val="24"/>
            <w:szCs w:val="24"/>
            <w:u w:val="single"/>
            <w:lang w:eastAsia="en-US"/>
            <w14:ligatures w14:val="standardContextual"/>
          </w:rPr>
          <w:t>https://www.ohchr.org/en/instruments-mechanisms/instruments/united-nations-principles-older-persons</w:t>
        </w:r>
      </w:hyperlink>
      <w:r w:rsidRPr="00AC54AA">
        <w:rPr>
          <w:rFonts w:eastAsia="Aptos"/>
          <w:color w:val="auto"/>
          <w:kern w:val="2"/>
          <w:sz w:val="24"/>
          <w:szCs w:val="24"/>
          <w:lang w:eastAsia="en-US"/>
          <w14:ligatures w14:val="standardContextual"/>
        </w:rPr>
        <w:t xml:space="preserve"> (Accessed 13 September 2024)</w:t>
      </w:r>
    </w:p>
    <w:p w14:paraId="172A2B85"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i/>
          <w:iCs/>
          <w:color w:val="auto"/>
          <w:kern w:val="2"/>
          <w:sz w:val="24"/>
          <w:szCs w:val="24"/>
          <w:lang w:eastAsia="en-US"/>
          <w14:ligatures w14:val="standardContextual"/>
        </w:rPr>
        <w:t>Wales Safeguarding Procedures</w:t>
      </w:r>
      <w:r w:rsidRPr="00AC54AA">
        <w:rPr>
          <w:rFonts w:eastAsia="Aptos"/>
          <w:color w:val="auto"/>
          <w:kern w:val="2"/>
          <w:sz w:val="24"/>
          <w:szCs w:val="24"/>
          <w:lang w:eastAsia="en-US"/>
          <w14:ligatures w14:val="standardContextual"/>
        </w:rPr>
        <w:t xml:space="preserve"> (2019) Available at: </w:t>
      </w:r>
      <w:hyperlink r:id="rId34" w:tgtFrame="_new" w:history="1">
        <w:r w:rsidRPr="00AC54AA">
          <w:rPr>
            <w:rFonts w:eastAsia="Aptos"/>
            <w:color w:val="467886"/>
            <w:kern w:val="2"/>
            <w:sz w:val="24"/>
            <w:szCs w:val="24"/>
            <w:u w:val="single"/>
            <w:lang w:eastAsia="en-US"/>
            <w14:ligatures w14:val="standardContextual"/>
          </w:rPr>
          <w:t>https://safeguarding.wales/en/</w:t>
        </w:r>
      </w:hyperlink>
      <w:r w:rsidRPr="00AC54AA">
        <w:rPr>
          <w:rFonts w:eastAsia="Aptos"/>
          <w:color w:val="auto"/>
          <w:kern w:val="2"/>
          <w:sz w:val="24"/>
          <w:szCs w:val="24"/>
          <w:lang w:eastAsia="en-US"/>
          <w14:ligatures w14:val="standardContextual"/>
        </w:rPr>
        <w:t xml:space="preserve"> (Accessed: 13 September 2024)  </w:t>
      </w:r>
    </w:p>
    <w:p w14:paraId="47D45BD7"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lastRenderedPageBreak/>
        <w:t>Ward, D., (2000) ‘Ageism and the abuse of older people in health and social care’, </w:t>
      </w:r>
      <w:r w:rsidRPr="00AC54AA">
        <w:rPr>
          <w:rFonts w:eastAsia="Aptos"/>
          <w:i/>
          <w:iCs/>
          <w:color w:val="auto"/>
          <w:kern w:val="2"/>
          <w:sz w:val="24"/>
          <w:szCs w:val="24"/>
          <w:lang w:eastAsia="en-US"/>
          <w14:ligatures w14:val="standardContextual"/>
        </w:rPr>
        <w:t>British Journal of Nursing</w:t>
      </w:r>
      <w:r w:rsidRPr="00AC54AA">
        <w:rPr>
          <w:rFonts w:eastAsia="Aptos"/>
          <w:color w:val="auto"/>
          <w:kern w:val="2"/>
          <w:sz w:val="24"/>
          <w:szCs w:val="24"/>
          <w:lang w:eastAsia="en-US"/>
          <w14:ligatures w14:val="standardContextual"/>
        </w:rPr>
        <w:t>, </w:t>
      </w:r>
      <w:r w:rsidRPr="00AC54AA">
        <w:rPr>
          <w:rFonts w:eastAsia="Aptos"/>
          <w:i/>
          <w:iCs/>
          <w:color w:val="auto"/>
          <w:kern w:val="2"/>
          <w:sz w:val="24"/>
          <w:szCs w:val="24"/>
          <w:lang w:eastAsia="en-US"/>
          <w14:ligatures w14:val="standardContextual"/>
        </w:rPr>
        <w:t>9</w:t>
      </w:r>
      <w:r w:rsidRPr="00AC54AA">
        <w:rPr>
          <w:rFonts w:eastAsia="Aptos"/>
          <w:color w:val="auto"/>
          <w:kern w:val="2"/>
          <w:sz w:val="24"/>
          <w:szCs w:val="24"/>
          <w:lang w:eastAsia="en-US"/>
          <w14:ligatures w14:val="standardContextual"/>
        </w:rPr>
        <w:t>(9), pp.560-563. Available at: https://doi.org/10.12968/bjon.2000.9.9.6292</w:t>
      </w:r>
    </w:p>
    <w:p w14:paraId="38D42EBB"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Welsh Government (2015) </w:t>
      </w:r>
      <w:r w:rsidRPr="00AC54AA">
        <w:rPr>
          <w:rFonts w:eastAsia="Aptos"/>
          <w:i/>
          <w:iCs/>
          <w:color w:val="auto"/>
          <w:kern w:val="2"/>
          <w:sz w:val="24"/>
          <w:szCs w:val="24"/>
          <w:lang w:eastAsia="en-US"/>
          <w14:ligatures w14:val="standardContextual"/>
        </w:rPr>
        <w:t>More than Just Words</w:t>
      </w:r>
      <w:r w:rsidRPr="00AC54AA">
        <w:rPr>
          <w:rFonts w:eastAsia="Aptos"/>
          <w:color w:val="auto"/>
          <w:kern w:val="2"/>
          <w:sz w:val="24"/>
          <w:szCs w:val="24"/>
          <w:lang w:eastAsia="en-US"/>
          <w14:ligatures w14:val="standardContextual"/>
        </w:rPr>
        <w:t>. Available at: https://www.gov.wales/sites/default/files/publications/2019-04/delivering-the-active-offer-information-pack-social-services-and-social-care.pdf (Accessed: 01/09/2024)</w:t>
      </w:r>
    </w:p>
    <w:p w14:paraId="3F119DCA"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Wigan Council (2024) </w:t>
      </w:r>
      <w:r w:rsidRPr="00AC54AA">
        <w:rPr>
          <w:rFonts w:eastAsia="Aptos"/>
          <w:i/>
          <w:iCs/>
          <w:color w:val="auto"/>
          <w:kern w:val="2"/>
          <w:sz w:val="24"/>
          <w:szCs w:val="24"/>
          <w:lang w:eastAsia="en-US"/>
          <w14:ligatures w14:val="standardContextual"/>
        </w:rPr>
        <w:t>Signs of Safety.</w:t>
      </w:r>
      <w:r w:rsidRPr="00AC54AA">
        <w:rPr>
          <w:rFonts w:eastAsia="Aptos"/>
          <w:color w:val="auto"/>
          <w:kern w:val="2"/>
          <w:sz w:val="24"/>
          <w:szCs w:val="24"/>
          <w:lang w:eastAsia="en-US"/>
          <w14:ligatures w14:val="standardContextual"/>
        </w:rPr>
        <w:t xml:space="preserve"> Available at: </w:t>
      </w:r>
      <w:hyperlink r:id="rId35" w:history="1">
        <w:r w:rsidRPr="00AC54AA">
          <w:rPr>
            <w:rFonts w:eastAsia="Aptos"/>
            <w:color w:val="467886"/>
            <w:kern w:val="2"/>
            <w:sz w:val="24"/>
            <w:szCs w:val="24"/>
            <w:u w:val="single"/>
            <w:lang w:eastAsia="en-US"/>
            <w14:ligatures w14:val="standardContextual"/>
          </w:rPr>
          <w:t>https://www.wigan.gov.uk/Business/Professionals/Social-Work-Academy/Social-work-practice-in-Wigan/Signs-of-safety-practice-model.aspx</w:t>
        </w:r>
      </w:hyperlink>
      <w:r w:rsidRPr="00AC54AA">
        <w:rPr>
          <w:rFonts w:eastAsia="Aptos"/>
          <w:color w:val="auto"/>
          <w:kern w:val="2"/>
          <w:sz w:val="24"/>
          <w:szCs w:val="24"/>
          <w:lang w:eastAsia="en-US"/>
          <w14:ligatures w14:val="standardContextual"/>
        </w:rPr>
        <w:t xml:space="preserve"> (Accessed 19 September 2024). </w:t>
      </w:r>
    </w:p>
    <w:p w14:paraId="21DF30C4" w14:textId="77777777" w:rsidR="00AC54AA" w:rsidRPr="00AC54AA" w:rsidRDefault="00AC54AA" w:rsidP="00AC54AA">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AC54AA">
        <w:rPr>
          <w:rFonts w:eastAsia="Aptos"/>
          <w:color w:val="auto"/>
          <w:kern w:val="2"/>
          <w:sz w:val="24"/>
          <w:szCs w:val="24"/>
          <w:lang w:eastAsia="en-US"/>
          <w14:ligatures w14:val="standardContextual"/>
        </w:rPr>
        <w:t xml:space="preserve">Ylvisaker, S. and </w:t>
      </w:r>
      <w:proofErr w:type="spellStart"/>
      <w:r w:rsidRPr="00AC54AA">
        <w:rPr>
          <w:rFonts w:eastAsia="Aptos"/>
          <w:color w:val="auto"/>
          <w:kern w:val="2"/>
          <w:sz w:val="24"/>
          <w:szCs w:val="24"/>
          <w:lang w:eastAsia="en-US"/>
          <w14:ligatures w14:val="standardContextual"/>
        </w:rPr>
        <w:t>Rugkåsa</w:t>
      </w:r>
      <w:proofErr w:type="spellEnd"/>
      <w:r w:rsidRPr="00AC54AA">
        <w:rPr>
          <w:rFonts w:eastAsia="Aptos"/>
          <w:color w:val="auto"/>
          <w:kern w:val="2"/>
          <w:sz w:val="24"/>
          <w:szCs w:val="24"/>
          <w:lang w:eastAsia="en-US"/>
          <w14:ligatures w14:val="standardContextual"/>
        </w:rPr>
        <w:t xml:space="preserve">, M. (2021) ‘Dilemmas and conflicting pressures in social work practice’, </w:t>
      </w:r>
      <w:r w:rsidRPr="00AC54AA">
        <w:rPr>
          <w:rFonts w:eastAsia="Aptos"/>
          <w:i/>
          <w:iCs/>
          <w:color w:val="auto"/>
          <w:kern w:val="2"/>
          <w:sz w:val="24"/>
          <w:szCs w:val="24"/>
          <w:lang w:eastAsia="en-US"/>
          <w14:ligatures w14:val="standardContextual"/>
        </w:rPr>
        <w:t>European Journal of Social Work</w:t>
      </w:r>
      <w:r w:rsidRPr="00AC54AA">
        <w:rPr>
          <w:rFonts w:eastAsia="Aptos"/>
          <w:color w:val="auto"/>
          <w:kern w:val="2"/>
          <w:sz w:val="24"/>
          <w:szCs w:val="24"/>
          <w:lang w:eastAsia="en-US"/>
          <w14:ligatures w14:val="standardContextual"/>
        </w:rPr>
        <w:t>, 25(4), pp. 643–654. Available at: https://doi.org/10.1080/13691457.2021.1954884</w:t>
      </w: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5173E756" w:rsidR="00E559CE" w:rsidRPr="00B17FA0" w:rsidRDefault="005131BC" w:rsidP="00B94443">
            <w:pPr>
              <w:jc w:val="both"/>
              <w:rPr>
                <w:sz w:val="24"/>
                <w:szCs w:val="24"/>
              </w:rPr>
            </w:pPr>
            <w:r>
              <w:rPr>
                <w:sz w:val="24"/>
                <w:szCs w:val="24"/>
              </w:rPr>
              <w:t>16/11/202</w:t>
            </w:r>
            <w:r w:rsidR="00102640">
              <w:rPr>
                <w:sz w:val="24"/>
                <w:szCs w:val="24"/>
              </w:rPr>
              <w:t>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786A3327" w:rsidR="00E559CE" w:rsidRPr="00B17FA0" w:rsidRDefault="00105FA1" w:rsidP="00B94443">
            <w:pPr>
              <w:jc w:val="both"/>
              <w:rPr>
                <w:sz w:val="24"/>
                <w:szCs w:val="24"/>
              </w:rPr>
            </w:pPr>
            <w:r>
              <w:rPr>
                <w:sz w:val="24"/>
                <w:szCs w:val="24"/>
              </w:rPr>
              <w:t>23/01/2024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3FBEE334" w:rsidR="00E559CE" w:rsidRPr="00B17FA0" w:rsidRDefault="00102640" w:rsidP="00B94443">
            <w:pPr>
              <w:jc w:val="both"/>
              <w:rPr>
                <w:sz w:val="24"/>
                <w:szCs w:val="24"/>
              </w:rPr>
            </w:pPr>
            <w:r>
              <w:rPr>
                <w:sz w:val="24"/>
                <w:szCs w:val="24"/>
              </w:rPr>
              <w:t>01/05/2024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9CE0CCC" w:rsidR="00E559CE" w:rsidRPr="00B17FA0" w:rsidRDefault="00102640" w:rsidP="00B94443">
            <w:pPr>
              <w:jc w:val="both"/>
              <w:rPr>
                <w:sz w:val="24"/>
                <w:szCs w:val="24"/>
              </w:rPr>
            </w:pPr>
            <w:r>
              <w:rPr>
                <w:sz w:val="24"/>
                <w:szCs w:val="24"/>
              </w:rPr>
              <w:t>04/06/2024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2D964E3" w14:textId="77777777" w:rsidR="002F5A99" w:rsidRDefault="002F5A99" w:rsidP="002F5A99">
            <w:pPr>
              <w:jc w:val="both"/>
              <w:rPr>
                <w:color w:val="auto"/>
                <w:sz w:val="24"/>
                <w:szCs w:val="24"/>
              </w:rPr>
            </w:pPr>
            <w:r w:rsidRPr="002F5A99">
              <w:rPr>
                <w:color w:val="auto"/>
                <w:sz w:val="24"/>
                <w:szCs w:val="24"/>
              </w:rPr>
              <w:t xml:space="preserve">I have known the learner since she joined the team in June </w:t>
            </w:r>
            <w:proofErr w:type="gramStart"/>
            <w:r w:rsidRPr="002F5A99">
              <w:rPr>
                <w:color w:val="auto"/>
                <w:sz w:val="24"/>
                <w:szCs w:val="24"/>
              </w:rPr>
              <w:t>2022</w:t>
            </w:r>
            <w:proofErr w:type="gramEnd"/>
            <w:r w:rsidRPr="002F5A99">
              <w:rPr>
                <w:color w:val="auto"/>
                <w:sz w:val="24"/>
                <w:szCs w:val="24"/>
              </w:rPr>
              <w:t xml:space="preserve"> and she was initially working in my hub.  </w:t>
            </w:r>
          </w:p>
          <w:p w14:paraId="19058ED3" w14:textId="77777777" w:rsidR="002F5A99" w:rsidRPr="002F5A99" w:rsidRDefault="002F5A99" w:rsidP="002F5A99">
            <w:pPr>
              <w:jc w:val="both"/>
              <w:rPr>
                <w:color w:val="auto"/>
                <w:sz w:val="24"/>
                <w:szCs w:val="24"/>
              </w:rPr>
            </w:pPr>
          </w:p>
          <w:p w14:paraId="7900458F" w14:textId="55100306" w:rsidR="002F5A99" w:rsidRDefault="002F5A99" w:rsidP="002F5A99">
            <w:pPr>
              <w:jc w:val="both"/>
              <w:rPr>
                <w:color w:val="auto"/>
                <w:sz w:val="24"/>
                <w:szCs w:val="24"/>
              </w:rPr>
            </w:pPr>
            <w:r w:rsidRPr="002F5A99">
              <w:rPr>
                <w:color w:val="auto"/>
                <w:sz w:val="24"/>
                <w:szCs w:val="24"/>
              </w:rPr>
              <w:t xml:space="preserve">One of the areas identified for development was undertaking mental capacity assessments.  The learner has been proactive in seeking suitable opportunities to develop her expertise in this area. The Mental Capacity Act 2005 underpins our work in the adult team and the ability to implement and understanding how to undertake assessments and best interesting decision making are an integral part of the role.  The learner initially began by shadowing colleagues undertaking formal mental capacity assessments and best interest discussions.  She then completed the required documentation with guidance.  This experiential learning helped her to “learn by doing” and reflect on her experience thus increasing her skills and confidence going forward.  The learner is now more confident in using her judgement to establish the relevant information and applying analysis in her assessment of an </w:t>
            </w:r>
            <w:proofErr w:type="spellStart"/>
            <w:proofErr w:type="gramStart"/>
            <w:r w:rsidRPr="002F5A99">
              <w:rPr>
                <w:color w:val="auto"/>
                <w:sz w:val="24"/>
                <w:szCs w:val="24"/>
              </w:rPr>
              <w:t>individuals</w:t>
            </w:r>
            <w:proofErr w:type="spellEnd"/>
            <w:proofErr w:type="gramEnd"/>
            <w:r w:rsidRPr="002F5A99">
              <w:rPr>
                <w:color w:val="auto"/>
                <w:sz w:val="24"/>
                <w:szCs w:val="24"/>
              </w:rPr>
              <w:t xml:space="preserve"> mental capacity.  </w:t>
            </w:r>
          </w:p>
          <w:p w14:paraId="410E1A34" w14:textId="77777777" w:rsidR="002F5A99" w:rsidRPr="002F5A99" w:rsidRDefault="002F5A99" w:rsidP="002F5A99">
            <w:pPr>
              <w:jc w:val="both"/>
              <w:rPr>
                <w:color w:val="auto"/>
                <w:sz w:val="24"/>
                <w:szCs w:val="24"/>
              </w:rPr>
            </w:pPr>
          </w:p>
          <w:p w14:paraId="1A796AC6" w14:textId="77777777" w:rsidR="002F5A99" w:rsidRDefault="002F5A99" w:rsidP="002F5A99">
            <w:pPr>
              <w:jc w:val="both"/>
              <w:rPr>
                <w:color w:val="auto"/>
                <w:sz w:val="24"/>
                <w:szCs w:val="24"/>
              </w:rPr>
            </w:pPr>
            <w:r w:rsidRPr="002F5A99">
              <w:rPr>
                <w:color w:val="auto"/>
                <w:sz w:val="24"/>
                <w:szCs w:val="24"/>
              </w:rPr>
              <w:t xml:space="preserve">As part of the mentoring </w:t>
            </w:r>
            <w:proofErr w:type="gramStart"/>
            <w:r w:rsidRPr="002F5A99">
              <w:rPr>
                <w:color w:val="auto"/>
                <w:sz w:val="24"/>
                <w:szCs w:val="24"/>
              </w:rPr>
              <w:t>role</w:t>
            </w:r>
            <w:proofErr w:type="gramEnd"/>
            <w:r w:rsidRPr="002F5A99">
              <w:rPr>
                <w:color w:val="auto"/>
                <w:sz w:val="24"/>
                <w:szCs w:val="24"/>
              </w:rPr>
              <w:t xml:space="preserve"> I have observed the learners practice in which she is able to demonstrate empathy, excellent listening skills and effective communication thus enabling the service user to express their wishes and feelings. </w:t>
            </w:r>
          </w:p>
          <w:p w14:paraId="526CAB74" w14:textId="77777777" w:rsidR="002F5A99" w:rsidRPr="002F5A99" w:rsidRDefault="002F5A99" w:rsidP="002F5A99">
            <w:pPr>
              <w:jc w:val="both"/>
              <w:rPr>
                <w:color w:val="auto"/>
                <w:sz w:val="24"/>
                <w:szCs w:val="24"/>
              </w:rPr>
            </w:pPr>
          </w:p>
          <w:p w14:paraId="3F01F017" w14:textId="77777777" w:rsidR="002F5A99" w:rsidRDefault="002F5A99" w:rsidP="002F5A99">
            <w:pPr>
              <w:jc w:val="both"/>
              <w:rPr>
                <w:color w:val="auto"/>
                <w:sz w:val="24"/>
                <w:szCs w:val="24"/>
              </w:rPr>
            </w:pPr>
            <w:r w:rsidRPr="002F5A99">
              <w:rPr>
                <w:color w:val="auto"/>
                <w:sz w:val="24"/>
                <w:szCs w:val="24"/>
              </w:rPr>
              <w:lastRenderedPageBreak/>
              <w:t xml:space="preserve">Another area identified for development by the learner was the completion of decision support tools in relation to the continuing health care process.  The learner had also identified difficulties with managing confrontation within collaborative working with other professionals.  Developing the ability to respectfully challenge the views of other professionals is a skill that develops over time and with experience.  The learner recognised that as a newly qualified social worker </w:t>
            </w:r>
            <w:proofErr w:type="gramStart"/>
            <w:r w:rsidRPr="002F5A99">
              <w:rPr>
                <w:color w:val="auto"/>
                <w:sz w:val="24"/>
                <w:szCs w:val="24"/>
              </w:rPr>
              <w:t>in order to</w:t>
            </w:r>
            <w:proofErr w:type="gramEnd"/>
            <w:r w:rsidRPr="002F5A99">
              <w:rPr>
                <w:color w:val="auto"/>
                <w:sz w:val="24"/>
                <w:szCs w:val="24"/>
              </w:rPr>
              <w:t xml:space="preserve"> be confident in collaborative multi-disciplinary working, she must be knowledgeable and able to back up her challenge with evidence. To do this she ensures she has all the required knowledge and information.   I have observed the learner using other skills such as asking relevant questions and exploring alternative approaches, as well as demonstrating diplomacy and respect for alternating opinions.  With experience her confidence has grown, and she is able to advocate successfully for individuals, ensuring good practice.  </w:t>
            </w:r>
          </w:p>
          <w:p w14:paraId="793ED851" w14:textId="77777777" w:rsidR="002F5A99" w:rsidRPr="002F5A99" w:rsidRDefault="002F5A99" w:rsidP="002F5A99">
            <w:pPr>
              <w:jc w:val="both"/>
              <w:rPr>
                <w:color w:val="auto"/>
                <w:sz w:val="24"/>
                <w:szCs w:val="24"/>
              </w:rPr>
            </w:pPr>
          </w:p>
          <w:p w14:paraId="48648B1B" w14:textId="77777777" w:rsidR="002F5A99" w:rsidRPr="002F5A99" w:rsidRDefault="002F5A99" w:rsidP="002F5A99">
            <w:pPr>
              <w:jc w:val="both"/>
              <w:rPr>
                <w:color w:val="auto"/>
                <w:sz w:val="24"/>
                <w:szCs w:val="24"/>
              </w:rPr>
            </w:pPr>
            <w:r w:rsidRPr="002F5A99">
              <w:rPr>
                <w:color w:val="auto"/>
                <w:sz w:val="24"/>
                <w:szCs w:val="24"/>
              </w:rPr>
              <w:t xml:space="preserve">The learner has used supervision as a reflective tool to explore what has worked well, and what she could try in the future, and she is able to link in relevant theories to practice.  She </w:t>
            </w:r>
            <w:proofErr w:type="gramStart"/>
            <w:r w:rsidRPr="002F5A99">
              <w:rPr>
                <w:color w:val="auto"/>
                <w:sz w:val="24"/>
                <w:szCs w:val="24"/>
              </w:rPr>
              <w:t>is able to</w:t>
            </w:r>
            <w:proofErr w:type="gramEnd"/>
            <w:r w:rsidRPr="002F5A99">
              <w:rPr>
                <w:color w:val="auto"/>
                <w:sz w:val="24"/>
                <w:szCs w:val="24"/>
              </w:rPr>
              <w:t xml:space="preserve"> explore alternative options and consider alternative theories using research if required.  With growing </w:t>
            </w:r>
            <w:proofErr w:type="gramStart"/>
            <w:r w:rsidRPr="002F5A99">
              <w:rPr>
                <w:color w:val="auto"/>
                <w:sz w:val="24"/>
                <w:szCs w:val="24"/>
              </w:rPr>
              <w:t>experience</w:t>
            </w:r>
            <w:proofErr w:type="gramEnd"/>
            <w:r w:rsidRPr="002F5A99">
              <w:rPr>
                <w:color w:val="auto"/>
                <w:sz w:val="24"/>
                <w:szCs w:val="24"/>
              </w:rPr>
              <w:t xml:space="preserve"> she has been allocated more complex cases.  When working with these cases I have observed that she is able to demonstrate a critical understanding of the difference between theory, research </w:t>
            </w:r>
            <w:proofErr w:type="gramStart"/>
            <w:r w:rsidRPr="002F5A99">
              <w:rPr>
                <w:color w:val="auto"/>
                <w:sz w:val="24"/>
                <w:szCs w:val="24"/>
              </w:rPr>
              <w:t>and  evidence</w:t>
            </w:r>
            <w:proofErr w:type="gramEnd"/>
            <w:r w:rsidRPr="002F5A99">
              <w:rPr>
                <w:color w:val="auto"/>
                <w:sz w:val="24"/>
                <w:szCs w:val="24"/>
              </w:rPr>
              <w:t xml:space="preserve">.  She </w:t>
            </w:r>
            <w:proofErr w:type="gramStart"/>
            <w:r w:rsidRPr="002F5A99">
              <w:rPr>
                <w:color w:val="auto"/>
                <w:sz w:val="24"/>
                <w:szCs w:val="24"/>
              </w:rPr>
              <w:t>is  then</w:t>
            </w:r>
            <w:proofErr w:type="gramEnd"/>
            <w:r w:rsidRPr="002F5A99">
              <w:rPr>
                <w:color w:val="auto"/>
                <w:sz w:val="24"/>
                <w:szCs w:val="24"/>
              </w:rPr>
              <w:t xml:space="preserve"> able to apply this  expertise when decision making, and evidencing her practice and professional judgement</w:t>
            </w:r>
          </w:p>
          <w:p w14:paraId="223EC8F8" w14:textId="77777777" w:rsidR="00F77B44" w:rsidRDefault="00F77B44" w:rsidP="002F5A99">
            <w:pPr>
              <w:jc w:val="both"/>
              <w:rPr>
                <w:color w:val="auto"/>
                <w:sz w:val="24"/>
                <w:szCs w:val="24"/>
              </w:rPr>
            </w:pPr>
          </w:p>
          <w:p w14:paraId="54396219" w14:textId="2928EDFD" w:rsidR="002F5A99" w:rsidRDefault="002F5A99" w:rsidP="002F5A99">
            <w:pPr>
              <w:jc w:val="both"/>
              <w:rPr>
                <w:color w:val="auto"/>
                <w:sz w:val="24"/>
                <w:szCs w:val="24"/>
              </w:rPr>
            </w:pPr>
            <w:r w:rsidRPr="002F5A99">
              <w:rPr>
                <w:color w:val="auto"/>
                <w:sz w:val="24"/>
                <w:szCs w:val="24"/>
              </w:rPr>
              <w:t xml:space="preserve">The learner has grown in confidence and social work skills since she initially joined the team.  She has become a valued member of the team with the ability to manage more complex cases.  She demonstrates safe practice, will approach senior managers for advice where required and she is able to document and evidence her decision making.  </w:t>
            </w:r>
          </w:p>
          <w:p w14:paraId="6DB2C7F5" w14:textId="77777777" w:rsidR="002F5A99" w:rsidRPr="002F5A99" w:rsidRDefault="002F5A99" w:rsidP="002F5A99">
            <w:pPr>
              <w:jc w:val="both"/>
              <w:rPr>
                <w:color w:val="auto"/>
                <w:sz w:val="24"/>
                <w:szCs w:val="24"/>
              </w:rPr>
            </w:pPr>
          </w:p>
          <w:p w14:paraId="575BDF1E" w14:textId="38754A60" w:rsidR="00FC0334" w:rsidRDefault="002F5A99" w:rsidP="002F5A99">
            <w:pPr>
              <w:jc w:val="both"/>
              <w:rPr>
                <w:color w:val="auto"/>
                <w:sz w:val="24"/>
                <w:szCs w:val="24"/>
              </w:rPr>
            </w:pPr>
            <w:r w:rsidRPr="002F5A99">
              <w:rPr>
                <w:color w:val="auto"/>
                <w:sz w:val="24"/>
                <w:szCs w:val="24"/>
              </w:rPr>
              <w:t>I feel that the learner has more than evidenced meeting her agreed learning outcomes and embraces continued learning</w:t>
            </w: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DF2260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102640" w:rsidRPr="008157DB">
        <w:rPr>
          <w:bCs/>
          <w:sz w:val="24"/>
          <w:szCs w:val="24"/>
        </w:rPr>
        <w:t>Ellie Cleaton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65CE91E5"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102640">
        <w:rPr>
          <w:b/>
          <w:sz w:val="24"/>
          <w:szCs w:val="24"/>
        </w:rPr>
        <w:t xml:space="preserve"> </w:t>
      </w:r>
      <w:r w:rsidR="00284C63" w:rsidRPr="008157DB">
        <w:rPr>
          <w:bCs/>
          <w:sz w:val="24"/>
          <w:szCs w:val="24"/>
        </w:rPr>
        <w:t>1402352</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D3035A5" w14:textId="49DFAC85" w:rsidR="00284C63"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284C63">
        <w:rPr>
          <w:b/>
          <w:sz w:val="24"/>
          <w:szCs w:val="24"/>
        </w:rPr>
        <w:t xml:space="preserve"> </w:t>
      </w:r>
      <w:r w:rsidR="00284C63" w:rsidRPr="008157DB">
        <w:rPr>
          <w:bCs/>
          <w:sz w:val="24"/>
          <w:szCs w:val="24"/>
        </w:rPr>
        <w:t>25B Little Water Street, Carmarthen, SA311ER</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65BE46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284C63">
        <w:rPr>
          <w:b/>
          <w:sz w:val="24"/>
          <w:szCs w:val="24"/>
        </w:rPr>
        <w:t xml:space="preserve"> </w:t>
      </w:r>
      <w:r w:rsidR="00284C63" w:rsidRPr="008157DB">
        <w:rPr>
          <w:bCs/>
          <w:sz w:val="24"/>
          <w:szCs w:val="24"/>
        </w:rPr>
        <w:t>07496260871</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ED2651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963CAE">
        <w:rPr>
          <w:b/>
          <w:sz w:val="24"/>
          <w:szCs w:val="24"/>
        </w:rPr>
        <w:t xml:space="preserve"> </w:t>
      </w:r>
      <w:r w:rsidR="00963CAE" w:rsidRPr="008157DB">
        <w:rPr>
          <w:bCs/>
          <w:sz w:val="24"/>
          <w:szCs w:val="24"/>
        </w:rPr>
        <w:t>e.cleaton@hotmail.co.uk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67C8CE7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A4746E" w:rsidRPr="008157DB">
        <w:rPr>
          <w:bCs/>
          <w:sz w:val="24"/>
          <w:szCs w:val="24"/>
        </w:rPr>
        <w:t>05/08/2022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45DE286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A4746E">
        <w:rPr>
          <w:b/>
          <w:sz w:val="24"/>
          <w:szCs w:val="24"/>
        </w:rPr>
        <w:t xml:space="preserve"> </w:t>
      </w:r>
      <w:r w:rsidR="00AF3CAE" w:rsidRPr="008157DB">
        <w:rPr>
          <w:bCs/>
          <w:sz w:val="24"/>
          <w:szCs w:val="24"/>
        </w:rPr>
        <w:t>0</w:t>
      </w:r>
      <w:r w:rsidR="00487B46" w:rsidRPr="008157DB">
        <w:rPr>
          <w:bCs/>
          <w:sz w:val="24"/>
          <w:szCs w:val="24"/>
        </w:rPr>
        <w:t>5/09/2022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2209065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222E6D">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B252857" w:rsidR="004923DA" w:rsidRPr="008157DB"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Name:</w:t>
      </w:r>
      <w:r w:rsidR="001222A1">
        <w:rPr>
          <w:b/>
          <w:sz w:val="24"/>
          <w:szCs w:val="24"/>
        </w:rPr>
        <w:t xml:space="preserve"> </w:t>
      </w:r>
      <w:r w:rsidR="001222A1" w:rsidRPr="008157DB">
        <w:rPr>
          <w:bCs/>
          <w:sz w:val="24"/>
          <w:szCs w:val="24"/>
        </w:rPr>
        <w:t>Carmarthenshire County Council</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5F647C06" w:rsidR="004923DA" w:rsidRDefault="000F0C43" w:rsidP="00FF7EBB">
      <w:pPr>
        <w:pBdr>
          <w:top w:val="single" w:sz="6" w:space="1" w:color="auto"/>
          <w:left w:val="single" w:sz="6" w:space="1" w:color="auto"/>
          <w:bottom w:val="single" w:sz="6" w:space="1" w:color="auto"/>
          <w:right w:val="single" w:sz="6" w:space="1" w:color="auto"/>
        </w:pBdr>
        <w:jc w:val="both"/>
        <w:rPr>
          <w:b/>
          <w:sz w:val="24"/>
          <w:szCs w:val="24"/>
        </w:rPr>
      </w:pPr>
      <w:r w:rsidRPr="008157DB">
        <w:rPr>
          <w:bCs/>
          <w:sz w:val="24"/>
          <w:szCs w:val="24"/>
        </w:rPr>
        <w:t>Building</w:t>
      </w:r>
      <w:r>
        <w:rPr>
          <w:b/>
          <w:sz w:val="24"/>
          <w:szCs w:val="24"/>
        </w:rPr>
        <w:t xml:space="preserve"> </w:t>
      </w:r>
      <w:r w:rsidRPr="008157DB">
        <w:rPr>
          <w:bCs/>
          <w:sz w:val="24"/>
          <w:szCs w:val="24"/>
        </w:rPr>
        <w:t xml:space="preserve">7, St David’s Park, </w:t>
      </w:r>
      <w:r w:rsidR="00AE68AF" w:rsidRPr="008157DB">
        <w:rPr>
          <w:bCs/>
          <w:sz w:val="24"/>
          <w:szCs w:val="24"/>
        </w:rPr>
        <w:t>Jobs Well Road, Carmarthen, SA313HB</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433C7D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AE68AF">
        <w:rPr>
          <w:b/>
          <w:sz w:val="24"/>
          <w:szCs w:val="24"/>
        </w:rPr>
        <w:t xml:space="preserve"> </w:t>
      </w:r>
      <w:r w:rsidR="00AE68AF" w:rsidRPr="008157DB">
        <w:rPr>
          <w:bCs/>
          <w:sz w:val="24"/>
          <w:szCs w:val="24"/>
        </w:rPr>
        <w:t>01267 246921</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656705B1"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D3149B">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7596F9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F739B6">
        <w:rPr>
          <w:b/>
          <w:sz w:val="24"/>
          <w:szCs w:val="24"/>
        </w:rPr>
        <w:t xml:space="preserve"> </w:t>
      </w:r>
      <w:r w:rsidR="00F739B6" w:rsidRPr="00F10CC3">
        <w:rPr>
          <w:bCs/>
          <w:sz w:val="24"/>
          <w:szCs w:val="24"/>
        </w:rPr>
        <w:t>Maureen Forrester</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1D1A5C8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F739B6">
        <w:rPr>
          <w:b/>
          <w:sz w:val="24"/>
          <w:szCs w:val="24"/>
        </w:rPr>
        <w:t xml:space="preserve"> </w:t>
      </w:r>
    </w:p>
    <w:p w14:paraId="449CC1DE" w14:textId="77777777" w:rsidR="00F10CC3" w:rsidRPr="00F10CC3" w:rsidRDefault="00F10CC3" w:rsidP="00F10CC3">
      <w:pPr>
        <w:pBdr>
          <w:top w:val="single" w:sz="6" w:space="1" w:color="auto"/>
          <w:left w:val="single" w:sz="6" w:space="1" w:color="auto"/>
          <w:bottom w:val="single" w:sz="6" w:space="1" w:color="auto"/>
          <w:right w:val="single" w:sz="6" w:space="1" w:color="auto"/>
        </w:pBdr>
        <w:jc w:val="both"/>
        <w:rPr>
          <w:bCs/>
          <w:sz w:val="24"/>
          <w:szCs w:val="24"/>
        </w:rPr>
      </w:pPr>
      <w:r w:rsidRPr="00F10CC3">
        <w:rPr>
          <w:bCs/>
          <w:sz w:val="24"/>
          <w:szCs w:val="24"/>
        </w:rPr>
        <w:t xml:space="preserve">Building 7 </w:t>
      </w:r>
    </w:p>
    <w:p w14:paraId="4CC63E69" w14:textId="77777777" w:rsidR="00F10CC3" w:rsidRPr="00F10CC3" w:rsidRDefault="00F10CC3" w:rsidP="00F10CC3">
      <w:pPr>
        <w:pBdr>
          <w:top w:val="single" w:sz="6" w:space="1" w:color="auto"/>
          <w:left w:val="single" w:sz="6" w:space="1" w:color="auto"/>
          <w:bottom w:val="single" w:sz="6" w:space="1" w:color="auto"/>
          <w:right w:val="single" w:sz="6" w:space="1" w:color="auto"/>
        </w:pBdr>
        <w:jc w:val="both"/>
        <w:rPr>
          <w:bCs/>
          <w:sz w:val="24"/>
          <w:szCs w:val="24"/>
        </w:rPr>
      </w:pPr>
      <w:r w:rsidRPr="00F10CC3">
        <w:rPr>
          <w:bCs/>
          <w:sz w:val="24"/>
          <w:szCs w:val="24"/>
        </w:rPr>
        <w:t xml:space="preserve">St David's Park </w:t>
      </w:r>
    </w:p>
    <w:p w14:paraId="6C551709" w14:textId="77777777" w:rsidR="00F10CC3" w:rsidRPr="00F10CC3" w:rsidRDefault="00F10CC3" w:rsidP="00F10CC3">
      <w:pPr>
        <w:pBdr>
          <w:top w:val="single" w:sz="6" w:space="1" w:color="auto"/>
          <w:left w:val="single" w:sz="6" w:space="1" w:color="auto"/>
          <w:bottom w:val="single" w:sz="6" w:space="1" w:color="auto"/>
          <w:right w:val="single" w:sz="6" w:space="1" w:color="auto"/>
        </w:pBdr>
        <w:jc w:val="both"/>
        <w:rPr>
          <w:bCs/>
          <w:sz w:val="24"/>
          <w:szCs w:val="24"/>
        </w:rPr>
      </w:pPr>
      <w:r w:rsidRPr="00F10CC3">
        <w:rPr>
          <w:bCs/>
          <w:sz w:val="24"/>
          <w:szCs w:val="24"/>
        </w:rPr>
        <w:t xml:space="preserve">Jobs Well Road </w:t>
      </w:r>
    </w:p>
    <w:p w14:paraId="1761ACC2" w14:textId="77777777" w:rsidR="00F10CC3" w:rsidRPr="00F10CC3" w:rsidRDefault="00F10CC3" w:rsidP="00F10CC3">
      <w:pPr>
        <w:pBdr>
          <w:top w:val="single" w:sz="6" w:space="1" w:color="auto"/>
          <w:left w:val="single" w:sz="6" w:space="1" w:color="auto"/>
          <w:bottom w:val="single" w:sz="6" w:space="1" w:color="auto"/>
          <w:right w:val="single" w:sz="6" w:space="1" w:color="auto"/>
        </w:pBdr>
        <w:jc w:val="both"/>
        <w:rPr>
          <w:bCs/>
          <w:sz w:val="24"/>
          <w:szCs w:val="24"/>
        </w:rPr>
      </w:pPr>
      <w:r w:rsidRPr="00F10CC3">
        <w:rPr>
          <w:bCs/>
          <w:sz w:val="24"/>
          <w:szCs w:val="24"/>
        </w:rPr>
        <w:t xml:space="preserve">Carmarthen </w:t>
      </w:r>
    </w:p>
    <w:p w14:paraId="7FECFA3D" w14:textId="192D44F4" w:rsidR="004923DA" w:rsidRPr="00F10CC3" w:rsidRDefault="00F10CC3" w:rsidP="00F10CC3">
      <w:pPr>
        <w:pBdr>
          <w:top w:val="single" w:sz="6" w:space="1" w:color="auto"/>
          <w:left w:val="single" w:sz="6" w:space="1" w:color="auto"/>
          <w:bottom w:val="single" w:sz="6" w:space="1" w:color="auto"/>
          <w:right w:val="single" w:sz="6" w:space="1" w:color="auto"/>
        </w:pBdr>
        <w:jc w:val="both"/>
        <w:rPr>
          <w:bCs/>
          <w:sz w:val="24"/>
          <w:szCs w:val="24"/>
        </w:rPr>
      </w:pPr>
      <w:r w:rsidRPr="00F10CC3">
        <w:rPr>
          <w:bCs/>
          <w:sz w:val="24"/>
          <w:szCs w:val="24"/>
        </w:rPr>
        <w:t>SA31 3HB</w:t>
      </w: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6550BF5" w:rsidR="004923DA" w:rsidRPr="00F10CC3"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 Number:</w:t>
      </w:r>
      <w:r w:rsidR="00F10CC3">
        <w:rPr>
          <w:b/>
          <w:sz w:val="24"/>
          <w:szCs w:val="24"/>
        </w:rPr>
        <w:t xml:space="preserve"> </w:t>
      </w:r>
      <w:r w:rsidR="00162A6A" w:rsidRPr="00162A6A">
        <w:rPr>
          <w:bCs/>
          <w:sz w:val="24"/>
          <w:szCs w:val="24"/>
        </w:rPr>
        <w:t>01267 246960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2A91FAD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162A6A">
        <w:rPr>
          <w:b/>
          <w:sz w:val="24"/>
          <w:szCs w:val="24"/>
        </w:rPr>
        <w:t xml:space="preserve"> </w:t>
      </w:r>
      <w:r w:rsidR="001E1480" w:rsidRPr="001E1480">
        <w:rPr>
          <w:bCs/>
          <w:sz w:val="24"/>
          <w:szCs w:val="24"/>
        </w:rPr>
        <w:t>MJForrester@carmarthenshire.gov.uk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BD826AF" w:rsidR="004923DA" w:rsidRDefault="004923DA" w:rsidP="00FF7EBB">
            <w:pPr>
              <w:jc w:val="both"/>
              <w:rPr>
                <w:b/>
                <w:sz w:val="24"/>
                <w:szCs w:val="24"/>
              </w:rPr>
            </w:pPr>
            <w:r w:rsidRPr="008B28E7">
              <w:rPr>
                <w:b/>
                <w:sz w:val="24"/>
                <w:szCs w:val="24"/>
              </w:rPr>
              <w:t>Name:</w:t>
            </w:r>
            <w:r w:rsidR="00BF74FD">
              <w:rPr>
                <w:b/>
                <w:sz w:val="24"/>
                <w:szCs w:val="24"/>
              </w:rPr>
              <w:t xml:space="preserve"> </w:t>
            </w:r>
            <w:r w:rsidR="00BF74FD" w:rsidRPr="00BF74FD">
              <w:rPr>
                <w:bCs/>
                <w:sz w:val="24"/>
                <w:szCs w:val="24"/>
              </w:rPr>
              <w:t>Bethan Jones</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251E12CC" w:rsidR="009D59C2" w:rsidRDefault="009D59C2" w:rsidP="00FF7EBB">
            <w:pPr>
              <w:jc w:val="both"/>
              <w:rPr>
                <w:b/>
                <w:sz w:val="24"/>
                <w:szCs w:val="24"/>
              </w:rPr>
            </w:pPr>
          </w:p>
          <w:p w14:paraId="59FB0471" w14:textId="77777777" w:rsidR="00BF74FD" w:rsidRPr="00BF74FD" w:rsidRDefault="00BF74FD" w:rsidP="00BF74FD">
            <w:pPr>
              <w:jc w:val="both"/>
              <w:rPr>
                <w:bCs/>
                <w:sz w:val="24"/>
                <w:szCs w:val="24"/>
              </w:rPr>
            </w:pPr>
            <w:r w:rsidRPr="00BF74FD">
              <w:rPr>
                <w:bCs/>
                <w:sz w:val="24"/>
                <w:szCs w:val="24"/>
              </w:rPr>
              <w:t xml:space="preserve">Building 7 </w:t>
            </w:r>
          </w:p>
          <w:p w14:paraId="0DE64296" w14:textId="77777777" w:rsidR="00BF74FD" w:rsidRPr="00BF74FD" w:rsidRDefault="00BF74FD" w:rsidP="00BF74FD">
            <w:pPr>
              <w:jc w:val="both"/>
              <w:rPr>
                <w:bCs/>
                <w:sz w:val="24"/>
                <w:szCs w:val="24"/>
              </w:rPr>
            </w:pPr>
            <w:r w:rsidRPr="00BF74FD">
              <w:rPr>
                <w:bCs/>
                <w:sz w:val="24"/>
                <w:szCs w:val="24"/>
              </w:rPr>
              <w:t xml:space="preserve">St David's Park </w:t>
            </w:r>
          </w:p>
          <w:p w14:paraId="55953EAC" w14:textId="77777777" w:rsidR="00BF74FD" w:rsidRPr="00BF74FD" w:rsidRDefault="00BF74FD" w:rsidP="00BF74FD">
            <w:pPr>
              <w:jc w:val="both"/>
              <w:rPr>
                <w:bCs/>
                <w:sz w:val="24"/>
                <w:szCs w:val="24"/>
              </w:rPr>
            </w:pPr>
            <w:r w:rsidRPr="00BF74FD">
              <w:rPr>
                <w:bCs/>
                <w:sz w:val="24"/>
                <w:szCs w:val="24"/>
              </w:rPr>
              <w:t xml:space="preserve">Jobs Well Road </w:t>
            </w:r>
          </w:p>
          <w:p w14:paraId="59921F94" w14:textId="77777777" w:rsidR="00BF74FD" w:rsidRPr="00BF74FD" w:rsidRDefault="00BF74FD" w:rsidP="00BF74FD">
            <w:pPr>
              <w:jc w:val="both"/>
              <w:rPr>
                <w:bCs/>
                <w:sz w:val="24"/>
                <w:szCs w:val="24"/>
              </w:rPr>
            </w:pPr>
            <w:r w:rsidRPr="00BF74FD">
              <w:rPr>
                <w:bCs/>
                <w:sz w:val="24"/>
                <w:szCs w:val="24"/>
              </w:rPr>
              <w:t xml:space="preserve">Carmarthen </w:t>
            </w:r>
          </w:p>
          <w:p w14:paraId="0DC3E2EC" w14:textId="55D25B76" w:rsidR="009D59C2" w:rsidRPr="00BF74FD" w:rsidRDefault="00BF74FD" w:rsidP="00BF74FD">
            <w:pPr>
              <w:jc w:val="both"/>
              <w:rPr>
                <w:bCs/>
                <w:sz w:val="24"/>
                <w:szCs w:val="24"/>
              </w:rPr>
            </w:pPr>
            <w:r w:rsidRPr="00BF74FD">
              <w:rPr>
                <w:bCs/>
                <w:sz w:val="24"/>
                <w:szCs w:val="24"/>
              </w:rPr>
              <w:t>SA31 3HB</w:t>
            </w:r>
          </w:p>
          <w:p w14:paraId="12053DB3" w14:textId="77777777" w:rsidR="004923DA" w:rsidRPr="008B28E7" w:rsidRDefault="004923DA" w:rsidP="00FF7EBB">
            <w:pPr>
              <w:jc w:val="both"/>
              <w:rPr>
                <w:b/>
                <w:sz w:val="24"/>
                <w:szCs w:val="24"/>
              </w:rPr>
            </w:pPr>
          </w:p>
          <w:p w14:paraId="6E1CBC17" w14:textId="1D85B78C" w:rsidR="004923DA" w:rsidRPr="008B28E7" w:rsidRDefault="004923DA" w:rsidP="00FF7EBB">
            <w:pPr>
              <w:jc w:val="both"/>
              <w:rPr>
                <w:b/>
                <w:sz w:val="24"/>
                <w:szCs w:val="24"/>
              </w:rPr>
            </w:pPr>
            <w:r w:rsidRPr="008B28E7">
              <w:rPr>
                <w:b/>
                <w:sz w:val="24"/>
                <w:szCs w:val="24"/>
              </w:rPr>
              <w:t>Professional Qualification and date of qualification:</w:t>
            </w:r>
            <w:r w:rsidR="00BF74FD">
              <w:rPr>
                <w:b/>
                <w:sz w:val="24"/>
                <w:szCs w:val="24"/>
              </w:rPr>
              <w:t xml:space="preserve"> </w:t>
            </w:r>
            <w:r w:rsidR="00485B67" w:rsidRPr="00485B67">
              <w:rPr>
                <w:bCs/>
                <w:sz w:val="24"/>
                <w:szCs w:val="24"/>
              </w:rPr>
              <w:t>BA Hons Social Work October 2020</w:t>
            </w:r>
          </w:p>
          <w:p w14:paraId="5F68A3CF" w14:textId="77777777" w:rsidR="004923DA" w:rsidRDefault="004923DA" w:rsidP="00FF7EBB">
            <w:pPr>
              <w:jc w:val="both"/>
              <w:rPr>
                <w:b/>
                <w:sz w:val="24"/>
                <w:szCs w:val="24"/>
              </w:rPr>
            </w:pPr>
          </w:p>
          <w:p w14:paraId="4C6113F1" w14:textId="3B3E0727" w:rsidR="004923DA" w:rsidRDefault="009D59C2" w:rsidP="00FF7EBB">
            <w:pPr>
              <w:jc w:val="both"/>
              <w:rPr>
                <w:b/>
                <w:sz w:val="24"/>
                <w:szCs w:val="24"/>
              </w:rPr>
            </w:pPr>
            <w:r>
              <w:rPr>
                <w:b/>
                <w:sz w:val="24"/>
                <w:szCs w:val="24"/>
              </w:rPr>
              <w:t>T</w:t>
            </w:r>
            <w:r w:rsidR="004923DA" w:rsidRPr="008B28E7">
              <w:rPr>
                <w:b/>
                <w:sz w:val="24"/>
                <w:szCs w:val="24"/>
              </w:rPr>
              <w:t>elephone number:</w:t>
            </w:r>
            <w:r w:rsidR="00FE3304">
              <w:t xml:space="preserve"> </w:t>
            </w:r>
            <w:r w:rsidR="00FE3304" w:rsidRPr="00FE3304">
              <w:rPr>
                <w:bCs/>
                <w:sz w:val="24"/>
                <w:szCs w:val="24"/>
              </w:rPr>
              <w:t>01267 246963</w:t>
            </w:r>
          </w:p>
          <w:p w14:paraId="0BB87919" w14:textId="548A11EF" w:rsidR="009D59C2" w:rsidRDefault="009D59C2" w:rsidP="00FF7EBB">
            <w:pPr>
              <w:jc w:val="both"/>
              <w:rPr>
                <w:b/>
                <w:sz w:val="24"/>
                <w:szCs w:val="24"/>
              </w:rPr>
            </w:pPr>
          </w:p>
          <w:p w14:paraId="4FDEE73F" w14:textId="687A56C7" w:rsidR="009D59C2" w:rsidRPr="008B28E7" w:rsidRDefault="009D59C2" w:rsidP="00FF7EBB">
            <w:pPr>
              <w:jc w:val="both"/>
              <w:rPr>
                <w:b/>
                <w:sz w:val="24"/>
                <w:szCs w:val="24"/>
              </w:rPr>
            </w:pPr>
            <w:r>
              <w:rPr>
                <w:b/>
                <w:sz w:val="24"/>
                <w:szCs w:val="24"/>
              </w:rPr>
              <w:t>Email address:</w:t>
            </w:r>
            <w:r w:rsidR="008157DB">
              <w:rPr>
                <w:b/>
                <w:sz w:val="24"/>
                <w:szCs w:val="24"/>
              </w:rPr>
              <w:t xml:space="preserve"> </w:t>
            </w:r>
            <w:r w:rsidR="008157DB" w:rsidRPr="008157DB">
              <w:rPr>
                <w:bCs/>
                <w:sz w:val="24"/>
                <w:szCs w:val="24"/>
              </w:rPr>
              <w:t>BWJones@carmarthenshire.gov.uk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1B9681D0" w:rsidR="00BC5725" w:rsidRDefault="00396925"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w:drawing>
          <wp:anchor distT="0" distB="0" distL="114300" distR="114300" simplePos="0" relativeHeight="251662336" behindDoc="1" locked="0" layoutInCell="1" allowOverlap="1" wp14:anchorId="0C478F89" wp14:editId="1FF032B1">
            <wp:simplePos x="0" y="0"/>
            <wp:positionH relativeFrom="column">
              <wp:posOffset>737420</wp:posOffset>
            </wp:positionH>
            <wp:positionV relativeFrom="paragraph">
              <wp:posOffset>532306</wp:posOffset>
            </wp:positionV>
            <wp:extent cx="1774190" cy="939165"/>
            <wp:effectExtent l="0" t="0" r="0" b="0"/>
            <wp:wrapNone/>
            <wp:docPr id="175162658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74190" cy="939165"/>
                    </a:xfrm>
                    <a:prstGeom prst="rect">
                      <a:avLst/>
                    </a:prstGeom>
                    <a:noFill/>
                  </pic:spPr>
                </pic:pic>
              </a:graphicData>
            </a:graphic>
          </wp:anchor>
        </w:drawing>
      </w:r>
      <w:r w:rsidR="00BC5725">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51C684D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202DE42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3E1A600"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w:t>
      </w:r>
      <w:r w:rsidR="00396925">
        <w:rPr>
          <w:sz w:val="24"/>
          <w:szCs w:val="24"/>
        </w:rPr>
        <w:t>02/10/2024</w:t>
      </w:r>
      <w:r>
        <w:rPr>
          <w:sz w:val="24"/>
          <w:szCs w:val="24"/>
        </w:rPr>
        <w:t xml:space="preserve">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2B93299" w:rsidR="004923DA" w:rsidRDefault="004F001F"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w:drawing>
          <wp:anchor distT="0" distB="0" distL="114300" distR="114300" simplePos="0" relativeHeight="251661312" behindDoc="1" locked="0" layoutInCell="1" allowOverlap="1" wp14:anchorId="0C710C08" wp14:editId="0934D263">
            <wp:simplePos x="0" y="0"/>
            <wp:positionH relativeFrom="column">
              <wp:posOffset>888349</wp:posOffset>
            </wp:positionH>
            <wp:positionV relativeFrom="paragraph">
              <wp:posOffset>654773</wp:posOffset>
            </wp:positionV>
            <wp:extent cx="1450975" cy="688975"/>
            <wp:effectExtent l="0" t="0" r="0" b="0"/>
            <wp:wrapNone/>
            <wp:docPr id="4946901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50975" cy="688975"/>
                    </a:xfrm>
                    <a:prstGeom prst="rect">
                      <a:avLst/>
                    </a:prstGeom>
                    <a:noFill/>
                  </pic:spPr>
                </pic:pic>
              </a:graphicData>
            </a:graphic>
          </wp:anchor>
        </w:drawing>
      </w:r>
      <w:r w:rsidR="004923DA" w:rsidRPr="008B28E7">
        <w:rPr>
          <w:sz w:val="24"/>
          <w:szCs w:val="24"/>
        </w:rPr>
        <w:t>I confirm that I am a registered social worker with knowledge of the learner</w:t>
      </w:r>
      <w:r w:rsidR="004923DA">
        <w:rPr>
          <w:sz w:val="24"/>
          <w:szCs w:val="24"/>
        </w:rPr>
        <w:t>’</w:t>
      </w:r>
      <w:r w:rsidR="004923DA" w:rsidRPr="008B28E7">
        <w:rPr>
          <w:sz w:val="24"/>
          <w:szCs w:val="24"/>
        </w:rPr>
        <w:t xml:space="preserve">s area of practice and that the observation summary and the comments </w:t>
      </w:r>
      <w:r w:rsidR="005E17F1">
        <w:rPr>
          <w:sz w:val="24"/>
          <w:szCs w:val="24"/>
        </w:rPr>
        <w:t xml:space="preserve">above </w:t>
      </w:r>
      <w:r w:rsidR="004923DA"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004923DA"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3EE5C15C"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CC81422"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59EA02C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w:t>
      </w:r>
      <w:r w:rsidR="00C703EC">
        <w:rPr>
          <w:sz w:val="24"/>
          <w:szCs w:val="24"/>
        </w:rPr>
        <w:t>03/10/2024</w:t>
      </w:r>
      <w:r>
        <w:rPr>
          <w:sz w:val="24"/>
          <w:szCs w:val="24"/>
        </w:rPr>
        <w:t xml:space="preserve">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12F66D0C" w14:textId="7DA253DD" w:rsidR="00335C41" w:rsidRPr="00D3203C" w:rsidRDefault="00335C41" w:rsidP="00335C41">
            <w:pPr>
              <w:ind w:right="180"/>
              <w:jc w:val="both"/>
              <w:rPr>
                <w:sz w:val="24"/>
                <w:szCs w:val="24"/>
              </w:rPr>
            </w:pPr>
            <w:r w:rsidRPr="00D3203C">
              <w:rPr>
                <w:sz w:val="24"/>
                <w:szCs w:val="24"/>
              </w:rPr>
              <w:t>Signed_______</w:t>
            </w:r>
            <w:r w:rsidR="005F05B4" w:rsidRPr="006C08BA">
              <w:rPr>
                <w:rFonts w:ascii="Brush Script MT" w:hAnsi="Brush Script MT"/>
                <w:sz w:val="24"/>
                <w:szCs w:val="24"/>
              </w:rPr>
              <w:t xml:space="preserve"> </w:t>
            </w:r>
            <w:proofErr w:type="spellStart"/>
            <w:r w:rsidR="005F05B4" w:rsidRPr="006C08BA">
              <w:rPr>
                <w:rFonts w:ascii="Brush Script MT" w:hAnsi="Brush Script MT"/>
                <w:sz w:val="24"/>
                <w:szCs w:val="24"/>
              </w:rPr>
              <w:t>MJForrester</w:t>
            </w:r>
            <w:proofErr w:type="spellEnd"/>
            <w:r w:rsidRPr="00D3203C">
              <w:rPr>
                <w:sz w:val="24"/>
                <w:szCs w:val="24"/>
              </w:rPr>
              <w:t>_________________ (Mentor)</w:t>
            </w:r>
          </w:p>
          <w:p w14:paraId="5D3F0767" w14:textId="2E1BCA96" w:rsidR="00335C41" w:rsidRPr="00D3203C" w:rsidRDefault="00335C41" w:rsidP="00335C41">
            <w:pPr>
              <w:ind w:right="180"/>
              <w:jc w:val="both"/>
              <w:rPr>
                <w:sz w:val="24"/>
                <w:szCs w:val="24"/>
              </w:rPr>
            </w:pPr>
          </w:p>
          <w:p w14:paraId="24E1B8A5" w14:textId="0981B28F" w:rsidR="00335C41" w:rsidRPr="00D3203C" w:rsidRDefault="00335C41" w:rsidP="00335C41">
            <w:pPr>
              <w:ind w:right="180"/>
              <w:jc w:val="both"/>
              <w:rPr>
                <w:sz w:val="24"/>
                <w:szCs w:val="24"/>
              </w:rPr>
            </w:pPr>
            <w:r w:rsidRPr="00D3203C">
              <w:rPr>
                <w:sz w:val="24"/>
                <w:szCs w:val="24"/>
              </w:rPr>
              <w:t>Date ___</w:t>
            </w:r>
            <w:r w:rsidR="005F05B4">
              <w:rPr>
                <w:sz w:val="24"/>
                <w:szCs w:val="24"/>
              </w:rPr>
              <w:t>02/10/2024</w:t>
            </w:r>
            <w:r w:rsidRPr="00D3203C">
              <w:rPr>
                <w:sz w:val="24"/>
                <w:szCs w:val="24"/>
              </w:rPr>
              <w:t>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305662D5"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w:t>
      </w:r>
      <w:r w:rsidR="00136ACF">
        <w:rPr>
          <w:caps/>
          <w:sz w:val="24"/>
          <w:szCs w:val="24"/>
        </w:rPr>
        <w:t>Bethan Jones</w:t>
      </w:r>
      <w:r w:rsidR="00B577D3">
        <w:rPr>
          <w:caps/>
          <w:sz w:val="24"/>
          <w:szCs w:val="24"/>
        </w:rPr>
        <w:t xml:space="preserve"> _ _ _ _ _ _ _ _ _ _ _ _ _ _ _ _ _ _ _ _ _ </w:t>
      </w:r>
    </w:p>
    <w:p w14:paraId="7C11F360" w14:textId="72D6DE4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_ _ </w:t>
      </w:r>
      <w:r w:rsidR="00B86C20">
        <w:rPr>
          <w:noProof/>
          <w:sz w:val="24"/>
          <w:szCs w:val="24"/>
        </w:rPr>
        <w:drawing>
          <wp:inline distT="0" distB="0" distL="0" distR="0" wp14:anchorId="72279808" wp14:editId="1C4A8B83">
            <wp:extent cx="1450975" cy="688975"/>
            <wp:effectExtent l="0" t="0" r="0" b="0"/>
            <wp:docPr id="19018240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50975" cy="688975"/>
                    </a:xfrm>
                    <a:prstGeom prst="rect">
                      <a:avLst/>
                    </a:prstGeom>
                    <a:noFill/>
                  </pic:spPr>
                </pic:pic>
              </a:graphicData>
            </a:graphic>
          </wp:inline>
        </w:drawing>
      </w:r>
      <w:r w:rsidR="00B577D3" w:rsidRPr="00B577D3">
        <w:rPr>
          <w:sz w:val="24"/>
          <w:szCs w:val="24"/>
        </w:rPr>
        <w:t>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47038155"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_ </w:t>
      </w:r>
      <w:r w:rsidR="00B86C20">
        <w:rPr>
          <w:sz w:val="24"/>
          <w:szCs w:val="24"/>
        </w:rPr>
        <w:t>03/10/2024</w:t>
      </w:r>
      <w:r w:rsidR="00B577D3" w:rsidRPr="00B577D3">
        <w:rPr>
          <w:sz w:val="24"/>
          <w:szCs w:val="24"/>
        </w:rPr>
        <w:t>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7E04B4DF"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12E2A435" w:rsidR="00D05A5D" w:rsidRPr="00DA5682" w:rsidRDefault="00DC01B5" w:rsidP="00CC14B6">
            <w:pPr>
              <w:rPr>
                <w:sz w:val="24"/>
                <w:szCs w:val="24"/>
              </w:rPr>
            </w:pPr>
            <w:r>
              <w:rPr>
                <w:sz w:val="24"/>
                <w:szCs w:val="24"/>
              </w:rPr>
              <w:t>Ellie Cleaton</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1EDE1EDA" w:rsidR="00D05A5D" w:rsidRPr="00DA5682" w:rsidRDefault="00DC01B5" w:rsidP="00CC14B6">
            <w:pPr>
              <w:rPr>
                <w:sz w:val="24"/>
                <w:szCs w:val="24"/>
              </w:rPr>
            </w:pPr>
            <w:r>
              <w:rPr>
                <w:sz w:val="24"/>
                <w:szCs w:val="24"/>
              </w:rPr>
              <w:t>Carmarthenshire County Council</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7971DFA0" w:rsidR="00D05A5D" w:rsidRPr="00DA5682" w:rsidRDefault="00DC01B5" w:rsidP="00CC14B6">
            <w:pPr>
              <w:rPr>
                <w:sz w:val="24"/>
                <w:szCs w:val="24"/>
              </w:rPr>
            </w:pPr>
            <w:r>
              <w:rPr>
                <w:sz w:val="24"/>
                <w:szCs w:val="24"/>
              </w:rPr>
              <w:t xml:space="preserve">Maureen Forrester </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39B00661" w:rsidR="00D05A5D" w:rsidRPr="00DA5682" w:rsidRDefault="00DC01B5" w:rsidP="00CC14B6">
            <w:pPr>
              <w:rPr>
                <w:sz w:val="24"/>
                <w:szCs w:val="24"/>
              </w:rPr>
            </w:pPr>
            <w:r>
              <w:rPr>
                <w:sz w:val="24"/>
                <w:szCs w:val="24"/>
              </w:rPr>
              <w:t>Bethan Jones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r w:rsidRPr="00466C2B">
        <w:rPr>
          <w:iCs/>
          <w:color w:val="auto"/>
          <w:sz w:val="24"/>
          <w:szCs w:val="24"/>
          <w:lang w:val="en-US" w:eastAsia="en-US"/>
        </w:rPr>
        <w:t>Agored</w:t>
      </w:r>
      <w:proofErr w:type="spellEnd"/>
      <w:r w:rsidRPr="00466C2B">
        <w:rPr>
          <w:iCs/>
          <w:color w:val="auto"/>
          <w:sz w:val="24"/>
          <w:szCs w:val="24"/>
          <w:lang w:val="en-US" w:eastAsia="en-US"/>
        </w:rPr>
        <w:t xml:space="preserve"> and the University of Wales Trinity Saint David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57B7D913" w:rsidR="00D05A5D" w:rsidRPr="00DA5682" w:rsidRDefault="00D05A5D" w:rsidP="00D05A5D">
      <w:pPr>
        <w:rPr>
          <w:sz w:val="24"/>
          <w:szCs w:val="24"/>
        </w:rPr>
      </w:pPr>
    </w:p>
    <w:p w14:paraId="00882148" w14:textId="266BFBCF" w:rsidR="00D05A5D" w:rsidRPr="00DA5682" w:rsidRDefault="00A545A9" w:rsidP="00D05A5D">
      <w:pPr>
        <w:rPr>
          <w:sz w:val="24"/>
          <w:szCs w:val="24"/>
        </w:rPr>
      </w:pPr>
      <w:r>
        <w:rPr>
          <w:noProof/>
          <w:sz w:val="24"/>
          <w:szCs w:val="24"/>
        </w:rPr>
        <w:drawing>
          <wp:anchor distT="0" distB="0" distL="114300" distR="114300" simplePos="0" relativeHeight="251659264" behindDoc="1" locked="0" layoutInCell="1" allowOverlap="1" wp14:anchorId="7994B7E8" wp14:editId="5CA96D6A">
            <wp:simplePos x="0" y="0"/>
            <wp:positionH relativeFrom="column">
              <wp:posOffset>726094</wp:posOffset>
            </wp:positionH>
            <wp:positionV relativeFrom="paragraph">
              <wp:posOffset>5192</wp:posOffset>
            </wp:positionV>
            <wp:extent cx="1475772" cy="781198"/>
            <wp:effectExtent l="0" t="0" r="0" b="0"/>
            <wp:wrapNone/>
            <wp:docPr id="6896432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75772" cy="781198"/>
                    </a:xfrm>
                    <a:prstGeom prst="rect">
                      <a:avLst/>
                    </a:prstGeom>
                    <a:noFill/>
                  </pic:spPr>
                </pic:pic>
              </a:graphicData>
            </a:graphic>
            <wp14:sizeRelH relativeFrom="margin">
              <wp14:pctWidth>0</wp14:pctWidth>
            </wp14:sizeRelH>
            <wp14:sizeRelV relativeFrom="margin">
              <wp14:pctHeight>0</wp14:pctHeight>
            </wp14:sizeRelV>
          </wp:anchor>
        </w:drawing>
      </w:r>
      <w:r w:rsidR="00D05A5D" w:rsidRPr="00DA5682">
        <w:rPr>
          <w:sz w:val="24"/>
          <w:szCs w:val="24"/>
        </w:rPr>
        <w:t>I understand and accept the terms and conditions of this learning agreement as stated above.</w:t>
      </w:r>
    </w:p>
    <w:p w14:paraId="017175B1" w14:textId="33142213" w:rsidR="00D05A5D" w:rsidRPr="00DA5682" w:rsidRDefault="00D05A5D" w:rsidP="00D05A5D">
      <w:pPr>
        <w:rPr>
          <w:sz w:val="24"/>
          <w:szCs w:val="24"/>
        </w:rPr>
      </w:pPr>
    </w:p>
    <w:p w14:paraId="78BCB30F" w14:textId="7CA94D5C"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00096784">
        <w:rPr>
          <w:sz w:val="24"/>
          <w:szCs w:val="24"/>
        </w:rPr>
        <w:t>Ellie Cleaton</w:t>
      </w:r>
      <w:r w:rsidRPr="00DA5682">
        <w:rPr>
          <w:sz w:val="24"/>
          <w:szCs w:val="24"/>
        </w:rPr>
        <w:t>………Date:…</w:t>
      </w:r>
      <w:r w:rsidR="009B1B27">
        <w:rPr>
          <w:sz w:val="24"/>
          <w:szCs w:val="24"/>
        </w:rPr>
        <w:t>05/10/2023</w:t>
      </w:r>
      <w:r w:rsidRPr="00DA5682">
        <w:rPr>
          <w:sz w:val="24"/>
          <w:szCs w:val="24"/>
        </w:rPr>
        <w:t xml:space="preserve">……. </w:t>
      </w:r>
    </w:p>
    <w:p w14:paraId="7A2E2EC8" w14:textId="0609AE8C" w:rsidR="00D05A5D" w:rsidRPr="00DA5682" w:rsidRDefault="00440042" w:rsidP="00D05A5D">
      <w:pPr>
        <w:rPr>
          <w:sz w:val="24"/>
          <w:szCs w:val="24"/>
        </w:rPr>
      </w:pPr>
      <w:r>
        <w:rPr>
          <w:noProof/>
          <w:sz w:val="24"/>
          <w:szCs w:val="24"/>
        </w:rPr>
        <w:drawing>
          <wp:anchor distT="0" distB="0" distL="114300" distR="114300" simplePos="0" relativeHeight="251660288" behindDoc="1" locked="0" layoutInCell="1" allowOverlap="1" wp14:anchorId="4C691A5C" wp14:editId="7109BF86">
            <wp:simplePos x="0" y="0"/>
            <wp:positionH relativeFrom="column">
              <wp:posOffset>569956</wp:posOffset>
            </wp:positionH>
            <wp:positionV relativeFrom="paragraph">
              <wp:posOffset>6004</wp:posOffset>
            </wp:positionV>
            <wp:extent cx="1163256" cy="552356"/>
            <wp:effectExtent l="0" t="0" r="0" b="635"/>
            <wp:wrapNone/>
            <wp:docPr id="1061036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63256" cy="552356"/>
                    </a:xfrm>
                    <a:prstGeom prst="rect">
                      <a:avLst/>
                    </a:prstGeom>
                    <a:noFill/>
                  </pic:spPr>
                </pic:pic>
              </a:graphicData>
            </a:graphic>
            <wp14:sizeRelH relativeFrom="margin">
              <wp14:pctWidth>0</wp14:pctWidth>
            </wp14:sizeRelH>
            <wp14:sizeRelV relativeFrom="margin">
              <wp14:pctHeight>0</wp14:pctHeight>
            </wp14:sizeRelV>
          </wp:anchor>
        </w:drawing>
      </w:r>
      <w:r w:rsidR="00D05A5D" w:rsidRPr="00DA5682">
        <w:rPr>
          <w:sz w:val="24"/>
          <w:szCs w:val="24"/>
        </w:rPr>
        <w:t>(Learner)</w:t>
      </w:r>
    </w:p>
    <w:p w14:paraId="58C5A890" w14:textId="5B3222A4" w:rsidR="00D05A5D" w:rsidRPr="00DA5682" w:rsidRDefault="00D05A5D" w:rsidP="00D05A5D">
      <w:pPr>
        <w:rPr>
          <w:sz w:val="24"/>
          <w:szCs w:val="24"/>
        </w:rPr>
      </w:pPr>
    </w:p>
    <w:p w14:paraId="31E08A88" w14:textId="2A11740D"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 Print Name</w:t>
      </w:r>
      <w:r w:rsidR="00722A9B">
        <w:rPr>
          <w:sz w:val="24"/>
          <w:szCs w:val="24"/>
        </w:rPr>
        <w:t xml:space="preserve">: </w:t>
      </w:r>
      <w:r w:rsidR="000D576D">
        <w:rPr>
          <w:sz w:val="24"/>
          <w:szCs w:val="24"/>
        </w:rPr>
        <w:t>Bethan</w:t>
      </w:r>
      <w:r w:rsidR="00722A9B">
        <w:rPr>
          <w:sz w:val="24"/>
          <w:szCs w:val="24"/>
        </w:rPr>
        <w:t xml:space="preserve"> </w:t>
      </w:r>
      <w:r w:rsidR="000D576D">
        <w:rPr>
          <w:sz w:val="24"/>
          <w:szCs w:val="24"/>
        </w:rPr>
        <w:t>Jone</w:t>
      </w:r>
      <w:r w:rsidR="00722A9B">
        <w:rPr>
          <w:sz w:val="24"/>
          <w:szCs w:val="24"/>
        </w:rPr>
        <w:t>s</w:t>
      </w:r>
      <w:r w:rsidRPr="00DA5682">
        <w:rPr>
          <w:sz w:val="24"/>
          <w:szCs w:val="24"/>
        </w:rPr>
        <w:t>……</w:t>
      </w:r>
      <w:proofErr w:type="gramStart"/>
      <w:r w:rsidRPr="00DA5682">
        <w:rPr>
          <w:sz w:val="24"/>
          <w:szCs w:val="24"/>
        </w:rPr>
        <w:t>….Date</w:t>
      </w:r>
      <w:proofErr w:type="gramEnd"/>
      <w:r w:rsidRPr="00DA5682">
        <w:rPr>
          <w:sz w:val="24"/>
          <w:szCs w:val="24"/>
        </w:rPr>
        <w:t>:</w:t>
      </w:r>
      <w:r w:rsidR="009B1B27">
        <w:rPr>
          <w:sz w:val="24"/>
          <w:szCs w:val="24"/>
        </w:rPr>
        <w:t xml:space="preserve"> 05/10/2023</w:t>
      </w:r>
      <w:r w:rsidRPr="00DA5682">
        <w:rPr>
          <w:sz w:val="24"/>
          <w:szCs w:val="24"/>
        </w:rPr>
        <w:t xml:space="preserve">………. </w:t>
      </w:r>
    </w:p>
    <w:p w14:paraId="0E2F64AB" w14:textId="6FF4A3E8" w:rsidR="00D05A5D" w:rsidRPr="00DA5682" w:rsidRDefault="00D05A5D" w:rsidP="00D05A5D">
      <w:pPr>
        <w:rPr>
          <w:sz w:val="24"/>
          <w:szCs w:val="24"/>
        </w:rPr>
      </w:pPr>
      <w:r w:rsidRPr="00DA5682">
        <w:rPr>
          <w:sz w:val="24"/>
          <w:szCs w:val="24"/>
        </w:rPr>
        <w:t>(Line Manager/Mentor)</w:t>
      </w:r>
    </w:p>
    <w:p w14:paraId="4B359EC1" w14:textId="6AFAE23D" w:rsidR="00D05A5D" w:rsidRPr="00DA5682" w:rsidRDefault="007F02B0" w:rsidP="00D05A5D">
      <w:pPr>
        <w:rPr>
          <w:sz w:val="24"/>
          <w:szCs w:val="24"/>
        </w:rPr>
      </w:pPr>
      <w:r w:rsidRPr="007F02B0">
        <w:drawing>
          <wp:anchor distT="0" distB="0" distL="114300" distR="114300" simplePos="0" relativeHeight="251658240" behindDoc="1" locked="0" layoutInCell="1" allowOverlap="1" wp14:anchorId="78D2C67A" wp14:editId="35C62989">
            <wp:simplePos x="0" y="0"/>
            <wp:positionH relativeFrom="page">
              <wp:align>right</wp:align>
            </wp:positionH>
            <wp:positionV relativeFrom="paragraph">
              <wp:posOffset>151846</wp:posOffset>
            </wp:positionV>
            <wp:extent cx="6400800" cy="185420"/>
            <wp:effectExtent l="0" t="0" r="0" b="5080"/>
            <wp:wrapNone/>
            <wp:docPr id="10260704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400800" cy="185420"/>
                    </a:xfrm>
                    <a:prstGeom prst="rect">
                      <a:avLst/>
                    </a:prstGeom>
                    <a:noFill/>
                    <a:ln>
                      <a:noFill/>
                    </a:ln>
                  </pic:spPr>
                </pic:pic>
              </a:graphicData>
            </a:graphic>
          </wp:anchor>
        </w:drawing>
      </w:r>
    </w:p>
    <w:p w14:paraId="63183983" w14:textId="49306F4F"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r w:rsidR="007F02B0" w:rsidRPr="007F02B0">
        <w:rPr>
          <w:sz w:val="24"/>
          <w:szCs w:val="24"/>
        </w:rPr>
        <w:t xml:space="preserve"> </w:t>
      </w:r>
      <w:r w:rsidR="007F02B0" w:rsidRPr="007F02B0">
        <w:t xml:space="preserve"> </w:t>
      </w:r>
      <w:r w:rsidRPr="00DA5682">
        <w:rPr>
          <w:sz w:val="24"/>
          <w:szCs w:val="24"/>
        </w:rPr>
        <w:t xml:space="preserve">………………….. Print </w:t>
      </w:r>
      <w:proofErr w:type="gramStart"/>
      <w:r w:rsidRPr="00DA5682">
        <w:rPr>
          <w:sz w:val="24"/>
          <w:szCs w:val="24"/>
        </w:rPr>
        <w:t>Name:…</w:t>
      </w:r>
      <w:proofErr w:type="gramEnd"/>
      <w:r w:rsidRPr="00DA5682">
        <w:rPr>
          <w:sz w:val="24"/>
          <w:szCs w:val="24"/>
        </w:rPr>
        <w:t>…</w:t>
      </w:r>
      <w:r w:rsidR="007F02B0">
        <w:rPr>
          <w:sz w:val="24"/>
          <w:szCs w:val="24"/>
        </w:rPr>
        <w:t>Maureen Forrester</w:t>
      </w:r>
      <w:r w:rsidRPr="00DA5682">
        <w:rPr>
          <w:sz w:val="24"/>
          <w:szCs w:val="24"/>
        </w:rPr>
        <w:t>…….Date:</w:t>
      </w:r>
      <w:r w:rsidR="007F02B0">
        <w:rPr>
          <w:sz w:val="24"/>
          <w:szCs w:val="24"/>
        </w:rPr>
        <w:t xml:space="preserve"> </w:t>
      </w:r>
      <w:r w:rsidR="009B1B27">
        <w:rPr>
          <w:sz w:val="24"/>
          <w:szCs w:val="24"/>
        </w:rPr>
        <w:t>05/10/2023</w:t>
      </w:r>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9"/>
      <w:footerReference w:type="default" r:id="rId4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27B804" w14:textId="77777777" w:rsidR="00472EB6" w:rsidRDefault="00472EB6">
      <w:r>
        <w:separator/>
      </w:r>
    </w:p>
  </w:endnote>
  <w:endnote w:type="continuationSeparator" w:id="0">
    <w:p w14:paraId="692BFAEC" w14:textId="77777777" w:rsidR="00472EB6" w:rsidRDefault="00472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Brush Script MT">
    <w:panose1 w:val="03060802040406070304"/>
    <w:charset w:val="00"/>
    <w:family w:val="script"/>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EA3B28" w14:textId="77777777" w:rsidR="00472EB6" w:rsidRDefault="00472EB6">
      <w:r>
        <w:separator/>
      </w:r>
    </w:p>
  </w:footnote>
  <w:footnote w:type="continuationSeparator" w:id="0">
    <w:p w14:paraId="5CAEEDE0" w14:textId="77777777" w:rsidR="00472EB6" w:rsidRDefault="00472E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784"/>
    <w:rsid w:val="00096DEA"/>
    <w:rsid w:val="000A4240"/>
    <w:rsid w:val="000A469A"/>
    <w:rsid w:val="000A584A"/>
    <w:rsid w:val="000A6458"/>
    <w:rsid w:val="000C378F"/>
    <w:rsid w:val="000C6892"/>
    <w:rsid w:val="000C6FFE"/>
    <w:rsid w:val="000D0BB6"/>
    <w:rsid w:val="000D2ED2"/>
    <w:rsid w:val="000D576D"/>
    <w:rsid w:val="000D6653"/>
    <w:rsid w:val="000E0D51"/>
    <w:rsid w:val="000E26B0"/>
    <w:rsid w:val="000E37C2"/>
    <w:rsid w:val="000E38C3"/>
    <w:rsid w:val="000F0C43"/>
    <w:rsid w:val="000F1599"/>
    <w:rsid w:val="000F1769"/>
    <w:rsid w:val="000F1A97"/>
    <w:rsid w:val="000F42AE"/>
    <w:rsid w:val="000F6196"/>
    <w:rsid w:val="000F6BC3"/>
    <w:rsid w:val="00102640"/>
    <w:rsid w:val="0010312C"/>
    <w:rsid w:val="00105026"/>
    <w:rsid w:val="00105FA1"/>
    <w:rsid w:val="0010662B"/>
    <w:rsid w:val="00106DC7"/>
    <w:rsid w:val="00112391"/>
    <w:rsid w:val="00114F52"/>
    <w:rsid w:val="001222A1"/>
    <w:rsid w:val="00130119"/>
    <w:rsid w:val="00132812"/>
    <w:rsid w:val="001347F8"/>
    <w:rsid w:val="001359EE"/>
    <w:rsid w:val="00136ACF"/>
    <w:rsid w:val="00137BB5"/>
    <w:rsid w:val="00137E05"/>
    <w:rsid w:val="001447F6"/>
    <w:rsid w:val="00147DE3"/>
    <w:rsid w:val="00150794"/>
    <w:rsid w:val="00151DA6"/>
    <w:rsid w:val="001608C4"/>
    <w:rsid w:val="00162A6A"/>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1480"/>
    <w:rsid w:val="001E2EB6"/>
    <w:rsid w:val="001F4552"/>
    <w:rsid w:val="002019EB"/>
    <w:rsid w:val="00204B58"/>
    <w:rsid w:val="00205051"/>
    <w:rsid w:val="00211F65"/>
    <w:rsid w:val="00214047"/>
    <w:rsid w:val="00216563"/>
    <w:rsid w:val="0021792F"/>
    <w:rsid w:val="00220D06"/>
    <w:rsid w:val="00222E6D"/>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4C63"/>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5A99"/>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6925"/>
    <w:rsid w:val="0039762B"/>
    <w:rsid w:val="003A0C37"/>
    <w:rsid w:val="003A1B6B"/>
    <w:rsid w:val="003A2243"/>
    <w:rsid w:val="003A46C0"/>
    <w:rsid w:val="003A600E"/>
    <w:rsid w:val="003A6513"/>
    <w:rsid w:val="003B16C7"/>
    <w:rsid w:val="003B3115"/>
    <w:rsid w:val="003C19F1"/>
    <w:rsid w:val="003C3C67"/>
    <w:rsid w:val="003C4186"/>
    <w:rsid w:val="003C6185"/>
    <w:rsid w:val="003C7FCD"/>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0042"/>
    <w:rsid w:val="0044223A"/>
    <w:rsid w:val="00450B67"/>
    <w:rsid w:val="00451851"/>
    <w:rsid w:val="0045189A"/>
    <w:rsid w:val="00453343"/>
    <w:rsid w:val="004538C3"/>
    <w:rsid w:val="004608B9"/>
    <w:rsid w:val="004618A8"/>
    <w:rsid w:val="00463B55"/>
    <w:rsid w:val="00465947"/>
    <w:rsid w:val="004667B1"/>
    <w:rsid w:val="00467F66"/>
    <w:rsid w:val="00470461"/>
    <w:rsid w:val="00470BB1"/>
    <w:rsid w:val="00472EB6"/>
    <w:rsid w:val="00473153"/>
    <w:rsid w:val="0047350F"/>
    <w:rsid w:val="004743AF"/>
    <w:rsid w:val="00482C17"/>
    <w:rsid w:val="00484CE3"/>
    <w:rsid w:val="00485B67"/>
    <w:rsid w:val="00487B46"/>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699F"/>
    <w:rsid w:val="004E7B8B"/>
    <w:rsid w:val="004E7BDD"/>
    <w:rsid w:val="004F001F"/>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1BC"/>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05B4"/>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0BA"/>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2A9B"/>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7F1"/>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02B0"/>
    <w:rsid w:val="007F10BD"/>
    <w:rsid w:val="007F312E"/>
    <w:rsid w:val="007F3F7E"/>
    <w:rsid w:val="007F4BA4"/>
    <w:rsid w:val="00813CEC"/>
    <w:rsid w:val="0081534C"/>
    <w:rsid w:val="008157DB"/>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6D0B"/>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00AA"/>
    <w:rsid w:val="009544C0"/>
    <w:rsid w:val="00954FA4"/>
    <w:rsid w:val="00956AE9"/>
    <w:rsid w:val="00963CAE"/>
    <w:rsid w:val="00964CC6"/>
    <w:rsid w:val="00967BFA"/>
    <w:rsid w:val="0098262C"/>
    <w:rsid w:val="0098427C"/>
    <w:rsid w:val="00986B43"/>
    <w:rsid w:val="00986C0B"/>
    <w:rsid w:val="00986D46"/>
    <w:rsid w:val="00991FDA"/>
    <w:rsid w:val="00992ACA"/>
    <w:rsid w:val="009A5F3B"/>
    <w:rsid w:val="009A5F79"/>
    <w:rsid w:val="009A6F87"/>
    <w:rsid w:val="009B0B61"/>
    <w:rsid w:val="009B1B27"/>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46E"/>
    <w:rsid w:val="00A47621"/>
    <w:rsid w:val="00A479CD"/>
    <w:rsid w:val="00A50CFC"/>
    <w:rsid w:val="00A545A9"/>
    <w:rsid w:val="00A54D67"/>
    <w:rsid w:val="00A54DDB"/>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4AA"/>
    <w:rsid w:val="00AC5679"/>
    <w:rsid w:val="00AD336F"/>
    <w:rsid w:val="00AE134C"/>
    <w:rsid w:val="00AE1868"/>
    <w:rsid w:val="00AE2564"/>
    <w:rsid w:val="00AE301F"/>
    <w:rsid w:val="00AE3302"/>
    <w:rsid w:val="00AE5BA6"/>
    <w:rsid w:val="00AE6231"/>
    <w:rsid w:val="00AE68AF"/>
    <w:rsid w:val="00AE7077"/>
    <w:rsid w:val="00AF3CAE"/>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86C20"/>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74FD"/>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03EC"/>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149B"/>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2C5C"/>
    <w:rsid w:val="00D84841"/>
    <w:rsid w:val="00D876E6"/>
    <w:rsid w:val="00D90958"/>
    <w:rsid w:val="00DA1025"/>
    <w:rsid w:val="00DA22EC"/>
    <w:rsid w:val="00DA5682"/>
    <w:rsid w:val="00DA5860"/>
    <w:rsid w:val="00DA5C0C"/>
    <w:rsid w:val="00DB2767"/>
    <w:rsid w:val="00DC01B5"/>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86A91"/>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0CC3"/>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41D3"/>
    <w:rsid w:val="00F66272"/>
    <w:rsid w:val="00F709C0"/>
    <w:rsid w:val="00F739B6"/>
    <w:rsid w:val="00F77B44"/>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3304"/>
    <w:rsid w:val="00FE4D97"/>
    <w:rsid w:val="00FE5DFD"/>
    <w:rsid w:val="00FE5F90"/>
    <w:rsid w:val="00FF0070"/>
    <w:rsid w:val="00FF07C3"/>
    <w:rsid w:val="00FF25BE"/>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01353882">
      <w:bodyDiv w:val="1"/>
      <w:marLeft w:val="0"/>
      <w:marRight w:val="0"/>
      <w:marTop w:val="0"/>
      <w:marBottom w:val="0"/>
      <w:divBdr>
        <w:top w:val="none" w:sz="0" w:space="0" w:color="auto"/>
        <w:left w:val="none" w:sz="0" w:space="0" w:color="auto"/>
        <w:bottom w:val="none" w:sz="0" w:space="0" w:color="auto"/>
        <w:right w:val="none" w:sz="0" w:space="0" w:color="auto"/>
      </w:divBdr>
    </w:div>
    <w:div w:id="116524221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14/23/contents" TargetMode="External"/><Relationship Id="rId18" Type="http://schemas.openxmlformats.org/officeDocument/2006/relationships/hyperlink" Target="https://www.bmj.com/content/348/bmj.g3178" TargetMode="External"/><Relationship Id="rId26" Type="http://schemas.openxmlformats.org/officeDocument/2006/relationships/hyperlink" Target="https://socialcare.wales/resources-guidance/early-years-and-childcare/national-occupational-standards-nos/social-work" TargetMode="External"/><Relationship Id="rId39"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learning.nspcc.org.uk/child-protection-system/gillick-competence-fraser-guidelines" TargetMode="External"/><Relationship Id="rId34" Type="http://schemas.openxmlformats.org/officeDocument/2006/relationships/hyperlink" Target="https://safeguarding.wales/en/" TargetMode="External"/><Relationship Id="rId42"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basw.co.uk/sites/default/files/resources/SoS_systematic_review_GD_Edit_v3.pdf" TargetMode="External"/><Relationship Id="rId17" Type="http://schemas.openxmlformats.org/officeDocument/2006/relationships/hyperlink" Target="https://www.legislation.gov.uk/ukpga/1998/42/schedule/1" TargetMode="External"/><Relationship Id="rId25" Type="http://schemas.openxmlformats.org/officeDocument/2006/relationships/hyperlink" Target="https://doi.org/10.1136/pmj-2022-141611" TargetMode="External"/><Relationship Id="rId33" Type="http://schemas.openxmlformats.org/officeDocument/2006/relationships/hyperlink" Target="https://www.ohchr.org/en/instruments-mechanisms/instruments/united-nations-principles-older-persons" TargetMode="External"/><Relationship Id="rId38" Type="http://schemas.openxmlformats.org/officeDocument/2006/relationships/image" Target="media/image4.emf"/><Relationship Id="rId2" Type="http://schemas.openxmlformats.org/officeDocument/2006/relationships/customXml" Target="../customXml/item2.xml"/><Relationship Id="rId16" Type="http://schemas.openxmlformats.org/officeDocument/2006/relationships/hyperlink" Target="https://pure.ulster.ac.uk/ws/portalfiles/portal/77911585/Social_Work_and_Human_Rights_A_Practice_Guide_0.pdf" TargetMode="External"/><Relationship Id="rId20" Type="http://schemas.openxmlformats.org/officeDocument/2006/relationships/hyperlink" Target="https://www.legislation.gov.uk/ukpga/2005/9/contents" TargetMode="External"/><Relationship Id="rId29" Type="http://schemas.openxmlformats.org/officeDocument/2006/relationships/hyperlink" Target="https://www.gov.wales/sites/default/files/publications/2019-05/part-3-code-of-practice-assessing-the-needs-of-individuals.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93/bjsw/bcw026" TargetMode="External"/><Relationship Id="rId24" Type="http://schemas.openxmlformats.org/officeDocument/2006/relationships/hyperlink" Target="https://doi.org/10.1108/147690182006000014" TargetMode="External"/><Relationship Id="rId32" Type="http://schemas.openxmlformats.org/officeDocument/2006/relationships/hyperlink" Target="https://doi.org/10.1300/J200v04n03_02" TargetMode="External"/><Relationship Id="rId37" Type="http://schemas.openxmlformats.org/officeDocument/2006/relationships/image" Target="media/image3.png"/><Relationship Id="rId40"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doi.org/10.1111/j.1365-2206.2005.00370.x" TargetMode="External"/><Relationship Id="rId23" Type="http://schemas.openxmlformats.org/officeDocument/2006/relationships/hyperlink" Target="https://www.ons.gov.uk/peoplepopulationandcommunity/healthandsocialcare/socialcare/articles/unpaidcarebyagesexanddeprivationenglandandwales/census2021" TargetMode="External"/><Relationship Id="rId28" Type="http://schemas.openxmlformats.org/officeDocument/2006/relationships/hyperlink" Target="https://www.legislation.gov.uk/anaw/2014/4/contents" TargetMode="External"/><Relationship Id="rId36" Type="http://schemas.openxmlformats.org/officeDocument/2006/relationships/image" Target="media/image2.png"/><Relationship Id="rId10" Type="http://schemas.openxmlformats.org/officeDocument/2006/relationships/image" Target="media/image1.png"/><Relationship Id="rId19" Type="http://schemas.openxmlformats.org/officeDocument/2006/relationships/hyperlink" Target="https://journals.sagepub.com/doi/epub/10.1177/1755738019885398" TargetMode="External"/><Relationship Id="rId31" Type="http://schemas.openxmlformats.org/officeDocument/2006/relationships/hyperlink" Target="https://socialcare.wales/cms-assets/documents/hub-downloads/Working_Together_to_Safeguar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media/5c62ae87ed915d04446a5739/stengths-based-approach-practice-framework-and-handbook.pdf" TargetMode="External"/><Relationship Id="rId22" Type="http://schemas.openxmlformats.org/officeDocument/2006/relationships/hyperlink" Target="https://www.ons.gov.uk/visualisations/censuspopulationchange/W06000010/" TargetMode="External"/><Relationship Id="rId27" Type="http://schemas.openxmlformats.org/officeDocument/2006/relationships/hyperlink" Target="https://socialcare.wales/cms-assets/documents/Code-Print-Friendly-English.pdf" TargetMode="External"/><Relationship Id="rId30" Type="http://schemas.openxmlformats.org/officeDocument/2006/relationships/hyperlink" Target="https://www.legislation.gov.uk/anaw/2014/4/part/7" TargetMode="External"/><Relationship Id="rId35" Type="http://schemas.openxmlformats.org/officeDocument/2006/relationships/hyperlink" Target="https://www.wigan.gov.uk/Business/Professionals/Social-Work-Academy/Social-work-practice-in-Wigan/Signs-of-safety-practice-mode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17</Pages>
  <Words>3931</Words>
  <Characters>27193</Characters>
  <Application>Microsoft Office Word</Application>
  <DocSecurity>0</DocSecurity>
  <Lines>226</Lines>
  <Paragraphs>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Ellie MA Cleaton (TTT)</cp:lastModifiedBy>
  <cp:revision>47</cp:revision>
  <cp:lastPrinted>2020-02-11T19:20:00Z</cp:lastPrinted>
  <dcterms:created xsi:type="dcterms:W3CDTF">2024-10-02T13:51:00Z</dcterms:created>
  <dcterms:modified xsi:type="dcterms:W3CDTF">2024-10-07T13:44:00Z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