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66B55" w:rsidRPr="001775A4" w:rsidRDefault="00822B4E" w:rsidP="00651C26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1775A4">
        <w:rPr>
          <w:rFonts w:ascii="Times New Roman" w:hAnsi="Times New Roman" w:cs="Times New Roman"/>
          <w:b/>
          <w:sz w:val="32"/>
          <w:szCs w:val="32"/>
        </w:rPr>
        <w:t xml:space="preserve">A </w:t>
      </w:r>
      <w:r w:rsidR="00767632" w:rsidRPr="001775A4">
        <w:rPr>
          <w:rFonts w:ascii="Times New Roman" w:hAnsi="Times New Roman" w:cs="Times New Roman"/>
          <w:b/>
          <w:sz w:val="32"/>
          <w:szCs w:val="32"/>
        </w:rPr>
        <w:t xml:space="preserve">Translation of </w:t>
      </w:r>
      <w:r w:rsidR="00CA74AF">
        <w:rPr>
          <w:rFonts w:ascii="Times New Roman" w:hAnsi="Times New Roman" w:cs="Times New Roman" w:hint="eastAsia"/>
          <w:b/>
          <w:sz w:val="32"/>
        </w:rPr>
        <w:t>Texts</w:t>
      </w:r>
      <w:r w:rsidR="00753682">
        <w:rPr>
          <w:rFonts w:ascii="Times New Roman" w:hAnsi="Times New Roman" w:cs="Times New Roman" w:hint="eastAsia"/>
          <w:b/>
          <w:sz w:val="32"/>
        </w:rPr>
        <w:t xml:space="preserve"> from </w:t>
      </w:r>
      <w:r w:rsidR="00CA74AF">
        <w:rPr>
          <w:rFonts w:ascii="Times New Roman" w:hAnsi="Times New Roman" w:cs="Times New Roman" w:hint="eastAsia"/>
          <w:b/>
          <w:i/>
          <w:sz w:val="32"/>
        </w:rPr>
        <w:t>Shijing Pingshi</w:t>
      </w:r>
      <w:r w:rsidR="00CA74AF">
        <w:rPr>
          <w:rFonts w:ascii="Times New Roman" w:hAnsi="Times New Roman" w:cs="Times New Roman" w:hint="eastAsia"/>
          <w:b/>
          <w:sz w:val="32"/>
          <w:szCs w:val="32"/>
        </w:rPr>
        <w:t>詩經評釋</w:t>
      </w:r>
    </w:p>
    <w:p w:rsidR="00766B55" w:rsidRPr="00753682" w:rsidRDefault="00766B55" w:rsidP="00651C26">
      <w:pPr>
        <w:spacing w:line="480" w:lineRule="auto"/>
        <w:jc w:val="center"/>
        <w:rPr>
          <w:rFonts w:ascii="Times New Roman" w:hAnsi="Times New Roman" w:cs="Times New Roman"/>
          <w:b/>
          <w:sz w:val="32"/>
          <w:szCs w:val="32"/>
        </w:rPr>
      </w:pPr>
      <w:r w:rsidRPr="001775A4">
        <w:rPr>
          <w:rFonts w:ascii="Times New Roman" w:hAnsi="Times New Roman" w:cs="Times New Roman"/>
          <w:b/>
          <w:sz w:val="32"/>
          <w:szCs w:val="32"/>
        </w:rPr>
        <w:t>and</w:t>
      </w:r>
      <w:r w:rsidR="00822B4E" w:rsidRPr="001775A4">
        <w:rPr>
          <w:rFonts w:ascii="Times New Roman" w:hAnsi="Times New Roman" w:cs="Times New Roman"/>
          <w:b/>
          <w:sz w:val="32"/>
          <w:szCs w:val="32"/>
        </w:rPr>
        <w:t xml:space="preserve"> </w:t>
      </w:r>
      <w:r w:rsidR="00CA74AF">
        <w:rPr>
          <w:rFonts w:ascii="Times New Roman" w:hAnsi="Times New Roman" w:cs="Times New Roman" w:hint="eastAsia"/>
          <w:b/>
          <w:i/>
          <w:sz w:val="32"/>
          <w:szCs w:val="32"/>
        </w:rPr>
        <w:t>Shifa Tongwei</w:t>
      </w:r>
      <w:r w:rsidR="00CA74AF">
        <w:rPr>
          <w:rFonts w:ascii="Times New Roman" w:hAnsi="Times New Roman" w:cs="Times New Roman" w:hint="eastAsia"/>
          <w:b/>
          <w:sz w:val="32"/>
          <w:szCs w:val="32"/>
        </w:rPr>
        <w:t>詩法通微</w:t>
      </w:r>
    </w:p>
    <w:p w:rsidR="00811080" w:rsidRPr="00811080" w:rsidRDefault="00811080" w:rsidP="00811080">
      <w:pPr>
        <w:spacing w:line="480" w:lineRule="auto"/>
        <w:jc w:val="center"/>
        <w:rPr>
          <w:rFonts w:ascii="Times New Roman" w:eastAsia="等线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Student name:</w:t>
      </w:r>
      <w:r w:rsidRPr="00811080">
        <w:rPr>
          <w:rFonts w:ascii="Times New Roman" w:eastAsia="等线" w:hAnsi="Times New Roman" w:cs="Times New Roman"/>
          <w:bCs/>
        </w:rPr>
        <w:t xml:space="preserve">     </w:t>
      </w:r>
      <w:r>
        <w:rPr>
          <w:rFonts w:ascii="Times New Roman" w:eastAsia="等线" w:hAnsi="Times New Roman" w:cs="Times New Roman" w:hint="eastAsia"/>
          <w:bCs/>
        </w:rPr>
        <w:t xml:space="preserve">      </w:t>
      </w:r>
      <w:r w:rsidRPr="00811080">
        <w:rPr>
          <w:rFonts w:ascii="Times New Roman" w:eastAsia="等线" w:hAnsi="Times New Roman" w:cs="Times New Roman"/>
          <w:bCs/>
        </w:rPr>
        <w:t xml:space="preserve">   </w:t>
      </w:r>
      <w:r w:rsidRPr="00811080">
        <w:rPr>
          <w:rFonts w:ascii="Times New Roman" w:hAnsi="Times New Roman" w:cs="Times New Roman"/>
          <w:bCs/>
          <w:lang w:eastAsia="zh-TW"/>
        </w:rPr>
        <w:t xml:space="preserve"> SID: </w:t>
      </w:r>
      <w:r w:rsidRPr="00811080">
        <w:rPr>
          <w:rFonts w:ascii="Times New Roman" w:eastAsia="等线" w:hAnsi="Times New Roman" w:cs="Times New Roman"/>
          <w:bCs/>
        </w:rPr>
        <w:t>00000</w:t>
      </w:r>
      <w:r w:rsidRPr="00811080">
        <w:rPr>
          <w:rFonts w:ascii="Times New Roman" w:hAnsi="Times New Roman" w:cs="Times New Roman"/>
          <w:bCs/>
          <w:lang w:eastAsia="zh-TW"/>
        </w:rPr>
        <w:tab/>
      </w:r>
      <w:r>
        <w:rPr>
          <w:rFonts w:ascii="Times New Roman" w:hAnsi="Times New Roman" w:cs="Times New Roman" w:hint="eastAsia"/>
          <w:bCs/>
        </w:rPr>
        <w:t xml:space="preserve">              </w:t>
      </w:r>
      <w:r w:rsidRPr="00811080">
        <w:rPr>
          <w:rFonts w:ascii="Times New Roman" w:hAnsi="Times New Roman" w:cs="Times New Roman"/>
          <w:bCs/>
          <w:lang w:eastAsia="zh-TW"/>
        </w:rPr>
        <w:t xml:space="preserve">Date: </w:t>
      </w:r>
      <w:r w:rsidRPr="00811080">
        <w:rPr>
          <w:rFonts w:ascii="Times New Roman" w:eastAsia="等线" w:hAnsi="Times New Roman" w:cs="Times New Roman"/>
          <w:bCs/>
        </w:rPr>
        <w:t xml:space="preserve">    </w:t>
      </w:r>
    </w:p>
    <w:p w:rsidR="00811080" w:rsidRPr="00811080" w:rsidRDefault="00811080" w:rsidP="00811080">
      <w:pPr>
        <w:spacing w:line="480" w:lineRule="auto"/>
        <w:jc w:val="center"/>
        <w:rPr>
          <w:rFonts w:ascii="Times New Roman" w:hAnsi="Times New Roman" w:cs="Times New Roman"/>
          <w:bCs/>
        </w:rPr>
      </w:pPr>
      <w:r w:rsidRPr="00811080">
        <w:rPr>
          <w:rFonts w:ascii="Times New Roman" w:hAnsi="Times New Roman" w:cs="Times New Roman"/>
          <w:bCs/>
          <w:lang w:eastAsia="zh-TW"/>
        </w:rPr>
        <w:t>W</w:t>
      </w:r>
      <w:r w:rsidRPr="00811080">
        <w:rPr>
          <w:rFonts w:ascii="Times New Roman" w:hAnsi="Times New Roman" w:cs="Times New Roman"/>
          <w:bCs/>
        </w:rPr>
        <w:t xml:space="preserve">ord count: </w:t>
      </w:r>
    </w:p>
    <w:p w:rsidR="00073585" w:rsidRPr="0015743F" w:rsidRDefault="008C0625" w:rsidP="00651C26">
      <w:pPr>
        <w:spacing w:line="480" w:lineRule="auto"/>
        <w:rPr>
          <w:rFonts w:ascii="Times New Roman" w:hAnsi="Times New Roman" w:cs="Times New Roman"/>
          <w:b/>
          <w:sz w:val="28"/>
        </w:rPr>
      </w:pPr>
      <w:r w:rsidRPr="0015743F">
        <w:rPr>
          <w:rFonts w:ascii="Times New Roman" w:hAnsi="Times New Roman" w:cs="Times New Roman" w:hint="eastAsia"/>
          <w:b/>
          <w:sz w:val="28"/>
        </w:rPr>
        <w:t xml:space="preserve">1. </w:t>
      </w:r>
      <w:r w:rsidR="00E61126" w:rsidRPr="0015743F">
        <w:rPr>
          <w:rFonts w:ascii="Times New Roman" w:hAnsi="Times New Roman" w:cs="Times New Roman"/>
          <w:b/>
          <w:sz w:val="28"/>
        </w:rPr>
        <w:t xml:space="preserve">Original text </w:t>
      </w:r>
      <w:r w:rsidRPr="0015743F">
        <w:rPr>
          <w:rFonts w:ascii="Times New Roman" w:hAnsi="Times New Roman" w:cs="Times New Roman" w:hint="eastAsia"/>
          <w:b/>
          <w:sz w:val="28"/>
        </w:rPr>
        <w:t xml:space="preserve">and translation </w:t>
      </w:r>
      <w:r w:rsidR="00E61126" w:rsidRPr="0015743F">
        <w:rPr>
          <w:rFonts w:ascii="Times New Roman" w:hAnsi="Times New Roman" w:cs="Times New Roman"/>
          <w:b/>
          <w:sz w:val="28"/>
        </w:rPr>
        <w:t xml:space="preserve">of </w:t>
      </w:r>
      <w:r w:rsidR="00A36618">
        <w:rPr>
          <w:rFonts w:ascii="Times New Roman" w:hAnsi="Times New Roman" w:cs="Times New Roman" w:hint="eastAsia"/>
          <w:b/>
          <w:sz w:val="28"/>
        </w:rPr>
        <w:t xml:space="preserve">the </w:t>
      </w:r>
      <w:r w:rsidR="00CA74AF">
        <w:rPr>
          <w:rFonts w:ascii="Times New Roman" w:hAnsi="Times New Roman" w:cs="Times New Roman" w:hint="eastAsia"/>
          <w:b/>
          <w:sz w:val="28"/>
        </w:rPr>
        <w:t>text</w:t>
      </w:r>
      <w:r w:rsidR="00753682" w:rsidRPr="0015743F">
        <w:rPr>
          <w:rFonts w:ascii="Times New Roman" w:hAnsi="Times New Roman" w:cs="Times New Roman" w:hint="eastAsia"/>
          <w:b/>
          <w:sz w:val="28"/>
        </w:rPr>
        <w:t xml:space="preserve"> from </w:t>
      </w:r>
      <w:r w:rsidR="00CA74AF">
        <w:rPr>
          <w:rFonts w:ascii="Times New Roman" w:hAnsi="Times New Roman" w:cs="Times New Roman" w:hint="eastAsia"/>
          <w:b/>
          <w:i/>
          <w:sz w:val="28"/>
        </w:rPr>
        <w:t xml:space="preserve">Shijing pingshi </w:t>
      </w:r>
      <w:r w:rsidR="00753682" w:rsidRPr="0015743F">
        <w:rPr>
          <w:rFonts w:ascii="Times New Roman" w:hAnsi="Times New Roman" w:cs="Times New Roman" w:hint="eastAsia"/>
          <w:b/>
          <w:sz w:val="28"/>
        </w:rPr>
        <w:t xml:space="preserve"> (</w:t>
      </w:r>
      <w:r w:rsidR="00CA74AF">
        <w:rPr>
          <w:rFonts w:ascii="Times New Roman" w:hAnsi="Times New Roman" w:cs="Times New Roman" w:hint="eastAsia"/>
          <w:b/>
          <w:sz w:val="28"/>
        </w:rPr>
        <w:t>Preface</w:t>
      </w:r>
      <w:r w:rsidR="00753682" w:rsidRPr="0015743F">
        <w:rPr>
          <w:rFonts w:ascii="Times New Roman" w:hAnsi="Times New Roman" w:cs="Times New Roman" w:hint="eastAsia"/>
          <w:b/>
          <w:sz w:val="28"/>
        </w:rPr>
        <w:t>)</w:t>
      </w:r>
    </w:p>
    <w:p w:rsidR="008C0625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  <w:lang w:eastAsia="zh-TW"/>
        </w:rPr>
        <w:t xml:space="preserve">1.1 </w:t>
      </w:r>
      <w:r w:rsidR="008C0625">
        <w:rPr>
          <w:rFonts w:ascii="Times New Roman" w:hAnsi="Times New Roman" w:cs="Times New Roman" w:hint="eastAsia"/>
          <w:sz w:val="24"/>
          <w:lang w:eastAsia="zh-TW"/>
        </w:rPr>
        <w:t>Original text</w:t>
      </w:r>
      <w:r w:rsidR="00D56ECE">
        <w:rPr>
          <w:rFonts w:ascii="Times New Roman" w:hAnsi="Times New Roman" w:cs="Times New Roman" w:hint="eastAsia"/>
          <w:sz w:val="24"/>
          <w:lang w:eastAsia="zh-TW"/>
        </w:rPr>
        <w:t xml:space="preserve"> </w:t>
      </w:r>
      <w:r w:rsidR="0042398B">
        <w:rPr>
          <w:rFonts w:ascii="Times New Roman" w:hAnsi="Times New Roman" w:cs="Times New Roman"/>
          <w:sz w:val="24"/>
        </w:rPr>
        <w:t>–</w:t>
      </w:r>
      <w:r w:rsidR="0042398B">
        <w:rPr>
          <w:rFonts w:ascii="Times New Roman" w:hAnsi="Times New Roman" w:cs="Times New Roman" w:hint="eastAsia"/>
          <w:sz w:val="24"/>
        </w:rPr>
        <w:t xml:space="preserve"> Part I </w:t>
      </w:r>
      <w:r w:rsidR="0042398B" w:rsidRPr="00144DBD">
        <w:rPr>
          <w:rFonts w:ascii="DFKai-SB" w:eastAsia="DFKai-SB" w:hAnsi="DFKai-SB" w:cs="Times New Roman" w:hint="eastAsia"/>
          <w:sz w:val="28"/>
          <w:szCs w:val="28"/>
        </w:rPr>
        <w:t>詩之來源</w:t>
      </w:r>
      <w:r w:rsidR="0042398B">
        <w:rPr>
          <w:rFonts w:ascii="Times New Roman" w:hAnsi="Times New Roman" w:cs="Times New Roman" w:hint="eastAsia"/>
          <w:sz w:val="24"/>
        </w:rPr>
        <w:t>A</w:t>
      </w:r>
    </w:p>
    <w:p w:rsidR="009025A6" w:rsidRPr="0042398B" w:rsidRDefault="00F322F8" w:rsidP="00651C26">
      <w:pPr>
        <w:spacing w:line="480" w:lineRule="auto"/>
        <w:rPr>
          <w:rFonts w:ascii="MingLiU" w:eastAsia="MingLiU" w:hAnsi="MingLiU" w:cs="Times New Roman"/>
          <w:sz w:val="24"/>
          <w:lang w:eastAsia="zh-TW"/>
        </w:rPr>
      </w:pPr>
      <w:r>
        <w:rPr>
          <w:rFonts w:ascii="PMingLiU" w:eastAsia="PMingLiU" w:hAnsi="PMingLiU" w:cs="Times New Roman"/>
          <w:sz w:val="24"/>
          <w:lang w:eastAsia="zh-TW"/>
        </w:rPr>
        <w:t xml:space="preserve">    </w:t>
      </w:r>
      <w:r w:rsidR="00E6415B">
        <w:rPr>
          <w:rFonts w:ascii="PMingLiU" w:hAnsi="PMingLiU" w:cs="Times New Roman" w:hint="eastAsia"/>
          <w:sz w:val="24"/>
          <w:lang w:eastAsia="zh-TW"/>
        </w:rPr>
        <w:t xml:space="preserve">    </w:t>
      </w:r>
      <w:r w:rsidR="0042398B" w:rsidRPr="0042398B">
        <w:rPr>
          <w:rFonts w:ascii="MingLiU" w:eastAsia="MingLiU" w:hAnsi="MingLiU" w:cs="Times New Roman" w:hint="eastAsia"/>
          <w:sz w:val="24"/>
          <w:lang w:eastAsia="zh-TW"/>
        </w:rPr>
        <w:t>詩之肇始，蓋有文字之先，情動口號而已。故沈約宋書謝靈運傳論曰：「然則歌詠所興，宜自生民始也。」是詩者，言志者也。虞書曰：「詩言志，歌永言。聲依永。律和聲。」說文曰：「詩，志也，從言寺聲。古文作 ，從言之聲。」釋名曰：「詩，之也，志之所之也。」詩大序曰：「詩者，志之所之也，在心爲志，發言爲詩。」文心雕龍明詩篇曰：「詩者，持也，持人情性。」是詩之爲作，乃情感之所之也。故詩大序又曰：「情動於中而形於言，言之不足，故嗟歎之。嗟歎之不足，故永歌之。永歌之不足，不知手之舞之，足之蹈之也。」</w:t>
      </w:r>
    </w:p>
    <w:p w:rsidR="00767632" w:rsidRPr="0042398B" w:rsidRDefault="00A07F8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1.2 Translation</w:t>
      </w:r>
      <w:r w:rsidR="00D56ECE"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42398B">
        <w:rPr>
          <w:rFonts w:ascii="Times New Roman" w:hAnsi="Times New Roman" w:cs="Times New Roman" w:hint="eastAsia"/>
          <w:sz w:val="24"/>
          <w:szCs w:val="24"/>
        </w:rPr>
        <w:t>of Part I</w:t>
      </w:r>
    </w:p>
    <w:p w:rsidR="00104E29" w:rsidRDefault="00A07F88" w:rsidP="00D56ECE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42398B" w:rsidRPr="008C0625" w:rsidRDefault="0042398B" w:rsidP="0042398B">
      <w:pPr>
        <w:spacing w:line="480" w:lineRule="auto"/>
        <w:rPr>
          <w:rFonts w:ascii="Times New Roman" w:hAnsi="Times New Roman" w:cs="Times New Roman"/>
          <w:sz w:val="24"/>
        </w:rPr>
      </w:pPr>
      <w:r>
        <w:rPr>
          <w:rFonts w:ascii="Times New Roman" w:hAnsi="Times New Roman" w:cs="Times New Roman" w:hint="eastAsia"/>
          <w:sz w:val="24"/>
          <w:lang w:eastAsia="zh-TW"/>
        </w:rPr>
        <w:t>1.</w:t>
      </w:r>
      <w:r>
        <w:rPr>
          <w:rFonts w:ascii="Times New Roman" w:hAnsi="Times New Roman" w:cs="Times New Roman" w:hint="eastAsia"/>
          <w:sz w:val="24"/>
        </w:rPr>
        <w:t>3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Original text </w:t>
      </w:r>
      <w:r>
        <w:rPr>
          <w:rFonts w:ascii="Times New Roman" w:hAnsi="Times New Roman" w:cs="Times New Roman"/>
          <w:sz w:val="24"/>
        </w:rPr>
        <w:t>–</w:t>
      </w:r>
      <w:r>
        <w:rPr>
          <w:rFonts w:ascii="Times New Roman" w:hAnsi="Times New Roman" w:cs="Times New Roman" w:hint="eastAsia"/>
          <w:sz w:val="24"/>
        </w:rPr>
        <w:t xml:space="preserve"> Part II </w:t>
      </w:r>
      <w:r w:rsidRPr="00144DBD">
        <w:rPr>
          <w:rFonts w:ascii="DFKai-SB" w:eastAsia="DFKai-SB" w:hAnsi="DFKai-SB" w:cs="Times New Roman" w:hint="eastAsia"/>
          <w:sz w:val="28"/>
          <w:szCs w:val="28"/>
        </w:rPr>
        <w:t>詩之來源</w:t>
      </w:r>
      <w:r>
        <w:rPr>
          <w:rFonts w:ascii="Times New Roman" w:hAnsi="Times New Roman" w:cs="Times New Roman" w:hint="eastAsia"/>
          <w:sz w:val="24"/>
        </w:rPr>
        <w:t>B</w:t>
      </w:r>
    </w:p>
    <w:p w:rsidR="00D56ECE" w:rsidRPr="0042398B" w:rsidRDefault="0042398B" w:rsidP="00D56ECE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   </w:t>
      </w:r>
      <w:r w:rsidR="00E6415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   </w:t>
      </w:r>
      <w:r w:rsidRPr="0042398B">
        <w:rPr>
          <w:rFonts w:ascii="MingLiU" w:eastAsia="MingLiU" w:hAnsi="MingLiU" w:cs="Times New Roman" w:hint="eastAsia"/>
          <w:sz w:val="24"/>
          <w:szCs w:val="24"/>
          <w:lang w:eastAsia="zh-TW"/>
        </w:rPr>
        <w:t>朱熹詩集傳序曰：「人生而靜，天之性也。</w:t>
      </w:r>
      <w:r w:rsidRPr="0042398B">
        <w:rPr>
          <w:rFonts w:ascii="MingLiU" w:eastAsia="MingLiU" w:hAnsi="MingLiU" w:cs="Times New Roman" w:hint="eastAsia"/>
          <w:sz w:val="24"/>
          <w:szCs w:val="24"/>
        </w:rPr>
        <w:t>感於物而動，性之欲也。夫既有欲矣，則不能無思。既有思矣，則不能無言。</w:t>
      </w:r>
      <w:r w:rsidRPr="0042398B">
        <w:rPr>
          <w:rFonts w:ascii="MingLiU" w:eastAsia="MingLiU" w:hAnsi="MingLiU" w:cs="Times New Roman" w:hint="eastAsia"/>
          <w:sz w:val="24"/>
          <w:szCs w:val="24"/>
          <w:lang w:eastAsia="zh-TW"/>
        </w:rPr>
        <w:t>既有言矣，則言之所不能盡，而發於咨嗟詠歌之餘者，必有自然之音響節族（奏）而不能已焉，此詩之所以作也。」然則詩之爲作，</w:t>
      </w:r>
      <w:r w:rsidRPr="0042398B">
        <w:rPr>
          <w:rFonts w:ascii="MingLiU" w:eastAsia="MingLiU" w:hAnsi="MingLiU" w:cs="Times New Roman" w:hint="eastAsia"/>
          <w:sz w:val="24"/>
          <w:szCs w:val="24"/>
          <w:lang w:eastAsia="zh-TW"/>
        </w:rPr>
        <w:lastRenderedPageBreak/>
        <w:t>由情而發，由言而現，由永歌韻律而成，至於手舞足蹈而爲之象。是知古之詩也，可低詠長嘯，可扣絃高歌，亦可依聲和律，頓足起舞者也。其爲至情之表現，人性之流露，而生活之寫照乎！至其激發，或緣於苦楚，或緣於激憤，或緣於喜怒。皆爲情之所觸，意之所之，而宣之於詞也。</w:t>
      </w:r>
    </w:p>
    <w:p w:rsidR="0042398B" w:rsidRPr="0042398B" w:rsidRDefault="0042398B" w:rsidP="0042398B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1.4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of Part II</w:t>
      </w:r>
    </w:p>
    <w:p w:rsidR="0042398B" w:rsidRDefault="0042398B" w:rsidP="0042398B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42398B" w:rsidRDefault="0042398B" w:rsidP="0042398B">
      <w:pPr>
        <w:spacing w:line="480" w:lineRule="auto"/>
        <w:rPr>
          <w:rFonts w:ascii="Times New Roman" w:hAnsi="Times New Roman" w:cs="Times New Roman"/>
          <w:sz w:val="24"/>
          <w:lang w:eastAsia="zh-TW"/>
        </w:rPr>
      </w:pPr>
      <w:r>
        <w:rPr>
          <w:rFonts w:ascii="Times New Roman" w:hAnsi="Times New Roman" w:cs="Times New Roman" w:hint="eastAsia"/>
          <w:sz w:val="24"/>
          <w:lang w:eastAsia="zh-TW"/>
        </w:rPr>
        <w:t xml:space="preserve">1.5 Original text </w:t>
      </w:r>
      <w:r>
        <w:rPr>
          <w:rFonts w:ascii="Times New Roman" w:hAnsi="Times New Roman" w:cs="Times New Roman"/>
          <w:sz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Part I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I</w:t>
      </w:r>
      <w:r>
        <w:rPr>
          <w:rFonts w:ascii="Times New Roman" w:hAnsi="Times New Roman" w:cs="Times New Roman" w:hint="eastAsia"/>
          <w:sz w:val="24"/>
          <w:lang w:eastAsia="zh-TW"/>
        </w:rPr>
        <w:t>I</w:t>
      </w:r>
      <w:r w:rsidRPr="00144DBD">
        <w:rPr>
          <w:rFonts w:ascii="DFKai-SB" w:eastAsia="DFKai-SB" w:hAnsi="DFKai-SB" w:cs="Times New Roman" w:hint="eastAsia"/>
          <w:sz w:val="28"/>
          <w:szCs w:val="28"/>
          <w:lang w:eastAsia="zh-TW"/>
        </w:rPr>
        <w:t>詩之名稱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A</w:t>
      </w:r>
    </w:p>
    <w:p w:rsidR="002A2947" w:rsidRPr="00E6415B" w:rsidRDefault="00E6415B" w:rsidP="0042398B">
      <w:pPr>
        <w:spacing w:line="480" w:lineRule="auto"/>
        <w:rPr>
          <w:rFonts w:ascii="MingLiU" w:eastAsia="MingLiU" w:hAnsi="MingLiU" w:cs="Times New Roman"/>
          <w:sz w:val="24"/>
          <w:lang w:eastAsia="zh-TW"/>
        </w:rPr>
      </w:pPr>
      <w:r>
        <w:rPr>
          <w:rFonts w:ascii="MingLiU" w:eastAsia="MingLiU" w:hAnsi="MingLiU" w:cs="Times New Roman" w:hint="eastAsia"/>
          <w:sz w:val="24"/>
          <w:lang w:eastAsia="zh-TW"/>
        </w:rPr>
        <w:t xml:space="preserve">    </w:t>
      </w:r>
      <w:r w:rsidRPr="00E6415B">
        <w:rPr>
          <w:rFonts w:ascii="MingLiU" w:eastAsia="MingLiU" w:hAnsi="MingLiU" w:cs="Times New Roman" w:hint="eastAsia"/>
          <w:sz w:val="24"/>
          <w:lang w:eastAsia="zh-TW"/>
        </w:rPr>
        <w:t>詩經一詞，古無之，古惟稱之曰詩。論語陽貨篇曰：「詩，可以興，可以觀，可以群，可以怨。」又季氏篇曰：「不學詩，無以言。」又述而篇曰：「子所雅言，詩、書、執禮，皆雅言也。」或稱詩三百者，言其數目也。論語爲政篇曰：「孔子曰：『詩三百，一言以蔽之，曰：思無邪。』」又子路篇曰：「誦詩三百，授之以政，不達。使於四方，不能專對，雖多，亦奚以爲。」或稱之爲毛詩，緣毛公而得名，蓋與齊、魯、韓三家詩同以傳人稱。是在詩之上注以傳人，仍爲詩而已。詩始稱爲經，當起於戰國晚年。禮記經解篇曰：「入其國，其教可知也。其爲人也，溫柔敦厚，詩教也。」是以詩爲經。</w:t>
      </w:r>
    </w:p>
    <w:p w:rsidR="0042398B" w:rsidRPr="0042398B" w:rsidRDefault="0042398B" w:rsidP="0042398B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</w:t>
      </w:r>
      <w:r w:rsidR="002A2947">
        <w:rPr>
          <w:rFonts w:ascii="Times New Roman" w:hAnsi="Times New Roman" w:cs="Times New Roman" w:hint="eastAsia"/>
          <w:sz w:val="24"/>
          <w:szCs w:val="24"/>
          <w:lang w:eastAsia="zh-TW"/>
        </w:rPr>
        <w:t>6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of Part I</w:t>
      </w:r>
      <w:r w:rsidR="002A2947">
        <w:rPr>
          <w:rFonts w:ascii="Times New Roman" w:hAnsi="Times New Roman" w:cs="Times New Roman" w:hint="eastAsia"/>
          <w:sz w:val="24"/>
          <w:szCs w:val="24"/>
          <w:lang w:eastAsia="zh-TW"/>
        </w:rPr>
        <w:t>II</w:t>
      </w:r>
    </w:p>
    <w:p w:rsidR="0042398B" w:rsidRDefault="0042398B" w:rsidP="0042398B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42398B" w:rsidRPr="008C0625" w:rsidRDefault="0042398B" w:rsidP="0042398B">
      <w:pPr>
        <w:spacing w:line="480" w:lineRule="auto"/>
        <w:rPr>
          <w:rFonts w:ascii="Times New Roman" w:hAnsi="Times New Roman" w:cs="Times New Roman"/>
          <w:sz w:val="24"/>
          <w:lang w:eastAsia="zh-TW"/>
        </w:rPr>
      </w:pPr>
      <w:r>
        <w:rPr>
          <w:rFonts w:ascii="Times New Roman" w:hAnsi="Times New Roman" w:cs="Times New Roman" w:hint="eastAsia"/>
          <w:sz w:val="24"/>
          <w:lang w:eastAsia="zh-TW"/>
        </w:rPr>
        <w:t>1.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7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Original text </w:t>
      </w:r>
      <w:r>
        <w:rPr>
          <w:rFonts w:ascii="Times New Roman" w:hAnsi="Times New Roman" w:cs="Times New Roman"/>
          <w:sz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Part I</w:t>
      </w:r>
      <w:r w:rsidR="002A2947">
        <w:rPr>
          <w:rFonts w:ascii="Times New Roman" w:hAnsi="Times New Roman" w:cs="Times New Roman" w:hint="eastAsia"/>
          <w:sz w:val="24"/>
          <w:lang w:eastAsia="zh-TW"/>
        </w:rPr>
        <w:t>V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</w:t>
      </w:r>
      <w:r w:rsidR="002A2947" w:rsidRPr="00144DBD">
        <w:rPr>
          <w:rFonts w:ascii="DFKai-SB" w:eastAsia="DFKai-SB" w:hAnsi="DFKai-SB" w:cs="Times New Roman" w:hint="eastAsia"/>
          <w:sz w:val="28"/>
          <w:szCs w:val="28"/>
          <w:lang w:eastAsia="zh-TW"/>
        </w:rPr>
        <w:t>詩之名稱</w:t>
      </w:r>
      <w:r>
        <w:rPr>
          <w:rFonts w:ascii="Times New Roman" w:hAnsi="Times New Roman" w:cs="Times New Roman" w:hint="eastAsia"/>
          <w:sz w:val="24"/>
          <w:lang w:eastAsia="zh-TW"/>
        </w:rPr>
        <w:t>B</w:t>
      </w:r>
    </w:p>
    <w:p w:rsidR="0042398B" w:rsidRPr="00E6415B" w:rsidRDefault="00E6415B" w:rsidP="00D56ECE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MingLiU" w:hAnsi="MingLiU" w:cs="Times New Roman" w:hint="eastAsia"/>
          <w:sz w:val="24"/>
          <w:szCs w:val="24"/>
          <w:lang w:eastAsia="zh-TW"/>
        </w:rPr>
        <w:t xml:space="preserve">    </w:t>
      </w:r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莊子天運篇曰：「孔子謂老聃曰：『丘治詩、書、禮、樂、易、春秋六經。』」而莊子天道篇又有「十二經」之言。禮記經解，與莊子天運、天道，不知究竟作成何</w:t>
      </w:r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lastRenderedPageBreak/>
        <w:t>時，約而言之，天運、天道，最早不能超過戰國晚年，而經解一篇，則十之八九爲西漢初年作品。於此，知詩之被稱爲經，當在戰國之世，不應後於墨經與孝經之稱爲經。莊子天下篇論別墨曰：「俱誦墨經，而倍譎不同。」呂氏春秋察微篇曰：「孝經云：『高而不危，所以長守貴也。』」就天下篇敍述各學派，尚無秦漢間色彩，可證知彼篇之著成，當在戰國晚年。</w:t>
      </w:r>
    </w:p>
    <w:p w:rsidR="002A2947" w:rsidRPr="0042398B" w:rsidRDefault="002A2947" w:rsidP="002A2947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</w:t>
      </w:r>
      <w:r>
        <w:rPr>
          <w:rFonts w:ascii="Times New Roman" w:hAnsi="Times New Roman" w:cs="Times New Roman" w:hint="eastAsia"/>
          <w:sz w:val="24"/>
          <w:szCs w:val="24"/>
        </w:rPr>
        <w:t>8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</w:rPr>
        <w:t>of Part IV</w:t>
      </w:r>
    </w:p>
    <w:p w:rsidR="002A2947" w:rsidRDefault="002A2947" w:rsidP="002A294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E6415B" w:rsidRPr="008C0625" w:rsidRDefault="00E6415B" w:rsidP="00E6415B">
      <w:pPr>
        <w:spacing w:line="480" w:lineRule="auto"/>
        <w:rPr>
          <w:rFonts w:ascii="Times New Roman" w:hAnsi="Times New Roman" w:cs="Times New Roman"/>
          <w:sz w:val="24"/>
          <w:lang w:eastAsia="zh-TW"/>
        </w:rPr>
      </w:pPr>
      <w:r>
        <w:rPr>
          <w:rFonts w:ascii="Times New Roman" w:hAnsi="Times New Roman" w:cs="Times New Roman" w:hint="eastAsia"/>
          <w:sz w:val="24"/>
          <w:lang w:eastAsia="zh-TW"/>
        </w:rPr>
        <w:t xml:space="preserve">1.9 Original text </w:t>
      </w:r>
      <w:r>
        <w:rPr>
          <w:rFonts w:ascii="Times New Roman" w:hAnsi="Times New Roman" w:cs="Times New Roman"/>
          <w:sz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lang w:eastAsia="zh-TW"/>
        </w:rPr>
        <w:t xml:space="preserve"> Part V </w:t>
      </w:r>
      <w:r w:rsidRPr="00144DBD">
        <w:rPr>
          <w:rFonts w:ascii="DFKai-SB" w:eastAsia="DFKai-SB" w:hAnsi="DFKai-SB" w:cs="Times New Roman" w:hint="eastAsia"/>
          <w:sz w:val="28"/>
          <w:szCs w:val="28"/>
          <w:lang w:eastAsia="zh-TW"/>
        </w:rPr>
        <w:t>詩之名稱</w:t>
      </w:r>
      <w:r>
        <w:rPr>
          <w:rFonts w:ascii="Times New Roman" w:hAnsi="Times New Roman" w:cs="Times New Roman" w:hint="eastAsia"/>
          <w:sz w:val="24"/>
          <w:lang w:eastAsia="zh-TW"/>
        </w:rPr>
        <w:t>C</w:t>
      </w:r>
    </w:p>
    <w:p w:rsidR="002A2947" w:rsidRPr="00E6415B" w:rsidRDefault="00E6415B" w:rsidP="00D56ECE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MingLiU" w:hAnsi="MingLiU" w:cs="Times New Roman" w:hint="eastAsia"/>
          <w:sz w:val="24"/>
          <w:szCs w:val="24"/>
          <w:lang w:eastAsia="zh-TW"/>
        </w:rPr>
        <w:t xml:space="preserve">    </w:t>
      </w:r>
      <w:r w:rsidRPr="00E6415B">
        <w:rPr>
          <w:rFonts w:ascii="MingLiU" w:eastAsia="MingLiU" w:hAnsi="MingLiU" w:cs="Times New Roman" w:hint="eastAsia"/>
          <w:sz w:val="24"/>
          <w:szCs w:val="24"/>
          <w:lang w:eastAsia="zh-TW"/>
        </w:rPr>
        <w:t>而呂氏春秋，則作成於秦八年。據此記載，知子書如墨子，而孝經爲傳紀之書，漢志列於論語之後，小學之前，在戰國晚年或秦初，皆已有經尊稱。至高文典冊之詩、書、易之稱爲經，當不後於此。是以荀子勸學篇曰：「學惡乎始？惡乎終？始乎誦經，終乎讀禮。」此所謂經，當指詩、易而言。惟將經字與詩連在一起，最早爲司馬遷史記儒林傳之「申公獨以詩經爲訓以教。」至正式連屬爲書名，以宋人廖剛之詩經講義爲最早，約爲南宋初年。而漢志云：「詩、易經」云云，經字應屬下讀。</w:t>
      </w:r>
    </w:p>
    <w:p w:rsidR="00E6415B" w:rsidRPr="0042398B" w:rsidRDefault="00E6415B" w:rsidP="00E6415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>1.</w:t>
      </w:r>
      <w:r>
        <w:rPr>
          <w:rFonts w:ascii="Times New Roman" w:hAnsi="Times New Roman" w:cs="Times New Roman" w:hint="eastAsia"/>
          <w:sz w:val="24"/>
          <w:szCs w:val="24"/>
        </w:rPr>
        <w:t>10</w:t>
      </w:r>
      <w:r w:rsidRPr="0042398B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Translation </w:t>
      </w:r>
      <w:r>
        <w:rPr>
          <w:rFonts w:ascii="Times New Roman" w:hAnsi="Times New Roman" w:cs="Times New Roman" w:hint="eastAsia"/>
          <w:sz w:val="24"/>
          <w:szCs w:val="24"/>
        </w:rPr>
        <w:t>of Part V</w:t>
      </w:r>
    </w:p>
    <w:p w:rsidR="00E6415B" w:rsidRDefault="00E6415B" w:rsidP="00E6415B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42398B" w:rsidRPr="00104E29" w:rsidRDefault="0042398B" w:rsidP="00D56ECE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:rsidR="00073585" w:rsidRPr="0015743F" w:rsidRDefault="008C0625" w:rsidP="00651C26">
      <w:pPr>
        <w:spacing w:line="480" w:lineRule="auto"/>
        <w:rPr>
          <w:rFonts w:ascii="Times New Roman" w:hAnsi="Times New Roman" w:cs="Times New Roman"/>
          <w:b/>
          <w:sz w:val="28"/>
          <w:szCs w:val="24"/>
        </w:rPr>
      </w:pPr>
      <w:r w:rsidRPr="0015743F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2. </w:t>
      </w:r>
      <w:r w:rsidRPr="0015743F">
        <w:rPr>
          <w:rFonts w:ascii="Times New Roman" w:hAnsi="Times New Roman" w:cs="Times New Roman"/>
          <w:b/>
          <w:sz w:val="28"/>
          <w:szCs w:val="24"/>
          <w:lang w:eastAsia="zh-TW"/>
        </w:rPr>
        <w:t xml:space="preserve">Original text </w:t>
      </w:r>
      <w:r w:rsidR="002360F0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and translation of the </w:t>
      </w:r>
      <w:r w:rsidR="00A36618">
        <w:rPr>
          <w:rFonts w:ascii="Times New Roman" w:hAnsi="Times New Roman" w:cs="Times New Roman" w:hint="eastAsia"/>
          <w:b/>
          <w:sz w:val="28"/>
          <w:szCs w:val="24"/>
        </w:rPr>
        <w:t>text</w:t>
      </w:r>
      <w:bookmarkStart w:id="0" w:name="_GoBack"/>
      <w:bookmarkEnd w:id="0"/>
      <w:r w:rsidR="00CA74AF">
        <w:rPr>
          <w:rFonts w:ascii="Times New Roman" w:hAnsi="Times New Roman" w:cs="Times New Roman" w:hint="eastAsia"/>
          <w:b/>
          <w:sz w:val="28"/>
          <w:szCs w:val="24"/>
        </w:rPr>
        <w:t xml:space="preserve"> from </w:t>
      </w:r>
      <w:r w:rsidR="00CA74AF" w:rsidRPr="00CA74AF">
        <w:rPr>
          <w:rFonts w:ascii="Times New Roman" w:hAnsi="Times New Roman" w:cs="Times New Roman" w:hint="eastAsia"/>
          <w:b/>
          <w:i/>
          <w:sz w:val="28"/>
          <w:szCs w:val="24"/>
        </w:rPr>
        <w:t>Shifa tongwei</w:t>
      </w:r>
      <w:r w:rsidR="00CA74AF">
        <w:rPr>
          <w:rFonts w:ascii="Times New Roman" w:hAnsi="Times New Roman" w:cs="Times New Roman" w:hint="eastAsia"/>
          <w:b/>
          <w:sz w:val="28"/>
          <w:szCs w:val="24"/>
        </w:rPr>
        <w:t xml:space="preserve"> (</w:t>
      </w:r>
      <w:r w:rsidR="0042398B">
        <w:rPr>
          <w:rFonts w:ascii="Times New Roman" w:hAnsi="Times New Roman" w:cs="Times New Roman" w:hint="eastAsia"/>
          <w:b/>
          <w:sz w:val="28"/>
          <w:szCs w:val="24"/>
        </w:rPr>
        <w:t>Part of Chapter Two</w:t>
      </w:r>
      <w:r w:rsidR="00CA74AF">
        <w:rPr>
          <w:rFonts w:ascii="Times New Roman" w:hAnsi="Times New Roman" w:cs="Times New Roman" w:hint="eastAsia"/>
          <w:b/>
          <w:sz w:val="28"/>
          <w:szCs w:val="24"/>
        </w:rPr>
        <w:t>)</w:t>
      </w:r>
    </w:p>
    <w:p w:rsidR="00FB7A02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>
        <w:rPr>
          <w:rFonts w:ascii="Times New Roman" w:hAnsi="Times New Roman" w:cs="Times New Roman" w:hint="eastAsia"/>
          <w:sz w:val="24"/>
          <w:szCs w:val="24"/>
        </w:rPr>
        <w:t>1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 w:rsidR="00FB7A02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</w:rPr>
        <w:t>I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:rsidR="00371AD6" w:rsidRPr="00ED4CC7" w:rsidRDefault="00F322F8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lastRenderedPageBreak/>
        <w:t xml:space="preserve">    </w:t>
      </w:r>
      <w:r w:rsidR="00ED4CC7">
        <w:rPr>
          <w:rFonts w:ascii="PMingLiU" w:hAnsi="PMingLiU" w:cs="Times New Roman" w:hint="eastAsia"/>
          <w:sz w:val="24"/>
          <w:szCs w:val="24"/>
        </w:rPr>
        <w:t xml:space="preserve">   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三超。識見宜超，氣象宜超，語意宜超，惟胸次高曠者能之。詩有四高。格宜高，興宜高，地步宜高，手眼亦宜高，而皆求諸修養。詩有四近。宜近情，宜近理，宜近風雅，宜近畫圖。情理得之於學問，風雅得之於《詩》、《騷》，而畫圖則取助於江山。詩有三深。情宜深，意宜深，味宜深。皎然曰：「氣象氤氳，由深於體勢；意度盤礴，由深於作用；用律不滯，由深於聲對；用事不直，由深於義類。」此說甚精，特深作熟解，不與淺對耳。</w:t>
      </w:r>
    </w:p>
    <w:p w:rsidR="00FB7A02" w:rsidRPr="008C0625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2.2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I</w:t>
      </w:r>
    </w:p>
    <w:p w:rsidR="0015743F" w:rsidRDefault="00FB7A02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FB7A02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2.3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 w:rsidR="00FB7A02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II</w:t>
      </w:r>
    </w:p>
    <w:p w:rsidR="00371AD6" w:rsidRPr="00ED4CC7" w:rsidRDefault="00F322F8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ED4CC7">
        <w:rPr>
          <w:rFonts w:ascii="PMingLiU" w:hAnsi="PMingLiU" w:cs="Times New Roman" w:hint="eastAsia"/>
          <w:sz w:val="24"/>
          <w:szCs w:val="24"/>
          <w:lang w:eastAsia="zh-TW"/>
        </w:rPr>
        <w:t xml:space="preserve">    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三淺。意宜深而語宜淺，鍊宜精而色宜淺，學宜富而用事宜淺，所謂深入而淺出也。詩有三嚴。紀律宜嚴，對章宜嚴，棄取宜嚴，不嚴則懈而滑矣。詩有三寬。聲病無礙者宜寬（如八病中後四病之類），俗論太刻者宜寬（如論杜詩每聯上句第七字上去入間用之類），瑜多瑕少者宜寬。寬者寬之，嚴者嚴之，而詩律工矣。詩有三留。留好意以待發揮，留好字以助警策，留好韻以助精神。建安盛唐多好意，太康、中唐多好字，永明、大曆多好韻，唯大家爲能兼之。</w:t>
      </w:r>
    </w:p>
    <w:p w:rsidR="00FB7A02" w:rsidRPr="008C0625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>
        <w:rPr>
          <w:rFonts w:ascii="Times New Roman" w:hAnsi="Times New Roman" w:cs="Times New Roman" w:hint="eastAsia"/>
          <w:sz w:val="24"/>
          <w:szCs w:val="24"/>
        </w:rPr>
        <w:t>4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>
        <w:rPr>
          <w:rFonts w:ascii="Times New Roman" w:hAnsi="Times New Roman" w:cs="Times New Roman" w:hint="eastAsia"/>
          <w:sz w:val="24"/>
          <w:szCs w:val="24"/>
        </w:rPr>
        <w:t>II</w:t>
      </w:r>
    </w:p>
    <w:p w:rsidR="004E19F2" w:rsidRPr="00ED4CC7" w:rsidRDefault="00FB7A02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FB7A02" w:rsidRDefault="00725478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>
        <w:rPr>
          <w:rFonts w:ascii="Times New Roman" w:hAnsi="Times New Roman" w:cs="Times New Roman" w:hint="eastAsia"/>
          <w:sz w:val="24"/>
          <w:szCs w:val="24"/>
        </w:rPr>
        <w:t>5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FB7A02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 w:rsidR="00FB7A02">
        <w:rPr>
          <w:rFonts w:ascii="Times New Roman" w:hAnsi="Times New Roman" w:cs="Times New Roman"/>
          <w:sz w:val="24"/>
          <w:szCs w:val="24"/>
          <w:lang w:eastAsia="zh-TW"/>
        </w:rPr>
        <w:t>–</w:t>
      </w:r>
      <w:r w:rsidR="00FB7A02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</w:rPr>
        <w:t>III</w:t>
      </w:r>
    </w:p>
    <w:p w:rsidR="00371AD6" w:rsidRPr="00ED4CC7" w:rsidRDefault="00ED4CC7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    </w:t>
      </w:r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詩有四不可。骨不可露，氣不可浮，情不可過，意不可偏。皎然曰：「氣高而不怒，怒則失於風流；力勁而不露，露則傷於斤斧；情多而不暗，暗則蹶於拙鈍；才贍</w:t>
      </w:r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lastRenderedPageBreak/>
        <w:t>而不疏，疏則損於筋脈。」兩說可以相輔，而宋賢多犯此病。（失於風流，言不風流也。）詩有四勿傷。鍊勿傷氣，曲勿傷意，淡勿傷味，瘦勿傷神。前賢如張景陽能不傷氣，杜子美能不傷意，陶淵明、孟山人能不傷味，王右丞、劉文房能不傷神。</w:t>
      </w:r>
    </w:p>
    <w:p w:rsidR="008C0625" w:rsidRPr="008C0625" w:rsidRDefault="00A07F88" w:rsidP="00651C26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</w:t>
      </w:r>
      <w:r w:rsidR="00725478">
        <w:rPr>
          <w:rFonts w:ascii="Times New Roman" w:hAnsi="Times New Roman" w:cs="Times New Roman" w:hint="eastAsia"/>
          <w:sz w:val="24"/>
          <w:szCs w:val="24"/>
          <w:lang w:eastAsia="zh-TW"/>
        </w:rPr>
        <w:t>.6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="008C0625"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 w:rsidR="00055B3E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III</w:t>
      </w:r>
    </w:p>
    <w:p w:rsidR="00B32F82" w:rsidRDefault="00A07F88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7802DA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 w:rsidR="00725478">
        <w:rPr>
          <w:rFonts w:ascii="Times New Roman" w:hAnsi="Times New Roman" w:cs="Times New Roman" w:hint="eastAsia"/>
          <w:sz w:val="24"/>
          <w:szCs w:val="24"/>
          <w:lang w:eastAsia="zh-TW"/>
        </w:rPr>
        <w:t>7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IV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:rsidR="007802DA" w:rsidRPr="00ED4CC7" w:rsidRDefault="007802DA" w:rsidP="007802DA">
      <w:pPr>
        <w:spacing w:line="480" w:lineRule="auto"/>
        <w:rPr>
          <w:rFonts w:ascii="MingLiU" w:hAnsi="MingLiU" w:cs="Times New Roman"/>
          <w:sz w:val="24"/>
          <w:szCs w:val="24"/>
          <w:lang w:eastAsia="zh-TW"/>
        </w:rPr>
      </w:pPr>
      <w:r>
        <w:rPr>
          <w:rFonts w:ascii="PMingLiU" w:eastAsia="PMingLiU" w:hAnsi="PMingLiU" w:cs="Times New Roman"/>
          <w:sz w:val="24"/>
          <w:szCs w:val="24"/>
          <w:lang w:eastAsia="zh-TW"/>
        </w:rPr>
        <w:t xml:space="preserve">    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三盡三不盡。景盡情不盡，語盡意不盡，趣盡味不盡。唐詩中晚以後，往往失之於盡，而宋賢尤鮮餘味。取法乎中，僅得乎下，所以宋詩不宜學也。詩有三可借。故事可借，字意可借，古人句可借。（借句者當注明。）詩有三不欲勝。文不欲勝質，境不欲勝情，情不欲勝理。然五者相濟而不可偏勝。文勝則浮，質勝則俚，境勝則虛，情勝則實，理勝則迂滯而不近風雅矣。</w:t>
      </w:r>
    </w:p>
    <w:p w:rsidR="007802DA" w:rsidRPr="008C0625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</w:t>
      </w:r>
      <w:r w:rsidR="00725478">
        <w:rPr>
          <w:rFonts w:ascii="Times New Roman" w:hAnsi="Times New Roman" w:cs="Times New Roman" w:hint="eastAsia"/>
          <w:sz w:val="24"/>
          <w:szCs w:val="24"/>
          <w:lang w:eastAsia="zh-TW"/>
        </w:rPr>
        <w:t>.8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IV</w:t>
      </w:r>
    </w:p>
    <w:p w:rsidR="00725478" w:rsidRPr="00ED4CC7" w:rsidRDefault="007802DA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7802DA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 w:rsidR="00725478">
        <w:rPr>
          <w:rFonts w:ascii="Times New Roman" w:hAnsi="Times New Roman" w:cs="Times New Roman" w:hint="eastAsia"/>
          <w:sz w:val="24"/>
          <w:szCs w:val="24"/>
          <w:lang w:eastAsia="zh-TW"/>
        </w:rPr>
        <w:t>9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Original text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V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:rsidR="007802DA" w:rsidRPr="00ED4CC7" w:rsidRDefault="00ED4CC7" w:rsidP="00ED4CC7">
      <w:pPr>
        <w:spacing w:line="480" w:lineRule="auto"/>
        <w:rPr>
          <w:rFonts w:ascii="MingLiU" w:eastAsia="MingLiU" w:hAnsi="MingLiU" w:cs="Times New Roman"/>
          <w:lang w:eastAsia="zh-TW"/>
        </w:rPr>
      </w:pPr>
      <w:r w:rsidRPr="00ED4CC7">
        <w:rPr>
          <w:rFonts w:ascii="MingLiU" w:eastAsia="MingLiU" w:hAnsi="MingLiU" w:cs="Times New Roman"/>
          <w:sz w:val="24"/>
          <w:szCs w:val="24"/>
          <w:lang w:eastAsia="zh-TW"/>
        </w:rPr>
        <w:t xml:space="preserve">    </w:t>
      </w:r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五不可失。麗不可失之艷，新不可失之巧，淡不可失之枯，壯不可失之粗豪，奇不可失之穿鑿。李長吉奇而鑿，李山甫壯而粗，姚武功淡而枯，四靈新而巧，香奩、西崑麗而艷，雖復名家，不可訓也。詩有五可五不可。可頌不可諛，可刺不可訕，可怨不可疾，可樂不可淫，可哀不可傷。小人之詩則頌而諛、刺而訕，淺人之詩則怨而疾、樂而淫、哀而傷矣。詩有八能。能放不可不能收，能入不可不能出，能呼不可不能應，能即不可不能離。</w:t>
      </w:r>
    </w:p>
    <w:p w:rsidR="007802DA" w:rsidRPr="008C0625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 w:hint="eastAsia"/>
          <w:sz w:val="24"/>
          <w:szCs w:val="24"/>
        </w:rPr>
        <w:lastRenderedPageBreak/>
        <w:t>2</w:t>
      </w:r>
      <w:r w:rsidR="00725478">
        <w:rPr>
          <w:rFonts w:ascii="Times New Roman" w:hAnsi="Times New Roman" w:cs="Times New Roman" w:hint="eastAsia"/>
          <w:sz w:val="24"/>
          <w:szCs w:val="24"/>
        </w:rPr>
        <w:t>.10</w:t>
      </w:r>
      <w:r>
        <w:rPr>
          <w:rFonts w:ascii="Times New Roman" w:hAnsi="Times New Roman" w:cs="Times New Roman" w:hint="eastAsia"/>
          <w:sz w:val="24"/>
          <w:szCs w:val="24"/>
        </w:rPr>
        <w:t xml:space="preserve"> </w:t>
      </w:r>
      <w:r w:rsidRPr="008C0625">
        <w:rPr>
          <w:rFonts w:ascii="Times New Roman" w:hAnsi="Times New Roman" w:cs="Times New Roman" w:hint="eastAsia"/>
          <w:sz w:val="24"/>
          <w:szCs w:val="24"/>
        </w:rPr>
        <w:t>Translation</w:t>
      </w:r>
      <w:r>
        <w:rPr>
          <w:rFonts w:ascii="Times New Roman" w:hAnsi="Times New Roman" w:cs="Times New Roman" w:hint="eastAsia"/>
          <w:sz w:val="24"/>
          <w:szCs w:val="24"/>
        </w:rPr>
        <w:t xml:space="preserve"> of Part </w:t>
      </w:r>
      <w:r w:rsidR="00566B31">
        <w:rPr>
          <w:rFonts w:ascii="Times New Roman" w:hAnsi="Times New Roman" w:cs="Times New Roman" w:hint="eastAsia"/>
          <w:sz w:val="24"/>
          <w:szCs w:val="24"/>
        </w:rPr>
        <w:t>V</w:t>
      </w:r>
    </w:p>
    <w:p w:rsidR="00725478" w:rsidRDefault="007802DA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ext text text text text text</w:t>
      </w:r>
    </w:p>
    <w:p w:rsidR="007802DA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15743F"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 w:rsidR="00725478" w:rsidRPr="0015743F">
        <w:rPr>
          <w:rFonts w:ascii="Times New Roman" w:hAnsi="Times New Roman" w:cs="Times New Roman" w:hint="eastAsia"/>
          <w:sz w:val="24"/>
          <w:szCs w:val="24"/>
        </w:rPr>
        <w:t>11</w:t>
      </w:r>
      <w:r w:rsidRPr="0015743F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Original text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</w:t>
      </w:r>
      <w:r w:rsidR="00566B31">
        <w:rPr>
          <w:rFonts w:ascii="Times New Roman" w:hAnsi="Times New Roman" w:cs="Times New Roman" w:hint="eastAsia"/>
          <w:sz w:val="24"/>
          <w:szCs w:val="24"/>
        </w:rPr>
        <w:t>VI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</w:p>
    <w:p w:rsidR="007802DA" w:rsidRPr="00ED4CC7" w:rsidRDefault="007802DA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 w:rsidRPr="00ED4CC7">
        <w:rPr>
          <w:rFonts w:ascii="MingLiU" w:eastAsia="MingLiU" w:hAnsi="MingLiU" w:cs="Times New Roman"/>
          <w:sz w:val="24"/>
          <w:szCs w:val="24"/>
          <w:lang w:eastAsia="zh-TW"/>
        </w:rPr>
        <w:t xml:space="preserve">    </w:t>
      </w:r>
      <w:r w:rsidR="00ED4CC7"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有二不可廢。雖欲廢巧尚直，而思致不得絀；雖欲廢詞尚意，而典麗不得遺。宋人尚意，遺典麗而得枯澀；貫休尚直，絀思致而成口語。詩有四離。雖期道情而離深僻，雖用經史而離書生，雖尚高逸而離迂遠，雖欲飛動而離輕浮。此唯卓然名家者能之，非所期於衆流矣。詩有六至。至險而不僻，至奇而不怪，至麗而自然，至苦而無跡，至近而意遠，至放而不迂。宜於唐賢中求其矩矱，而取則焉。</w:t>
      </w:r>
    </w:p>
    <w:p w:rsidR="007802DA" w:rsidRPr="008C0625" w:rsidRDefault="007802DA" w:rsidP="007802DA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>2</w:t>
      </w:r>
      <w:r w:rsidR="00725478">
        <w:rPr>
          <w:rFonts w:ascii="Times New Roman" w:hAnsi="Times New Roman" w:cs="Times New Roman" w:hint="eastAsia"/>
          <w:sz w:val="24"/>
          <w:szCs w:val="24"/>
          <w:lang w:eastAsia="zh-TW"/>
        </w:rPr>
        <w:t>.12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</w:t>
      </w:r>
      <w:r w:rsidR="00566B31">
        <w:rPr>
          <w:rFonts w:ascii="Times New Roman" w:hAnsi="Times New Roman" w:cs="Times New Roman" w:hint="eastAsia"/>
          <w:sz w:val="24"/>
          <w:szCs w:val="24"/>
          <w:lang w:eastAsia="zh-TW"/>
        </w:rPr>
        <w:t>VI</w:t>
      </w:r>
    </w:p>
    <w:p w:rsidR="007802DA" w:rsidRDefault="007802DA" w:rsidP="007802DA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ED4CC7" w:rsidRDefault="00ED4CC7" w:rsidP="00ED4CC7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 w:rsidRPr="0015743F">
        <w:rPr>
          <w:rFonts w:ascii="Times New Roman" w:hAnsi="Times New Roman" w:cs="Times New Roman" w:hint="eastAsia"/>
          <w:sz w:val="24"/>
          <w:szCs w:val="24"/>
          <w:lang w:eastAsia="zh-TW"/>
        </w:rPr>
        <w:t>2.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13</w:t>
      </w:r>
      <w:r w:rsidRPr="0015743F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Original text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</w:t>
      </w:r>
      <w:r>
        <w:rPr>
          <w:rFonts w:ascii="Times New Roman" w:hAnsi="Times New Roman" w:cs="Times New Roman"/>
          <w:sz w:val="24"/>
          <w:szCs w:val="24"/>
          <w:lang w:eastAsia="zh-TW"/>
        </w:rPr>
        <w:t>–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Part VII </w:t>
      </w:r>
    </w:p>
    <w:p w:rsidR="00725478" w:rsidRPr="00ED4CC7" w:rsidRDefault="00ED4CC7" w:rsidP="00ED4CC7">
      <w:pPr>
        <w:spacing w:line="480" w:lineRule="auto"/>
        <w:rPr>
          <w:rFonts w:ascii="MingLiU" w:eastAsia="MingLiU" w:hAnsi="MingLiU" w:cs="Times New Roman"/>
          <w:sz w:val="24"/>
          <w:szCs w:val="24"/>
          <w:lang w:eastAsia="zh-TW"/>
        </w:rPr>
      </w:pPr>
      <w:r>
        <w:rPr>
          <w:rFonts w:ascii="MingLiU" w:hAnsi="MingLiU" w:cs="Times New Roman" w:hint="eastAsia"/>
          <w:sz w:val="24"/>
          <w:szCs w:val="24"/>
          <w:lang w:eastAsia="zh-TW"/>
        </w:rPr>
        <w:t xml:space="preserve">    </w:t>
      </w:r>
      <w:r w:rsidRPr="00ED4CC7">
        <w:rPr>
          <w:rFonts w:ascii="MingLiU" w:eastAsia="MingLiU" w:hAnsi="MingLiU" w:cs="Times New Roman" w:hint="eastAsia"/>
          <w:sz w:val="24"/>
          <w:szCs w:val="24"/>
          <w:lang w:eastAsia="zh-TW"/>
        </w:rPr>
        <w:t>詩宜去六迷。以虛誕爲高古如盧玉川，以緩漫為冲澹如釋齊己，以詭怪爲新奇如李昌谷，以爛熟爲穩約如白樂天，以氣少力弱爲容易，以錯用意爲獨善，時見於晚唐五季諸家，皆無可觀。詩宜去五俗。一曰俗體，二曰俗意，三曰俗句，四曰俗字，五曰俗韻。江湖小說家詩，兼茲五者之病。詩有六忌。語忌直而意忌淺，脈忌露而味忌短，聲韻忌散緩，節奏忌迫促。宋人患脈露而味短，聲韻不講而節奏荒矣。</w:t>
      </w:r>
    </w:p>
    <w:p w:rsidR="00ED4CC7" w:rsidRPr="008C0625" w:rsidRDefault="00ED4CC7" w:rsidP="00ED4CC7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2.14 </w:t>
      </w:r>
      <w:r w:rsidRPr="008C0625">
        <w:rPr>
          <w:rFonts w:ascii="Times New Roman" w:hAnsi="Times New Roman" w:cs="Times New Roman" w:hint="eastAsia"/>
          <w:sz w:val="24"/>
          <w:szCs w:val="24"/>
          <w:lang w:eastAsia="zh-TW"/>
        </w:rPr>
        <w:t>Translation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 xml:space="preserve"> of Part VII</w:t>
      </w:r>
    </w:p>
    <w:p w:rsidR="00ED4CC7" w:rsidRDefault="00ED4CC7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A6381D" w:rsidRPr="008C0625" w:rsidRDefault="00A6381D" w:rsidP="00ED4CC7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</w:p>
    <w:p w:rsidR="00767632" w:rsidRPr="0015743F" w:rsidRDefault="008C0625" w:rsidP="00651C26">
      <w:pPr>
        <w:spacing w:line="480" w:lineRule="auto"/>
        <w:rPr>
          <w:rFonts w:ascii="Times New Roman" w:hAnsi="Times New Roman" w:cs="Times New Roman"/>
          <w:b/>
          <w:sz w:val="28"/>
          <w:szCs w:val="24"/>
          <w:lang w:eastAsia="zh-TW"/>
        </w:rPr>
      </w:pPr>
      <w:r w:rsidRPr="0015743F">
        <w:rPr>
          <w:rFonts w:ascii="Times New Roman" w:hAnsi="Times New Roman" w:cs="Times New Roman" w:hint="eastAsia"/>
          <w:b/>
          <w:sz w:val="28"/>
          <w:szCs w:val="24"/>
          <w:lang w:eastAsia="zh-TW"/>
        </w:rPr>
        <w:t xml:space="preserve">3. Commentary </w:t>
      </w:r>
    </w:p>
    <w:p w:rsidR="00104E29" w:rsidRDefault="00A07F88" w:rsidP="00ED4CC7">
      <w:pPr>
        <w:spacing w:line="480" w:lineRule="auto"/>
        <w:ind w:firstLine="240"/>
        <w:rPr>
          <w:rFonts w:ascii="Times New Roman" w:hAnsi="Times New Roman" w:cs="Times New Roman"/>
          <w:sz w:val="24"/>
          <w:szCs w:val="24"/>
          <w:lang w:eastAsia="zh-TW"/>
        </w:rPr>
      </w:pPr>
      <w:r>
        <w:rPr>
          <w:rFonts w:ascii="Times New Roman" w:hAnsi="Times New Roman" w:cs="Times New Roman"/>
          <w:sz w:val="24"/>
          <w:szCs w:val="24"/>
          <w:lang w:eastAsia="zh-TW"/>
        </w:rPr>
        <w:lastRenderedPageBreak/>
        <w:t>T</w:t>
      </w:r>
      <w:r>
        <w:rPr>
          <w:rFonts w:ascii="Times New Roman" w:hAnsi="Times New Roman" w:cs="Times New Roman" w:hint="eastAsia"/>
          <w:sz w:val="24"/>
          <w:szCs w:val="24"/>
          <w:lang w:eastAsia="zh-TW"/>
        </w:rPr>
        <w:t>ext text text text text text</w:t>
      </w:r>
    </w:p>
    <w:p w:rsidR="00ED4CC7" w:rsidRPr="00ED4CC7" w:rsidRDefault="00ED4CC7" w:rsidP="00ED4CC7">
      <w:pPr>
        <w:spacing w:line="480" w:lineRule="auto"/>
        <w:rPr>
          <w:rFonts w:ascii="Times New Roman" w:hAnsi="Times New Roman" w:cs="Times New Roman"/>
          <w:sz w:val="24"/>
          <w:szCs w:val="24"/>
          <w:lang w:eastAsia="zh-TW"/>
        </w:rPr>
      </w:pPr>
    </w:p>
    <w:p w:rsidR="00DA5F0A" w:rsidRPr="0015743F" w:rsidRDefault="00ED4CC7" w:rsidP="00651C26">
      <w:pPr>
        <w:spacing w:line="480" w:lineRule="auto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 w:hint="eastAsia"/>
          <w:b/>
          <w:sz w:val="28"/>
          <w:szCs w:val="28"/>
        </w:rPr>
        <w:t>4</w:t>
      </w:r>
      <w:r w:rsidR="00DA5F0A" w:rsidRPr="0015743F">
        <w:rPr>
          <w:rFonts w:ascii="Times New Roman" w:hAnsi="Times New Roman" w:cs="Times New Roman" w:hint="eastAsia"/>
          <w:b/>
          <w:sz w:val="28"/>
          <w:szCs w:val="28"/>
        </w:rPr>
        <w:t xml:space="preserve">. Bibliography </w:t>
      </w:r>
    </w:p>
    <w:p w:rsidR="00DA5F0A" w:rsidRPr="00DA5F0A" w:rsidRDefault="00DA5F0A" w:rsidP="00651C26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>
        <w:rPr>
          <w:rFonts w:ascii="Times New Roman" w:hAnsi="Times New Roman" w:cs="Times New Roman" w:hint="eastAsia"/>
          <w:sz w:val="24"/>
          <w:szCs w:val="24"/>
        </w:rPr>
        <w:t>ext text text text text text</w:t>
      </w:r>
    </w:p>
    <w:sectPr w:rsidR="00DA5F0A" w:rsidRPr="00DA5F0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等线">
    <w:altName w:val="PMingLiU"/>
    <w:panose1 w:val="00000000000000000000"/>
    <w:charset w:val="88"/>
    <w:family w:val="roman"/>
    <w:notTrueType/>
    <w:pitch w:val="default"/>
  </w:font>
  <w:font w:name="DFKai-SB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PMingLiU">
    <w:altName w:val="新細明體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MingLiU">
    <w:altName w:val="細明體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doNotDisplayPageBoundaries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67632"/>
    <w:rsid w:val="000140AF"/>
    <w:rsid w:val="00055B3E"/>
    <w:rsid w:val="00056DB0"/>
    <w:rsid w:val="00073585"/>
    <w:rsid w:val="000754AF"/>
    <w:rsid w:val="000E66F7"/>
    <w:rsid w:val="00104E29"/>
    <w:rsid w:val="001379BA"/>
    <w:rsid w:val="00144DBD"/>
    <w:rsid w:val="001475B7"/>
    <w:rsid w:val="0015743F"/>
    <w:rsid w:val="001775A4"/>
    <w:rsid w:val="00197046"/>
    <w:rsid w:val="001C5E01"/>
    <w:rsid w:val="001C6A81"/>
    <w:rsid w:val="001D0502"/>
    <w:rsid w:val="00203BA8"/>
    <w:rsid w:val="00221A49"/>
    <w:rsid w:val="002360F0"/>
    <w:rsid w:val="00247D3C"/>
    <w:rsid w:val="002600F0"/>
    <w:rsid w:val="00284986"/>
    <w:rsid w:val="002876F3"/>
    <w:rsid w:val="002A2947"/>
    <w:rsid w:val="002A4527"/>
    <w:rsid w:val="002B1185"/>
    <w:rsid w:val="00332E7C"/>
    <w:rsid w:val="003406EF"/>
    <w:rsid w:val="0036680A"/>
    <w:rsid w:val="00371AD6"/>
    <w:rsid w:val="00373595"/>
    <w:rsid w:val="00393489"/>
    <w:rsid w:val="003A1808"/>
    <w:rsid w:val="003C1E8A"/>
    <w:rsid w:val="003D1051"/>
    <w:rsid w:val="00400537"/>
    <w:rsid w:val="00405379"/>
    <w:rsid w:val="00420191"/>
    <w:rsid w:val="0042398B"/>
    <w:rsid w:val="004A29EA"/>
    <w:rsid w:val="004C1C67"/>
    <w:rsid w:val="004E19F2"/>
    <w:rsid w:val="004E6099"/>
    <w:rsid w:val="005302E1"/>
    <w:rsid w:val="00535AA2"/>
    <w:rsid w:val="00566B31"/>
    <w:rsid w:val="0058283F"/>
    <w:rsid w:val="005A1CC3"/>
    <w:rsid w:val="005B607E"/>
    <w:rsid w:val="005C5E67"/>
    <w:rsid w:val="005D43E1"/>
    <w:rsid w:val="005D4B58"/>
    <w:rsid w:val="005F1484"/>
    <w:rsid w:val="00606DB7"/>
    <w:rsid w:val="00645839"/>
    <w:rsid w:val="00651C26"/>
    <w:rsid w:val="00656856"/>
    <w:rsid w:val="006617D6"/>
    <w:rsid w:val="006D1196"/>
    <w:rsid w:val="006E69B7"/>
    <w:rsid w:val="00717273"/>
    <w:rsid w:val="00725478"/>
    <w:rsid w:val="00737FF1"/>
    <w:rsid w:val="00753682"/>
    <w:rsid w:val="00766B55"/>
    <w:rsid w:val="00767632"/>
    <w:rsid w:val="00770E6F"/>
    <w:rsid w:val="007802DA"/>
    <w:rsid w:val="007A6C4E"/>
    <w:rsid w:val="00801669"/>
    <w:rsid w:val="00801741"/>
    <w:rsid w:val="00811080"/>
    <w:rsid w:val="00822B4E"/>
    <w:rsid w:val="00825272"/>
    <w:rsid w:val="00825C10"/>
    <w:rsid w:val="00832187"/>
    <w:rsid w:val="00847AAB"/>
    <w:rsid w:val="00875675"/>
    <w:rsid w:val="00891ABE"/>
    <w:rsid w:val="00893F86"/>
    <w:rsid w:val="008A302E"/>
    <w:rsid w:val="008C0625"/>
    <w:rsid w:val="008C2959"/>
    <w:rsid w:val="008D4968"/>
    <w:rsid w:val="009025A6"/>
    <w:rsid w:val="00914FFA"/>
    <w:rsid w:val="009336EB"/>
    <w:rsid w:val="00936542"/>
    <w:rsid w:val="0095076C"/>
    <w:rsid w:val="009512BE"/>
    <w:rsid w:val="00967E08"/>
    <w:rsid w:val="009908E3"/>
    <w:rsid w:val="009E12F9"/>
    <w:rsid w:val="009E7E54"/>
    <w:rsid w:val="00A017AF"/>
    <w:rsid w:val="00A07F88"/>
    <w:rsid w:val="00A120FA"/>
    <w:rsid w:val="00A17299"/>
    <w:rsid w:val="00A208C9"/>
    <w:rsid w:val="00A36618"/>
    <w:rsid w:val="00A6381D"/>
    <w:rsid w:val="00A83DAB"/>
    <w:rsid w:val="00AA1CC9"/>
    <w:rsid w:val="00AB3933"/>
    <w:rsid w:val="00AE15E1"/>
    <w:rsid w:val="00B32F82"/>
    <w:rsid w:val="00B61CE6"/>
    <w:rsid w:val="00B954F8"/>
    <w:rsid w:val="00BC6C7A"/>
    <w:rsid w:val="00BE3DB5"/>
    <w:rsid w:val="00BE7148"/>
    <w:rsid w:val="00C40C94"/>
    <w:rsid w:val="00C45E3B"/>
    <w:rsid w:val="00C5209F"/>
    <w:rsid w:val="00CA50AC"/>
    <w:rsid w:val="00CA74AF"/>
    <w:rsid w:val="00CB0B19"/>
    <w:rsid w:val="00CB5DF4"/>
    <w:rsid w:val="00D021DA"/>
    <w:rsid w:val="00D45F7F"/>
    <w:rsid w:val="00D53655"/>
    <w:rsid w:val="00D56ECE"/>
    <w:rsid w:val="00D62B3B"/>
    <w:rsid w:val="00D951AD"/>
    <w:rsid w:val="00DA5F0A"/>
    <w:rsid w:val="00DC507F"/>
    <w:rsid w:val="00DC50D6"/>
    <w:rsid w:val="00DD1A47"/>
    <w:rsid w:val="00DE1323"/>
    <w:rsid w:val="00E40248"/>
    <w:rsid w:val="00E5658F"/>
    <w:rsid w:val="00E61126"/>
    <w:rsid w:val="00E6415B"/>
    <w:rsid w:val="00EB7564"/>
    <w:rsid w:val="00ED28A2"/>
    <w:rsid w:val="00ED4CC7"/>
    <w:rsid w:val="00EF55A3"/>
    <w:rsid w:val="00F046CE"/>
    <w:rsid w:val="00F1124A"/>
    <w:rsid w:val="00F322F8"/>
    <w:rsid w:val="00F3545B"/>
    <w:rsid w:val="00F36BD8"/>
    <w:rsid w:val="00F44A1C"/>
    <w:rsid w:val="00F47048"/>
    <w:rsid w:val="00FB7A02"/>
    <w:rsid w:val="00FD4F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552</TotalTime>
  <Pages>7</Pages>
  <Words>2019</Words>
  <Characters>2019</Characters>
  <Application>Microsoft Office Word</Application>
  <DocSecurity>0</DocSecurity>
  <Lines>69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3998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孝親尊師知恩報恩</dc:creator>
  <cp:lastModifiedBy>Robbie</cp:lastModifiedBy>
  <cp:revision>77</cp:revision>
  <dcterms:created xsi:type="dcterms:W3CDTF">2019-08-06T07:51:00Z</dcterms:created>
  <dcterms:modified xsi:type="dcterms:W3CDTF">2021-04-23T19:52:00Z</dcterms:modified>
</cp:coreProperties>
</file>