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4810347"/>
        <w:docPartObj>
          <w:docPartGallery w:val="Cover Pages"/>
          <w:docPartUnique/>
        </w:docPartObj>
      </w:sdtPr>
      <w:sdtContent>
        <w:p w14:paraId="737E0E1F" w14:textId="19862890" w:rsidR="004C6494" w:rsidRDefault="004C6494">
          <w:r>
            <w:rPr>
              <w:noProof/>
            </w:rPr>
            <mc:AlternateContent>
              <mc:Choice Requires="wpg">
                <w:drawing>
                  <wp:anchor distT="0" distB="0" distL="114300" distR="114300" simplePos="0" relativeHeight="251659264" behindDoc="1" locked="0" layoutInCell="1" allowOverlap="1" wp14:anchorId="45F0A61C" wp14:editId="3C215AE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23D8940" w14:textId="43AABD5E" w:rsidR="004C6494" w:rsidRDefault="004C6494">
                                      <w:pPr>
                                        <w:pStyle w:val="NoSpacing"/>
                                        <w:spacing w:before="120"/>
                                        <w:jc w:val="center"/>
                                        <w:rPr>
                                          <w:color w:val="FFFFFF" w:themeColor="background1"/>
                                        </w:rPr>
                                      </w:pPr>
                                      <w:r>
                                        <w:rPr>
                                          <w:color w:val="FFFFFF" w:themeColor="background1"/>
                                        </w:rPr>
                                        <w:t>Piotr Czubinski (2237463)</w:t>
                                      </w:r>
                                    </w:p>
                                  </w:sdtContent>
                                </w:sdt>
                                <w:p w14:paraId="6DC7393C" w14:textId="77777777" w:rsidR="004C6494" w:rsidRDefault="004C649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E35F56" w14:textId="3432547F" w:rsidR="004C6494" w:rsidRPr="004C6494" w:rsidRDefault="004C6494">
                                      <w:pPr>
                                        <w:pStyle w:val="NoSpacing"/>
                                        <w:jc w:val="center"/>
                                        <w:rPr>
                                          <w:rFonts w:asciiTheme="majorHAnsi" w:eastAsiaTheme="majorEastAsia" w:hAnsiTheme="majorHAnsi" w:cstheme="majorBidi"/>
                                          <w:caps/>
                                          <w:color w:val="4472C4" w:themeColor="accent1"/>
                                          <w:sz w:val="96"/>
                                          <w:szCs w:val="96"/>
                                        </w:rPr>
                                      </w:pPr>
                                      <w:r w:rsidRPr="004C6494">
                                        <w:rPr>
                                          <w:rFonts w:ascii="Arial" w:hAnsi="Arial" w:cs="Arial"/>
                                          <w:b/>
                                          <w:sz w:val="96"/>
                                          <w:szCs w:val="96"/>
                                        </w:rPr>
                                        <w:t>Criminal law</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F0A61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23D8940" w14:textId="43AABD5E" w:rsidR="004C6494" w:rsidRDefault="004C6494">
                                <w:pPr>
                                  <w:pStyle w:val="NoSpacing"/>
                                  <w:spacing w:before="120"/>
                                  <w:jc w:val="center"/>
                                  <w:rPr>
                                    <w:color w:val="FFFFFF" w:themeColor="background1"/>
                                  </w:rPr>
                                </w:pPr>
                                <w:r>
                                  <w:rPr>
                                    <w:color w:val="FFFFFF" w:themeColor="background1"/>
                                  </w:rPr>
                                  <w:t>Piotr Czubinski (2237463)</w:t>
                                </w:r>
                              </w:p>
                            </w:sdtContent>
                          </w:sdt>
                          <w:p w14:paraId="6DC7393C" w14:textId="77777777" w:rsidR="004C6494" w:rsidRDefault="004C649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96"/>
                                <w:szCs w:val="9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E35F56" w14:textId="3432547F" w:rsidR="004C6494" w:rsidRPr="004C6494" w:rsidRDefault="004C6494">
                                <w:pPr>
                                  <w:pStyle w:val="NoSpacing"/>
                                  <w:jc w:val="center"/>
                                  <w:rPr>
                                    <w:rFonts w:asciiTheme="majorHAnsi" w:eastAsiaTheme="majorEastAsia" w:hAnsiTheme="majorHAnsi" w:cstheme="majorBidi"/>
                                    <w:caps/>
                                    <w:color w:val="4472C4" w:themeColor="accent1"/>
                                    <w:sz w:val="96"/>
                                    <w:szCs w:val="96"/>
                                  </w:rPr>
                                </w:pPr>
                                <w:r w:rsidRPr="004C6494">
                                  <w:rPr>
                                    <w:rFonts w:ascii="Arial" w:hAnsi="Arial" w:cs="Arial"/>
                                    <w:b/>
                                    <w:sz w:val="96"/>
                                    <w:szCs w:val="96"/>
                                  </w:rPr>
                                  <w:t>Criminal law</w:t>
                                </w:r>
                              </w:p>
                            </w:sdtContent>
                          </w:sdt>
                        </w:txbxContent>
                      </v:textbox>
                    </v:shape>
                    <w10:wrap anchorx="page" anchory="page"/>
                  </v:group>
                </w:pict>
              </mc:Fallback>
            </mc:AlternateContent>
          </w:r>
        </w:p>
        <w:p w14:paraId="032119CA" w14:textId="66A97535" w:rsidR="004C6494" w:rsidRDefault="004C6494">
          <w:r>
            <w:br w:type="page"/>
          </w:r>
        </w:p>
      </w:sdtContent>
    </w:sdt>
    <w:p w14:paraId="10228C11"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lastRenderedPageBreak/>
        <w:t>Important ethical and legal questions are raised because of Carla's conduct, which included stabbing Jamie in the chest. Considering the criminal legislation of the United Kingdom, it is necessary to investigate the possibility that she is to blame for the crime. Within the context of this paper, we will discuss the potential accusations that Carla may be facing, significant case law, potential defences, and the ways in which her emotional condition and Jamie's statement may influence her accountability.</w:t>
      </w:r>
      <w:r>
        <w:rPr>
          <w:rStyle w:val="eop"/>
          <w:rFonts w:ascii="Calibri" w:hAnsi="Calibri" w:cs="Calibri"/>
          <w:color w:val="000000"/>
        </w:rPr>
        <w:t> </w:t>
      </w:r>
    </w:p>
    <w:p w14:paraId="18642372"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To figure out if Carla could be charged with a crime, we need to look at the parts of the crime she could be accused of, like attempted murder, grievous bodily harm (GBH) with intent, or murder.</w:t>
      </w:r>
      <w:r>
        <w:rPr>
          <w:rStyle w:val="eop"/>
          <w:rFonts w:ascii="Calibri" w:hAnsi="Calibri" w:cs="Calibri"/>
          <w:color w:val="000000"/>
        </w:rPr>
        <w:t> </w:t>
      </w:r>
    </w:p>
    <w:p w14:paraId="54B099E4" w14:textId="06A29742"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Carla could be charged with murder under the Homicide Act 1957. if Jamie dies from his injuries. In the UK, murder is the illegal killing of another person with malice aforethought, which means with the plan to kill or cause grievous bodily harm (GBH) (Legislation GOV, 2010). What Carla meant when she stabbed the person is the most important thing to think about. If there are reducing reasons, like Carla's mental state, the charge could be dropped to manslaughter, especially voluntary manslaughter if a partial defence is available. The actus reus of murder is killing someone by doing something or not doing something on purpose. Carla's actus reus, or the guilty act, is evident as she stabbed Jamie in the chest, causing him serious injuries. This satisfies the first element. </w:t>
      </w:r>
      <w:r w:rsidR="00B41C55">
        <w:rPr>
          <w:rStyle w:val="normaltextrun"/>
          <w:rFonts w:ascii="Calibri" w:hAnsi="Calibri" w:cs="Calibri"/>
          <w:color w:val="000000"/>
        </w:rPr>
        <w:t>Men’s</w:t>
      </w:r>
      <w:r>
        <w:rPr>
          <w:rStyle w:val="normaltextrun"/>
          <w:rFonts w:ascii="Calibri" w:hAnsi="Calibri" w:cs="Calibri"/>
          <w:color w:val="000000"/>
        </w:rPr>
        <w:t xml:space="preserve"> Rea for murder is the intention to kill. The important thing is to know if Carla meant to kill Jamie or just hurt him badly enough that he might die. The intent can be direct (she wants to kill or seriously hurt someone) or indirect (she knows that her actions will certainly kill or seriously hurt someone).</w:t>
      </w:r>
      <w:r>
        <w:rPr>
          <w:rStyle w:val="eop"/>
          <w:rFonts w:ascii="Calibri" w:hAnsi="Calibri" w:cs="Calibri"/>
          <w:color w:val="000000"/>
        </w:rPr>
        <w:t> </w:t>
      </w:r>
    </w:p>
    <w:p w14:paraId="160C92A0" w14:textId="63FD190D"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 xml:space="preserve">The charge could be dropped to manslaughter under </w:t>
      </w:r>
      <w:hyperlink r:id="rId8" w:tgtFrame="_blank" w:history="1">
        <w:r w:rsidR="00B76917">
          <w:rPr>
            <w:rStyle w:val="normaltextrun"/>
            <w:rFonts w:ascii="Calibri" w:hAnsi="Calibri" w:cs="Calibri"/>
            <w:color w:val="000000"/>
          </w:rPr>
          <w:t>Section</w:t>
        </w:r>
      </w:hyperlink>
      <w:r>
        <w:rPr>
          <w:rStyle w:val="normaltextrun"/>
          <w:rFonts w:ascii="Calibri" w:hAnsi="Calibri" w:cs="Calibri"/>
          <w:color w:val="000000"/>
        </w:rPr>
        <w:t> </w:t>
      </w:r>
      <w:r w:rsidR="00B76917">
        <w:rPr>
          <w:rStyle w:val="normaltextrun"/>
          <w:rFonts w:ascii="Calibri" w:hAnsi="Calibri" w:cs="Calibri"/>
          <w:color w:val="000000"/>
        </w:rPr>
        <w:t xml:space="preserve">2 Homicide Act </w:t>
      </w:r>
      <w:r>
        <w:rPr>
          <w:rStyle w:val="normaltextrun"/>
          <w:rFonts w:ascii="Calibri" w:hAnsi="Calibri" w:cs="Calibri"/>
          <w:color w:val="000000"/>
        </w:rPr>
        <w:t>and </w:t>
      </w:r>
      <w:r w:rsidR="00B76917">
        <w:rPr>
          <w:rStyle w:val="normaltextrun"/>
          <w:rFonts w:ascii="Calibri" w:hAnsi="Calibri" w:cs="Calibri"/>
          <w:color w:val="000000"/>
        </w:rPr>
        <w:t>S</w:t>
      </w:r>
      <w:r>
        <w:rPr>
          <w:rStyle w:val="normaltextrun"/>
          <w:rFonts w:ascii="Calibri" w:hAnsi="Calibri" w:cs="Calibri"/>
          <w:color w:val="000000"/>
        </w:rPr>
        <w:t xml:space="preserve">ection 52 Coroners and Justice Act 2009 (The Crown Prosecution Service ,2023). The actus reus that causes the death of another person is the same for both murder and voluntary manslaughter. The Actus Reus is proven if Jamie dies from being stabbed. By stabbing Jamie, Carla did the actual deed that killed him. When someone is charged with voluntary manslaughter, they still have the </w:t>
      </w:r>
      <w:r w:rsidR="00B41C55">
        <w:rPr>
          <w:rStyle w:val="normaltextrun"/>
          <w:rFonts w:ascii="Calibri" w:hAnsi="Calibri" w:cs="Calibri"/>
          <w:color w:val="000000"/>
        </w:rPr>
        <w:t>Men’s</w:t>
      </w:r>
      <w:r>
        <w:rPr>
          <w:rStyle w:val="normaltextrun"/>
          <w:rFonts w:ascii="Calibri" w:hAnsi="Calibri" w:cs="Calibri"/>
          <w:color w:val="000000"/>
        </w:rPr>
        <w:t xml:space="preserve"> Rea for murder (purpose to kill or cause severe bodily harm), but their liability reduces because of things like loss of control or diminished responsibility.</w:t>
      </w:r>
      <w:r>
        <w:rPr>
          <w:rStyle w:val="normaltextrun"/>
          <w:rFonts w:ascii="Arial" w:hAnsi="Arial" w:cs="Arial"/>
          <w:color w:val="000000"/>
        </w:rPr>
        <w:t xml:space="preserve"> </w:t>
      </w:r>
      <w:r>
        <w:rPr>
          <w:rStyle w:val="normaltextrun"/>
          <w:rFonts w:ascii="Calibri" w:hAnsi="Calibri" w:cs="Calibri"/>
          <w:color w:val="000000"/>
        </w:rPr>
        <w:t>Medical and psychiatric evidence is crucial in establishing diminished responsibility. Expert testimony typically plays a significant role in determining whether the criteria for diminished responsibility are met .</w:t>
      </w:r>
      <w:r>
        <w:rPr>
          <w:rStyle w:val="eop"/>
          <w:rFonts w:ascii="Calibri" w:hAnsi="Calibri" w:cs="Calibri"/>
          <w:color w:val="000000"/>
        </w:rPr>
        <w:t> </w:t>
      </w:r>
    </w:p>
    <w:p w14:paraId="7B61D2F2"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color w:val="000000"/>
        </w:rPr>
        <w:lastRenderedPageBreak/>
        <w:t> </w:t>
      </w:r>
    </w:p>
    <w:p w14:paraId="126560F5" w14:textId="5CB261F7" w:rsidR="004C6494" w:rsidRPr="002E2659" w:rsidRDefault="004C6494" w:rsidP="002E2659">
      <w:pPr>
        <w:pStyle w:val="paragraph"/>
        <w:spacing w:before="0" w:beforeAutospacing="0" w:after="0" w:afterAutospacing="0" w:line="360" w:lineRule="auto"/>
        <w:textAlignment w:val="baseline"/>
        <w:rPr>
          <w:rStyle w:val="eop"/>
          <w:rFonts w:asciiTheme="minorHAnsi" w:hAnsiTheme="minorHAnsi" w:cstheme="minorHAnsi"/>
          <w:color w:val="000000"/>
        </w:rPr>
      </w:pPr>
      <w:r>
        <w:rPr>
          <w:rStyle w:val="normaltextrun"/>
          <w:rFonts w:ascii="Calibri" w:hAnsi="Calibri" w:cs="Calibri"/>
          <w:color w:val="000000"/>
        </w:rPr>
        <w:t xml:space="preserve">Carla could be charged with attempted murder if Jamie lives. Criminal Attempts Act 1981 says it is illegal to try to kill someone. The Criminal Attempts Act 1981, Section 1(1), says that someone is guilty of trying to commit a crime if, with the desire to commit an offence covered by this section, they do something more than just getting ready to commit the offence (Legislation GOV, 2010). In this case, the actus reus would be the defendant's intentional act of stabbing the victim, which is a clear and physical action that goes beyond just planning. However, the </w:t>
      </w:r>
      <w:r w:rsidR="00B41C55">
        <w:rPr>
          <w:rStyle w:val="normaltextrun"/>
          <w:rFonts w:ascii="Calibri" w:hAnsi="Calibri" w:cs="Calibri"/>
          <w:color w:val="000000"/>
        </w:rPr>
        <w:t>men’s</w:t>
      </w:r>
      <w:r>
        <w:rPr>
          <w:rStyle w:val="normaltextrun"/>
          <w:rFonts w:ascii="Calibri" w:hAnsi="Calibri" w:cs="Calibri"/>
          <w:color w:val="000000"/>
        </w:rPr>
        <w:t xml:space="preserve"> rea of the suspect, Carla, during the stabbing becomes especially important. If she had a clear and deliberate desire to kill the victim, Jamie, then she had the right mental state to be charged with attempted murder (Smith, Hogan &amp; </w:t>
      </w:r>
      <w:r w:rsidR="002E2659" w:rsidRPr="002E2659">
        <w:rPr>
          <w:rStyle w:val="normaltextrun"/>
          <w:rFonts w:asciiTheme="minorHAnsi" w:hAnsiTheme="minorHAnsi" w:cstheme="minorHAnsi"/>
          <w:color w:val="000000"/>
        </w:rPr>
        <w:t>Ormerod, 2020).</w:t>
      </w:r>
      <w:r w:rsidR="002E2659" w:rsidRPr="002E2659">
        <w:rPr>
          <w:rStyle w:val="eop"/>
          <w:rFonts w:asciiTheme="minorHAnsi" w:hAnsiTheme="minorHAnsi" w:cstheme="minorHAnsi"/>
          <w:color w:val="000000"/>
        </w:rPr>
        <w:t>  </w:t>
      </w:r>
    </w:p>
    <w:p w14:paraId="494E6E7B" w14:textId="6F63C9CB" w:rsidR="002E2659" w:rsidRPr="002E2659" w:rsidRDefault="002E2659" w:rsidP="002E2659">
      <w:pPr>
        <w:pStyle w:val="paragraph"/>
        <w:spacing w:before="0" w:beforeAutospacing="0" w:after="0" w:afterAutospacing="0" w:line="360" w:lineRule="auto"/>
        <w:textAlignment w:val="baseline"/>
        <w:rPr>
          <w:rFonts w:asciiTheme="minorHAnsi" w:hAnsiTheme="minorHAnsi" w:cstheme="minorHAnsi"/>
        </w:rPr>
      </w:pPr>
      <w:r w:rsidRPr="002E2659">
        <w:rPr>
          <w:rFonts w:asciiTheme="minorHAnsi" w:hAnsiTheme="minorHAnsi" w:cstheme="minorHAnsi"/>
        </w:rPr>
        <w:t>Carla could be charged with GBH, especially under sections 18 or 20 of the Offences Against the Person Act 1861, even if it cannot be proven that she meant to kill. This would involve figuring out how bad Jamie's injuries are and whether Carla was acting carelessly or on purpose. The main difference is in what was meant and how bad the hurt was. Section 18 says that the person must have meant to do serious harm, but Section 20 says that carelessness or a less serious plan to harm is enough.</w:t>
      </w:r>
      <w:r w:rsidR="00FE4ED1" w:rsidRPr="00FE4ED1">
        <w:rPr>
          <w:rStyle w:val="normaltextrun"/>
          <w:rFonts w:ascii="Calibri" w:hAnsi="Calibri" w:cs="Calibri"/>
          <w:color w:val="000000"/>
        </w:rPr>
        <w:t xml:space="preserve"> </w:t>
      </w:r>
      <w:r w:rsidR="00FE4ED1">
        <w:rPr>
          <w:rStyle w:val="normaltextrun"/>
          <w:rFonts w:ascii="Calibri" w:hAnsi="Calibri" w:cs="Calibri"/>
          <w:color w:val="000000"/>
        </w:rPr>
        <w:t>(Legislation GOV, 20</w:t>
      </w:r>
      <w:r w:rsidR="00FE4ED1">
        <w:rPr>
          <w:rStyle w:val="normaltextrun"/>
          <w:rFonts w:ascii="Calibri" w:hAnsi="Calibri" w:cs="Calibri"/>
          <w:color w:val="000000"/>
        </w:rPr>
        <w:t>09</w:t>
      </w:r>
      <w:r w:rsidR="00FE4ED1">
        <w:rPr>
          <w:rStyle w:val="normaltextrun"/>
          <w:rFonts w:ascii="Calibri" w:hAnsi="Calibri" w:cs="Calibri"/>
          <w:color w:val="000000"/>
        </w:rPr>
        <w:t>).</w:t>
      </w:r>
    </w:p>
    <w:p w14:paraId="3F10363C" w14:textId="29F47AE4" w:rsidR="004C6494" w:rsidRDefault="009F0F3B" w:rsidP="002E2659">
      <w:pPr>
        <w:pStyle w:val="paragraph"/>
        <w:spacing w:before="0" w:beforeAutospacing="0" w:after="0" w:afterAutospacing="0" w:line="360" w:lineRule="auto"/>
        <w:textAlignment w:val="baseline"/>
        <w:rPr>
          <w:rFonts w:ascii="Segoe UI" w:hAnsi="Segoe UI" w:cs="Segoe UI"/>
          <w:sz w:val="18"/>
          <w:szCs w:val="18"/>
        </w:rPr>
      </w:pPr>
      <w:r w:rsidRPr="009F0F3B">
        <w:rPr>
          <w:rStyle w:val="normaltextrun"/>
          <w:rFonts w:ascii="Calibri" w:hAnsi="Calibri" w:cs="Calibri"/>
          <w:color w:val="000000"/>
        </w:rPr>
        <w:t xml:space="preserve">To be charged with GBH, you must have caused serious physical harm to another person. </w:t>
      </w:r>
      <w:r w:rsidRPr="009F0F3B">
        <w:rPr>
          <w:rStyle w:val="normaltextrun"/>
          <w:rFonts w:asciiTheme="minorHAnsi" w:hAnsiTheme="minorHAnsi" w:cstheme="minorHAnsi"/>
          <w:color w:val="000000"/>
        </w:rPr>
        <w:t>For the courts, serious physical harm means harm that is not small or unimportant.</w:t>
      </w:r>
      <w:r w:rsidR="004C6494" w:rsidRPr="009F0F3B">
        <w:rPr>
          <w:rStyle w:val="normaltextrun"/>
          <w:rFonts w:asciiTheme="minorHAnsi" w:hAnsiTheme="minorHAnsi" w:cstheme="minorHAnsi"/>
          <w:color w:val="000000"/>
        </w:rPr>
        <w:t> </w:t>
      </w:r>
      <w:r w:rsidRPr="009F0F3B">
        <w:rPr>
          <w:rFonts w:asciiTheme="minorHAnsi" w:hAnsiTheme="minorHAnsi" w:cstheme="minorHAnsi"/>
          <w:color w:val="374151"/>
        </w:rPr>
        <w:t xml:space="preserve">In this </w:t>
      </w:r>
      <w:r w:rsidRPr="009F0F3B">
        <w:rPr>
          <w:rFonts w:asciiTheme="minorHAnsi" w:hAnsiTheme="minorHAnsi" w:cstheme="minorHAnsi"/>
          <w:color w:val="000000" w:themeColor="text1"/>
        </w:rPr>
        <w:t>scenario, the Actus Reus is established by Carla’s physical act of stabbing Jamie in the chest with a knife, which subsequently causes him serious injuries</w:t>
      </w:r>
      <w:r w:rsidR="004C6494" w:rsidRPr="009F0F3B">
        <w:rPr>
          <w:rStyle w:val="normaltextrun"/>
          <w:rFonts w:asciiTheme="minorHAnsi" w:hAnsiTheme="minorHAnsi" w:cstheme="minorHAnsi"/>
          <w:color w:val="000000" w:themeColor="text1"/>
        </w:rPr>
        <w:t xml:space="preserve">. </w:t>
      </w:r>
      <w:r w:rsidR="004C6494">
        <w:rPr>
          <w:rStyle w:val="normaltextrun"/>
          <w:rFonts w:ascii="Calibri" w:hAnsi="Calibri" w:cs="Calibri"/>
          <w:color w:val="000000"/>
        </w:rPr>
        <w:t xml:space="preserve">The </w:t>
      </w:r>
      <w:r w:rsidR="00B41C55">
        <w:rPr>
          <w:rStyle w:val="normaltextrun"/>
          <w:rFonts w:ascii="Calibri" w:hAnsi="Calibri" w:cs="Calibri"/>
          <w:color w:val="000000"/>
        </w:rPr>
        <w:t>men’s</w:t>
      </w:r>
      <w:r w:rsidR="004C6494">
        <w:rPr>
          <w:rStyle w:val="normaltextrun"/>
          <w:rFonts w:ascii="Calibri" w:hAnsi="Calibri" w:cs="Calibri"/>
          <w:color w:val="000000"/>
        </w:rPr>
        <w:t xml:space="preserve"> rea, or the guilty mind, is a critical component in determining Carla's liability. For attempted murder or GBH with intent, Carla must have intended to cause serious harm or death to Jamie. Her emotional state at the time will play a crucial role in establishing her </w:t>
      </w:r>
      <w:r w:rsidR="00B41C55">
        <w:rPr>
          <w:rStyle w:val="normaltextrun"/>
          <w:rFonts w:ascii="Calibri" w:hAnsi="Calibri" w:cs="Calibri"/>
          <w:color w:val="000000"/>
        </w:rPr>
        <w:t>men’s</w:t>
      </w:r>
      <w:r w:rsidR="004C6494">
        <w:rPr>
          <w:rStyle w:val="normaltextrun"/>
          <w:rFonts w:ascii="Calibri" w:hAnsi="Calibri" w:cs="Calibri"/>
          <w:color w:val="000000"/>
        </w:rPr>
        <w:t xml:space="preserve"> rea. Her actions of grabbing a kitchen knife and stabbing him in the chest may suggest intent to cause harm.</w:t>
      </w:r>
      <w:r w:rsidR="004C6494">
        <w:rPr>
          <w:rStyle w:val="eop"/>
          <w:rFonts w:ascii="Calibri" w:hAnsi="Calibri" w:cs="Calibri"/>
          <w:color w:val="000000"/>
        </w:rPr>
        <w:t> </w:t>
      </w:r>
    </w:p>
    <w:p w14:paraId="6BFD6A3F"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When analysing the potential defences for Carla in the given scenario with must considering her emotional state and Jamie's confession. Some of these defences have to do with how she was feeling, what Jamie said, and how serious her plans were.</w:t>
      </w:r>
      <w:r>
        <w:rPr>
          <w:rStyle w:val="eop"/>
          <w:rFonts w:ascii="Calibri" w:hAnsi="Calibri" w:cs="Calibri"/>
          <w:color w:val="000000"/>
        </w:rPr>
        <w:t> </w:t>
      </w:r>
    </w:p>
    <w:p w14:paraId="73E1D38B" w14:textId="128E9F64"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 xml:space="preserve">The Coroners and Justice Act 2009 says that Carla can use "loss of control" as one of her main defences (Coroners and Justice Act 2009).  This defence took the place of the older concept of "provocation," and it can be used when a defendant's actions were caused by losing control because of a certain trigger. In Carla's case, Jamie's admission of having an </w:t>
      </w:r>
      <w:r>
        <w:rPr>
          <w:rStyle w:val="normaltextrun"/>
          <w:rFonts w:ascii="Calibri" w:hAnsi="Calibri" w:cs="Calibri"/>
          <w:color w:val="000000"/>
        </w:rPr>
        <w:lastRenderedPageBreak/>
        <w:t>affair could be that spark. To use this argument, we must show that Carla's actions were not planned in time but rather a natural response to a very upsetting situation.</w:t>
      </w:r>
      <w:r>
        <w:rPr>
          <w:rStyle w:val="eop"/>
          <w:rFonts w:ascii="Calibri" w:hAnsi="Calibri" w:cs="Calibri"/>
          <w:color w:val="000000"/>
        </w:rPr>
        <w:t> </w:t>
      </w:r>
    </w:p>
    <w:p w14:paraId="397D61A0"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Another defence is diminished responsibility, which would be especially useful if Carla were to be charged with murder. As explained in the Homicide Act 1957 and changed by the Coroners and Justice Act 2009, the defence of diminished liability A common argument for this crime is that the suspect had a mental disorder at the time of the crime that made it hard for her to understand what she was doing, make smart decisions, or control her actions. It could be claimed that Carla's long-lasting emotional pain, made worse by finding out that Jamie had been cheating on her, had a big effect on her ability to think clearly.</w:t>
      </w:r>
      <w:r>
        <w:rPr>
          <w:rStyle w:val="eop"/>
          <w:rFonts w:ascii="Calibri" w:hAnsi="Calibri" w:cs="Calibri"/>
          <w:color w:val="000000"/>
        </w:rPr>
        <w:t> </w:t>
      </w:r>
    </w:p>
    <w:p w14:paraId="1A1700C8" w14:textId="77777777" w:rsidR="004C6494" w:rsidRDefault="004C6494" w:rsidP="009F0F3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Carla's mental state is a key part of figuring out whether she is guilty of a crime and what defences she might have. She is going through a lot of mental pain because her marriage is</w:t>
      </w:r>
    </w:p>
    <w:p w14:paraId="218F9F17" w14:textId="77777777" w:rsidR="004C6494" w:rsidRDefault="004C6494" w:rsidP="009F0F3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not working out and she feels betrayed and shocked when she finds out Jamie is having an affair. This worry can be at the heart of both the loss of control and reduced duty defences.</w:t>
      </w:r>
      <w:r>
        <w:rPr>
          <w:rStyle w:val="eop"/>
          <w:rFonts w:ascii="Calibri" w:hAnsi="Calibri" w:cs="Calibri"/>
          <w:color w:val="000000"/>
        </w:rPr>
        <w:t> </w:t>
      </w:r>
    </w:p>
    <w:p w14:paraId="1DD6F8F1" w14:textId="77777777" w:rsidR="004C6494" w:rsidRDefault="004C6494" w:rsidP="009F0F3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 </w:t>
      </w:r>
      <w:r>
        <w:rPr>
          <w:rStyle w:val="eop"/>
          <w:rFonts w:ascii="Calibri" w:hAnsi="Calibri" w:cs="Calibri"/>
          <w:color w:val="000000"/>
        </w:rPr>
        <w:t> </w:t>
      </w:r>
    </w:p>
    <w:p w14:paraId="5B19093F" w14:textId="77777777" w:rsidR="004C6494" w:rsidRDefault="004C6494" w:rsidP="009F0F3B">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It could be claimed that Carla's strong emotions briefly made it harder for her to make smart choices. This impairment is important for the diminished responsibility argument because it shows that her actions were not those of her regular self but were affected by her mental illness.</w:t>
      </w:r>
      <w:r>
        <w:rPr>
          <w:rStyle w:val="eop"/>
          <w:rFonts w:ascii="Calibri" w:hAnsi="Calibri" w:cs="Calibri"/>
          <w:color w:val="000000"/>
        </w:rPr>
        <w:t> </w:t>
      </w:r>
    </w:p>
    <w:p w14:paraId="6A848B9A"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The fact that Jamie told the truth in a situation that was already tense could have been a major cause for Carla's sudden and intense emotional reaction. This situation fits with the loss of control argument, which says that an action was a hasty and unplanned reaction to something that made the person angry.</w:t>
      </w:r>
      <w:r>
        <w:rPr>
          <w:rStyle w:val="eop"/>
          <w:rFonts w:ascii="Calibri" w:hAnsi="Calibri" w:cs="Calibri"/>
          <w:color w:val="000000"/>
        </w:rPr>
        <w:t> </w:t>
      </w:r>
    </w:p>
    <w:p w14:paraId="79EC8B5A" w14:textId="77777777" w:rsidR="004C6494" w:rsidRDefault="004C6494" w:rsidP="004C649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color w:val="000000"/>
        </w:rPr>
        <w:t>The fact that he confessed during a fight and while drunk made the information even more shocking. People might think that Carla's statement was a big reason she lost control or was less mentally stable when she was stabbed.</w:t>
      </w:r>
      <w:r>
        <w:rPr>
          <w:rStyle w:val="eop"/>
          <w:rFonts w:ascii="Calibri" w:hAnsi="Calibri" w:cs="Calibri"/>
          <w:color w:val="000000"/>
        </w:rPr>
        <w:t> </w:t>
      </w:r>
    </w:p>
    <w:p w14:paraId="02AAF7EE" w14:textId="77777777" w:rsidR="004C6494" w:rsidRDefault="004C6494" w:rsidP="004C6494">
      <w:pPr>
        <w:pStyle w:val="paragraph"/>
        <w:spacing w:before="0" w:beforeAutospacing="0" w:after="0" w:afterAutospacing="0" w:line="360" w:lineRule="auto"/>
        <w:textAlignment w:val="baseline"/>
        <w:rPr>
          <w:rStyle w:val="eop"/>
          <w:rFonts w:ascii="Calibri" w:hAnsi="Calibri" w:cs="Calibri"/>
          <w:color w:val="000000"/>
        </w:rPr>
      </w:pPr>
      <w:r>
        <w:rPr>
          <w:rStyle w:val="normaltextrun"/>
          <w:rFonts w:ascii="Calibri" w:hAnsi="Calibri" w:cs="Calibri"/>
          <w:color w:val="000000"/>
        </w:rPr>
        <w:t xml:space="preserve">In conclusion, Carla's potential criminal liability in the stabbing of Jamie is complicated and depends on their personal situation, her mental state, and the actions she took. While murder, attempted murder, and GBH are the main charges that need to be looked at, Carla's defences for the violent act she did against Jamie depend a lot on how she was feeling and what happened before the attack. The defence of loss of control, which comes from how she reacted to Jamie's confession, and the defence of reduced blame, which comes from how upset she was for a long time, are two important things to think about. Carla's case </w:t>
      </w:r>
      <w:r>
        <w:rPr>
          <w:rStyle w:val="normaltextrun"/>
          <w:rFonts w:ascii="Calibri" w:hAnsi="Calibri" w:cs="Calibri"/>
          <w:color w:val="000000"/>
        </w:rPr>
        <w:lastRenderedPageBreak/>
        <w:t>shows how complicated human feelings can be and how they can have a big effect on criminal responsibility in the UK. It shows how important it is to have a legal system that can handle the complicated relationship between the law, emotions, and human behaviour so that justice is done with compassion and understanding.</w:t>
      </w:r>
      <w:r>
        <w:rPr>
          <w:rStyle w:val="eop"/>
          <w:rFonts w:ascii="Calibri" w:hAnsi="Calibri" w:cs="Calibri"/>
          <w:color w:val="000000"/>
        </w:rPr>
        <w:t> </w:t>
      </w:r>
    </w:p>
    <w:p w14:paraId="4CA67C30" w14:textId="77777777" w:rsidR="00FE4ED1" w:rsidRDefault="00FE4ED1" w:rsidP="004C6494">
      <w:pPr>
        <w:pStyle w:val="paragraph"/>
        <w:spacing w:before="0" w:beforeAutospacing="0" w:after="0" w:afterAutospacing="0" w:line="360" w:lineRule="auto"/>
        <w:textAlignment w:val="baseline"/>
        <w:rPr>
          <w:rFonts w:ascii="Segoe UI" w:hAnsi="Segoe UI" w:cs="Segoe UI"/>
          <w:sz w:val="18"/>
          <w:szCs w:val="18"/>
        </w:rPr>
      </w:pPr>
    </w:p>
    <w:p w14:paraId="2CA3A55D" w14:textId="77777777" w:rsidR="0085136B" w:rsidRDefault="0085136B" w:rsidP="004C6494">
      <w:pPr>
        <w:spacing w:line="360" w:lineRule="auto"/>
      </w:pPr>
    </w:p>
    <w:p w14:paraId="2011CDC3" w14:textId="77777777" w:rsidR="00FE4ED1" w:rsidRDefault="00FE4ED1" w:rsidP="004C6494">
      <w:pPr>
        <w:spacing w:line="360" w:lineRule="auto"/>
      </w:pPr>
    </w:p>
    <w:p w14:paraId="79217569" w14:textId="77777777" w:rsidR="00FE4ED1" w:rsidRDefault="00FE4ED1" w:rsidP="004C6494">
      <w:pPr>
        <w:spacing w:line="360" w:lineRule="auto"/>
      </w:pPr>
    </w:p>
    <w:p w14:paraId="52D8E87D" w14:textId="77777777" w:rsidR="00FE4ED1" w:rsidRDefault="00FE4ED1" w:rsidP="004C6494">
      <w:pPr>
        <w:spacing w:line="360" w:lineRule="auto"/>
      </w:pPr>
    </w:p>
    <w:p w14:paraId="6E26C7B4" w14:textId="77777777" w:rsidR="00FE4ED1" w:rsidRDefault="00FE4ED1" w:rsidP="004C6494">
      <w:pPr>
        <w:spacing w:line="360" w:lineRule="auto"/>
      </w:pPr>
    </w:p>
    <w:p w14:paraId="7B1F4DDE" w14:textId="77777777" w:rsidR="00FE4ED1" w:rsidRDefault="00FE4ED1" w:rsidP="004C6494">
      <w:pPr>
        <w:spacing w:line="360" w:lineRule="auto"/>
      </w:pPr>
    </w:p>
    <w:p w14:paraId="0FF16F04" w14:textId="77777777" w:rsidR="00FE4ED1" w:rsidRDefault="00FE4ED1" w:rsidP="004C6494">
      <w:pPr>
        <w:spacing w:line="360" w:lineRule="auto"/>
      </w:pPr>
    </w:p>
    <w:p w14:paraId="7F26243B" w14:textId="77777777" w:rsidR="00FE4ED1" w:rsidRDefault="00FE4ED1" w:rsidP="004C6494">
      <w:pPr>
        <w:spacing w:line="360" w:lineRule="auto"/>
      </w:pPr>
    </w:p>
    <w:p w14:paraId="07797581" w14:textId="77777777" w:rsidR="00FE4ED1" w:rsidRDefault="00FE4ED1" w:rsidP="004C6494">
      <w:pPr>
        <w:spacing w:line="360" w:lineRule="auto"/>
      </w:pPr>
    </w:p>
    <w:p w14:paraId="0A1272A5" w14:textId="77777777" w:rsidR="00FE4ED1" w:rsidRDefault="00FE4ED1" w:rsidP="004C6494">
      <w:pPr>
        <w:spacing w:line="360" w:lineRule="auto"/>
      </w:pPr>
    </w:p>
    <w:p w14:paraId="1BED6582" w14:textId="77777777" w:rsidR="00FE4ED1" w:rsidRDefault="00FE4ED1" w:rsidP="004C6494">
      <w:pPr>
        <w:spacing w:line="360" w:lineRule="auto"/>
      </w:pPr>
    </w:p>
    <w:p w14:paraId="4C78ED56" w14:textId="77777777" w:rsidR="00FE4ED1" w:rsidRDefault="00FE4ED1" w:rsidP="004C6494">
      <w:pPr>
        <w:spacing w:line="360" w:lineRule="auto"/>
      </w:pPr>
    </w:p>
    <w:p w14:paraId="68464D9D" w14:textId="77777777" w:rsidR="00FE4ED1" w:rsidRDefault="00FE4ED1" w:rsidP="004C6494">
      <w:pPr>
        <w:spacing w:line="360" w:lineRule="auto"/>
      </w:pPr>
    </w:p>
    <w:p w14:paraId="17BEEBE5" w14:textId="77777777" w:rsidR="00FE4ED1" w:rsidRDefault="00FE4ED1" w:rsidP="004C6494">
      <w:pPr>
        <w:spacing w:line="360" w:lineRule="auto"/>
      </w:pPr>
    </w:p>
    <w:p w14:paraId="62977009" w14:textId="77777777" w:rsidR="00FE4ED1" w:rsidRDefault="00FE4ED1" w:rsidP="004C6494">
      <w:pPr>
        <w:spacing w:line="360" w:lineRule="auto"/>
      </w:pPr>
    </w:p>
    <w:p w14:paraId="51683A96" w14:textId="77777777" w:rsidR="00FE4ED1" w:rsidRDefault="00FE4ED1" w:rsidP="004C6494">
      <w:pPr>
        <w:spacing w:line="360" w:lineRule="auto"/>
      </w:pPr>
    </w:p>
    <w:p w14:paraId="57C12B8D" w14:textId="77777777" w:rsidR="00FE4ED1" w:rsidRDefault="00FE4ED1" w:rsidP="004C6494">
      <w:pPr>
        <w:spacing w:line="360" w:lineRule="auto"/>
      </w:pPr>
    </w:p>
    <w:p w14:paraId="1CA84BBE" w14:textId="77777777" w:rsidR="00FE4ED1" w:rsidRDefault="00FE4ED1" w:rsidP="004C6494">
      <w:pPr>
        <w:spacing w:line="360" w:lineRule="auto"/>
      </w:pPr>
    </w:p>
    <w:p w14:paraId="4BBCCC8C" w14:textId="77777777" w:rsidR="00FE4ED1" w:rsidRDefault="00FE4ED1" w:rsidP="004C6494">
      <w:pPr>
        <w:spacing w:line="360" w:lineRule="auto"/>
      </w:pPr>
    </w:p>
    <w:p w14:paraId="0CC4320B" w14:textId="77777777" w:rsidR="00FE4ED1" w:rsidRDefault="00FE4ED1" w:rsidP="004C6494">
      <w:pPr>
        <w:spacing w:line="360" w:lineRule="auto"/>
      </w:pPr>
    </w:p>
    <w:p w14:paraId="3EA5BD70" w14:textId="77777777" w:rsidR="00FE4ED1" w:rsidRDefault="00FE4ED1" w:rsidP="004C6494">
      <w:pPr>
        <w:spacing w:line="360" w:lineRule="auto"/>
      </w:pPr>
    </w:p>
    <w:p w14:paraId="1A941F7C" w14:textId="77777777"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color w:val="000000" w:themeColor="text1"/>
        </w:rPr>
      </w:pPr>
      <w:r w:rsidRPr="00FE4ED1">
        <w:rPr>
          <w:rStyle w:val="normaltextrun"/>
          <w:rFonts w:asciiTheme="minorHAnsi" w:hAnsiTheme="minorHAnsi" w:cstheme="minorHAnsi"/>
          <w:color w:val="000000" w:themeColor="text1"/>
        </w:rPr>
        <w:lastRenderedPageBreak/>
        <w:t>REFERENCE LIST</w:t>
      </w:r>
      <w:r w:rsidRPr="00FE4ED1">
        <w:rPr>
          <w:rStyle w:val="eop"/>
          <w:rFonts w:asciiTheme="minorHAnsi" w:hAnsiTheme="minorHAnsi" w:cstheme="minorHAnsi"/>
          <w:color w:val="000000" w:themeColor="text1"/>
        </w:rPr>
        <w:t> </w:t>
      </w:r>
    </w:p>
    <w:p w14:paraId="3F88A898" w14:textId="77777777"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color w:val="000000" w:themeColor="text1"/>
        </w:rPr>
      </w:pPr>
      <w:r w:rsidRPr="00FE4ED1">
        <w:rPr>
          <w:rStyle w:val="normaltextrun"/>
          <w:rFonts w:asciiTheme="minorHAnsi" w:hAnsiTheme="minorHAnsi" w:cstheme="minorHAnsi"/>
          <w:color w:val="000000" w:themeColor="text1"/>
        </w:rPr>
        <w:t>Legislation GOV UK (2009) Coroners and Justice Act 2009 Available on: https://www.legislation.gov.uk/ukpga/2009/25/contents</w:t>
      </w:r>
      <w:r w:rsidRPr="00FE4ED1">
        <w:rPr>
          <w:rStyle w:val="eop"/>
          <w:rFonts w:asciiTheme="minorHAnsi" w:hAnsiTheme="minorHAnsi" w:cstheme="minorHAnsi"/>
          <w:color w:val="000000" w:themeColor="text1"/>
        </w:rPr>
        <w:t> </w:t>
      </w:r>
    </w:p>
    <w:p w14:paraId="48C669EB" w14:textId="77777777" w:rsidR="00FE4ED1" w:rsidRDefault="00FE4ED1" w:rsidP="00FE4ED1">
      <w:pPr>
        <w:pStyle w:val="paragraph"/>
        <w:spacing w:before="0" w:beforeAutospacing="0" w:after="0" w:afterAutospacing="0" w:line="360" w:lineRule="auto"/>
        <w:textAlignment w:val="baseline"/>
        <w:rPr>
          <w:rStyle w:val="normaltextrun"/>
          <w:rFonts w:asciiTheme="minorHAnsi" w:hAnsiTheme="minorHAnsi" w:cstheme="minorHAnsi"/>
        </w:rPr>
      </w:pPr>
    </w:p>
    <w:p w14:paraId="78B8B32C" w14:textId="142ACB50"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r w:rsidRPr="00FE4ED1">
        <w:rPr>
          <w:rStyle w:val="normaltextrun"/>
          <w:rFonts w:asciiTheme="minorHAnsi" w:hAnsiTheme="minorHAnsi" w:cstheme="minorHAnsi"/>
        </w:rPr>
        <w:t>Legislation GOV UK (2010) Criminal Attempt Act 1981. Available on: https://www.legislation.gov.uk/ukpga/1981/47 (Accessed: 19.01.2024).</w:t>
      </w:r>
      <w:r w:rsidRPr="00FE4ED1">
        <w:rPr>
          <w:rStyle w:val="eop"/>
          <w:rFonts w:asciiTheme="minorHAnsi" w:hAnsiTheme="minorHAnsi" w:cstheme="minorHAnsi"/>
        </w:rPr>
        <w:t> </w:t>
      </w:r>
    </w:p>
    <w:p w14:paraId="154FFC6E" w14:textId="77777777" w:rsidR="00FE4ED1" w:rsidRDefault="00FE4ED1" w:rsidP="00FE4ED1">
      <w:pPr>
        <w:pStyle w:val="paragraph"/>
        <w:spacing w:before="0" w:beforeAutospacing="0" w:after="0" w:afterAutospacing="0" w:line="360" w:lineRule="auto"/>
        <w:textAlignment w:val="baseline"/>
        <w:rPr>
          <w:rStyle w:val="normaltextrun"/>
          <w:rFonts w:asciiTheme="minorHAnsi" w:hAnsiTheme="minorHAnsi" w:cstheme="minorHAnsi"/>
        </w:rPr>
      </w:pPr>
    </w:p>
    <w:p w14:paraId="60BE84A9" w14:textId="7EDA3C80"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r w:rsidRPr="00FE4ED1">
        <w:rPr>
          <w:rStyle w:val="normaltextrun"/>
          <w:rFonts w:asciiTheme="minorHAnsi" w:hAnsiTheme="minorHAnsi" w:cstheme="minorHAnsi"/>
        </w:rPr>
        <w:t>Legislation GOV UK (2010) Homicide Act 1957</w:t>
      </w:r>
      <w:r w:rsidRPr="00FE4ED1">
        <w:rPr>
          <w:rStyle w:val="eop"/>
          <w:rFonts w:asciiTheme="minorHAnsi" w:hAnsiTheme="minorHAnsi" w:cstheme="minorHAnsi"/>
        </w:rPr>
        <w:t> </w:t>
      </w:r>
    </w:p>
    <w:p w14:paraId="07F433F8" w14:textId="14BF480F"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r w:rsidRPr="00FE4ED1">
        <w:rPr>
          <w:rStyle w:val="normaltextrun"/>
          <w:rFonts w:asciiTheme="minorHAnsi" w:hAnsiTheme="minorHAnsi" w:cstheme="minorHAnsi"/>
        </w:rPr>
        <w:t xml:space="preserve">Available </w:t>
      </w:r>
      <w:r w:rsidRPr="00FE4ED1">
        <w:rPr>
          <w:rStyle w:val="normaltextrun"/>
          <w:rFonts w:asciiTheme="minorHAnsi" w:hAnsiTheme="minorHAnsi" w:cstheme="minorHAnsi"/>
        </w:rPr>
        <w:t>on:</w:t>
      </w:r>
      <w:r w:rsidRPr="00FE4ED1">
        <w:t xml:space="preserve"> </w:t>
      </w:r>
      <w:hyperlink r:id="rId9" w:history="1">
        <w:r w:rsidRPr="00FE4ED1">
          <w:rPr>
            <w:rStyle w:val="Hyperlink"/>
            <w:rFonts w:ascii="Calibri" w:hAnsi="Calibri" w:cs="Calibri"/>
            <w:color w:val="auto"/>
            <w:shd w:val="clear" w:color="auto" w:fill="FFFFFF"/>
          </w:rPr>
          <w:t>www.legislation.gov.uk/ukpga/Eliz2/5-6/11</w:t>
        </w:r>
      </w:hyperlink>
    </w:p>
    <w:p w14:paraId="45E9834E" w14:textId="77777777" w:rsidR="00FE4ED1" w:rsidRDefault="00FE4ED1" w:rsidP="00FE4ED1">
      <w:pPr>
        <w:pStyle w:val="paragraph"/>
        <w:spacing w:before="0" w:beforeAutospacing="0" w:after="0" w:afterAutospacing="0" w:line="360" w:lineRule="auto"/>
        <w:textAlignment w:val="baseline"/>
        <w:rPr>
          <w:rStyle w:val="normaltextrun"/>
          <w:rFonts w:asciiTheme="minorHAnsi" w:hAnsiTheme="minorHAnsi" w:cstheme="minorHAnsi"/>
        </w:rPr>
      </w:pPr>
    </w:p>
    <w:p w14:paraId="60373329" w14:textId="1EDAAB47"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r w:rsidRPr="00FE4ED1">
        <w:rPr>
          <w:rStyle w:val="normaltextrun"/>
          <w:rFonts w:asciiTheme="minorHAnsi" w:hAnsiTheme="minorHAnsi" w:cstheme="minorHAnsi"/>
        </w:rPr>
        <w:t>Legislation GOV UK (2009) Offences against the Person Act 1861</w:t>
      </w:r>
      <w:r w:rsidRPr="00FE4ED1">
        <w:rPr>
          <w:rStyle w:val="eop"/>
          <w:rFonts w:asciiTheme="minorHAnsi" w:hAnsiTheme="minorHAnsi" w:cstheme="minorHAnsi"/>
        </w:rPr>
        <w:t> </w:t>
      </w:r>
    </w:p>
    <w:p w14:paraId="165C8B6E" w14:textId="40B29A6A" w:rsidR="00FE4ED1" w:rsidRDefault="00FE4ED1" w:rsidP="00FE4ED1">
      <w:pPr>
        <w:pStyle w:val="paragraph"/>
        <w:spacing w:before="0" w:beforeAutospacing="0" w:after="0" w:afterAutospacing="0" w:line="360" w:lineRule="auto"/>
        <w:textAlignment w:val="baseline"/>
        <w:rPr>
          <w:rStyle w:val="normaltextrun"/>
          <w:rFonts w:asciiTheme="minorHAnsi" w:hAnsiTheme="minorHAnsi" w:cstheme="minorHAnsi"/>
        </w:rPr>
      </w:pPr>
      <w:r w:rsidRPr="00FE4ED1">
        <w:rPr>
          <w:rStyle w:val="normaltextrun"/>
          <w:rFonts w:asciiTheme="minorHAnsi" w:hAnsiTheme="minorHAnsi" w:cstheme="minorHAnsi"/>
        </w:rPr>
        <w:t xml:space="preserve"> Available on: </w:t>
      </w:r>
      <w:hyperlink r:id="rId10" w:tgtFrame="_blank" w:history="1">
        <w:r w:rsidRPr="00FE4ED1">
          <w:rPr>
            <w:rStyle w:val="normaltextrun"/>
            <w:rFonts w:asciiTheme="minorHAnsi" w:hAnsiTheme="minorHAnsi" w:cstheme="minorHAnsi"/>
            <w:u w:val="single"/>
          </w:rPr>
          <w:t>https://www.legislation.gov.uk/ukpga/Vict/24-25/100/section/18</w:t>
        </w:r>
      </w:hyperlink>
    </w:p>
    <w:p w14:paraId="20CA5307" w14:textId="77777777" w:rsidR="00FE4ED1" w:rsidRDefault="00FE4ED1" w:rsidP="00FE4ED1">
      <w:pPr>
        <w:pStyle w:val="paragraph"/>
        <w:spacing w:before="0" w:beforeAutospacing="0" w:after="0" w:afterAutospacing="0" w:line="360" w:lineRule="auto"/>
        <w:textAlignment w:val="baseline"/>
        <w:rPr>
          <w:rStyle w:val="normaltextrun"/>
          <w:rFonts w:asciiTheme="minorHAnsi" w:hAnsiTheme="minorHAnsi" w:cstheme="minorHAnsi"/>
        </w:rPr>
      </w:pPr>
    </w:p>
    <w:p w14:paraId="3E7A6C23" w14:textId="2A5F303D"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r w:rsidRPr="00FE4ED1">
        <w:rPr>
          <w:rStyle w:val="normaltextrun"/>
          <w:rFonts w:asciiTheme="minorHAnsi" w:hAnsiTheme="minorHAnsi" w:cstheme="minorHAnsi"/>
        </w:rPr>
        <w:t>Smith, J., Hogan, B., &amp;amp; Ormerod, D. (2020) Smith &amp;amp; Hogan Criminal Law, Oxford University Press.</w:t>
      </w:r>
      <w:r w:rsidRPr="00FE4ED1">
        <w:rPr>
          <w:rStyle w:val="eop"/>
          <w:rFonts w:asciiTheme="minorHAnsi" w:hAnsiTheme="minorHAnsi" w:cstheme="minorHAnsi"/>
        </w:rPr>
        <w:t> </w:t>
      </w:r>
    </w:p>
    <w:p w14:paraId="0B828D31" w14:textId="77777777" w:rsidR="00FE4ED1" w:rsidRDefault="00FE4ED1" w:rsidP="00FE4ED1">
      <w:pPr>
        <w:pStyle w:val="paragraph"/>
        <w:spacing w:before="0" w:beforeAutospacing="0" w:after="0" w:afterAutospacing="0" w:line="360" w:lineRule="auto"/>
        <w:textAlignment w:val="baseline"/>
        <w:rPr>
          <w:rStyle w:val="normaltextrun"/>
          <w:rFonts w:asciiTheme="minorHAnsi" w:hAnsiTheme="minorHAnsi" w:cstheme="minorHAnsi"/>
        </w:rPr>
      </w:pPr>
    </w:p>
    <w:p w14:paraId="3694E715" w14:textId="7D4CEF3A"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r w:rsidRPr="00FE4ED1">
        <w:rPr>
          <w:rStyle w:val="normaltextrun"/>
          <w:rFonts w:asciiTheme="minorHAnsi" w:hAnsiTheme="minorHAnsi" w:cstheme="minorHAnsi"/>
        </w:rPr>
        <w:t>The Crown Prosecution Service,2023 Homicide: Murder, manslaughter, infanticide and causing or allowing the death or serious injury of a child or vulnerable adult</w:t>
      </w:r>
      <w:r w:rsidRPr="00FE4ED1">
        <w:rPr>
          <w:rStyle w:val="eop"/>
          <w:rFonts w:asciiTheme="minorHAnsi" w:hAnsiTheme="minorHAnsi" w:cstheme="minorHAnsi"/>
        </w:rPr>
        <w:t> </w:t>
      </w:r>
    </w:p>
    <w:p w14:paraId="0971DFE8" w14:textId="77777777" w:rsidR="00FE4ED1" w:rsidRPr="00FE4ED1" w:rsidRDefault="00FE4ED1" w:rsidP="00FE4ED1">
      <w:pPr>
        <w:pStyle w:val="paragraph"/>
        <w:spacing w:before="0" w:beforeAutospacing="0" w:after="0" w:afterAutospacing="0" w:line="360" w:lineRule="auto"/>
        <w:textAlignment w:val="baseline"/>
        <w:rPr>
          <w:rFonts w:asciiTheme="minorHAnsi" w:hAnsiTheme="minorHAnsi" w:cstheme="minorHAnsi"/>
        </w:rPr>
      </w:pPr>
      <w:hyperlink r:id="rId11" w:tgtFrame="_blank" w:history="1">
        <w:r w:rsidRPr="00FE4ED1">
          <w:rPr>
            <w:rStyle w:val="normaltextrun"/>
            <w:rFonts w:asciiTheme="minorHAnsi" w:hAnsiTheme="minorHAnsi" w:cstheme="minorHAnsi"/>
          </w:rPr>
          <w:t>https://www.cps.gov.uk/legal-guidance/homicide-murder-manslaughter-infanticide-and-causing-or-allowing-death-or-serious</w:t>
        </w:r>
      </w:hyperlink>
      <w:r w:rsidRPr="00FE4ED1">
        <w:rPr>
          <w:rStyle w:val="eop"/>
          <w:rFonts w:asciiTheme="minorHAnsi" w:hAnsiTheme="minorHAnsi" w:cstheme="minorHAnsi"/>
        </w:rPr>
        <w:t> </w:t>
      </w:r>
    </w:p>
    <w:p w14:paraId="6AC949A5" w14:textId="77777777" w:rsidR="00FE4ED1" w:rsidRPr="00FE4ED1" w:rsidRDefault="00FE4ED1" w:rsidP="00FE4ED1">
      <w:pPr>
        <w:spacing w:line="360" w:lineRule="auto"/>
        <w:rPr>
          <w:rFonts w:cstheme="minorHAnsi"/>
          <w:sz w:val="24"/>
          <w:szCs w:val="24"/>
        </w:rPr>
      </w:pPr>
    </w:p>
    <w:sectPr w:rsidR="00FE4ED1" w:rsidRPr="00FE4ED1" w:rsidSect="004C64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182E29"/>
    <w:multiLevelType w:val="multilevel"/>
    <w:tmpl w:val="13921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167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494"/>
    <w:rsid w:val="002E2659"/>
    <w:rsid w:val="004C6494"/>
    <w:rsid w:val="005D0B33"/>
    <w:rsid w:val="0085136B"/>
    <w:rsid w:val="009F0F3B"/>
    <w:rsid w:val="00A33F1F"/>
    <w:rsid w:val="00B41C55"/>
    <w:rsid w:val="00B76917"/>
    <w:rsid w:val="00F840D8"/>
    <w:rsid w:val="00FE4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34993A"/>
  <w15:chartTrackingRefBased/>
  <w15:docId w15:val="{17BA1DC1-FDA5-454D-9D19-CAE3E20C3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64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6494"/>
    <w:rPr>
      <w:rFonts w:eastAsiaTheme="minorEastAsia"/>
      <w:lang w:val="en-US"/>
    </w:rPr>
  </w:style>
  <w:style w:type="paragraph" w:customStyle="1" w:styleId="paragraph">
    <w:name w:val="paragraph"/>
    <w:basedOn w:val="Normal"/>
    <w:rsid w:val="004C64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C6494"/>
  </w:style>
  <w:style w:type="character" w:customStyle="1" w:styleId="eop">
    <w:name w:val="eop"/>
    <w:basedOn w:val="DefaultParagraphFont"/>
    <w:rsid w:val="004C6494"/>
  </w:style>
  <w:style w:type="character" w:styleId="Hyperlink">
    <w:name w:val="Hyperlink"/>
    <w:basedOn w:val="DefaultParagraphFont"/>
    <w:uiPriority w:val="99"/>
    <w:unhideWhenUsed/>
    <w:rsid w:val="00FE4ED1"/>
    <w:rPr>
      <w:color w:val="0563C1" w:themeColor="hyperlink"/>
      <w:u w:val="single"/>
    </w:rPr>
  </w:style>
  <w:style w:type="character" w:styleId="UnresolvedMention">
    <w:name w:val="Unresolved Mention"/>
    <w:basedOn w:val="DefaultParagraphFont"/>
    <w:uiPriority w:val="99"/>
    <w:semiHidden/>
    <w:unhideWhenUsed/>
    <w:rsid w:val="00FE4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872275">
      <w:bodyDiv w:val="1"/>
      <w:marLeft w:val="0"/>
      <w:marRight w:val="0"/>
      <w:marTop w:val="0"/>
      <w:marBottom w:val="0"/>
      <w:divBdr>
        <w:top w:val="none" w:sz="0" w:space="0" w:color="auto"/>
        <w:left w:val="none" w:sz="0" w:space="0" w:color="auto"/>
        <w:bottom w:val="none" w:sz="0" w:space="0" w:color="auto"/>
        <w:right w:val="none" w:sz="0" w:space="0" w:color="auto"/>
      </w:divBdr>
      <w:divsChild>
        <w:div w:id="1518344437">
          <w:marLeft w:val="0"/>
          <w:marRight w:val="0"/>
          <w:marTop w:val="0"/>
          <w:marBottom w:val="0"/>
          <w:divBdr>
            <w:top w:val="none" w:sz="0" w:space="0" w:color="auto"/>
            <w:left w:val="none" w:sz="0" w:space="0" w:color="auto"/>
            <w:bottom w:val="none" w:sz="0" w:space="0" w:color="auto"/>
            <w:right w:val="none" w:sz="0" w:space="0" w:color="auto"/>
          </w:divBdr>
        </w:div>
        <w:div w:id="1941832773">
          <w:marLeft w:val="0"/>
          <w:marRight w:val="0"/>
          <w:marTop w:val="0"/>
          <w:marBottom w:val="0"/>
          <w:divBdr>
            <w:top w:val="none" w:sz="0" w:space="0" w:color="auto"/>
            <w:left w:val="none" w:sz="0" w:space="0" w:color="auto"/>
            <w:bottom w:val="none" w:sz="0" w:space="0" w:color="auto"/>
            <w:right w:val="none" w:sz="0" w:space="0" w:color="auto"/>
          </w:divBdr>
        </w:div>
        <w:div w:id="1725837354">
          <w:marLeft w:val="0"/>
          <w:marRight w:val="0"/>
          <w:marTop w:val="0"/>
          <w:marBottom w:val="0"/>
          <w:divBdr>
            <w:top w:val="none" w:sz="0" w:space="0" w:color="auto"/>
            <w:left w:val="none" w:sz="0" w:space="0" w:color="auto"/>
            <w:bottom w:val="none" w:sz="0" w:space="0" w:color="auto"/>
            <w:right w:val="none" w:sz="0" w:space="0" w:color="auto"/>
          </w:divBdr>
        </w:div>
        <w:div w:id="1596936337">
          <w:marLeft w:val="0"/>
          <w:marRight w:val="0"/>
          <w:marTop w:val="0"/>
          <w:marBottom w:val="0"/>
          <w:divBdr>
            <w:top w:val="none" w:sz="0" w:space="0" w:color="auto"/>
            <w:left w:val="none" w:sz="0" w:space="0" w:color="auto"/>
            <w:bottom w:val="none" w:sz="0" w:space="0" w:color="auto"/>
            <w:right w:val="none" w:sz="0" w:space="0" w:color="auto"/>
          </w:divBdr>
        </w:div>
        <w:div w:id="1788352959">
          <w:marLeft w:val="0"/>
          <w:marRight w:val="0"/>
          <w:marTop w:val="0"/>
          <w:marBottom w:val="0"/>
          <w:divBdr>
            <w:top w:val="none" w:sz="0" w:space="0" w:color="auto"/>
            <w:left w:val="none" w:sz="0" w:space="0" w:color="auto"/>
            <w:bottom w:val="none" w:sz="0" w:space="0" w:color="auto"/>
            <w:right w:val="none" w:sz="0" w:space="0" w:color="auto"/>
          </w:divBdr>
        </w:div>
        <w:div w:id="1407872101">
          <w:marLeft w:val="0"/>
          <w:marRight w:val="0"/>
          <w:marTop w:val="0"/>
          <w:marBottom w:val="0"/>
          <w:divBdr>
            <w:top w:val="none" w:sz="0" w:space="0" w:color="auto"/>
            <w:left w:val="none" w:sz="0" w:space="0" w:color="auto"/>
            <w:bottom w:val="none" w:sz="0" w:space="0" w:color="auto"/>
            <w:right w:val="none" w:sz="0" w:space="0" w:color="auto"/>
          </w:divBdr>
        </w:div>
        <w:div w:id="366294907">
          <w:marLeft w:val="0"/>
          <w:marRight w:val="0"/>
          <w:marTop w:val="0"/>
          <w:marBottom w:val="0"/>
          <w:divBdr>
            <w:top w:val="none" w:sz="0" w:space="0" w:color="auto"/>
            <w:left w:val="none" w:sz="0" w:space="0" w:color="auto"/>
            <w:bottom w:val="none" w:sz="0" w:space="0" w:color="auto"/>
            <w:right w:val="none" w:sz="0" w:space="0" w:color="auto"/>
          </w:divBdr>
        </w:div>
        <w:div w:id="245920574">
          <w:marLeft w:val="0"/>
          <w:marRight w:val="0"/>
          <w:marTop w:val="0"/>
          <w:marBottom w:val="0"/>
          <w:divBdr>
            <w:top w:val="none" w:sz="0" w:space="0" w:color="auto"/>
            <w:left w:val="none" w:sz="0" w:space="0" w:color="auto"/>
            <w:bottom w:val="none" w:sz="0" w:space="0" w:color="auto"/>
            <w:right w:val="none" w:sz="0" w:space="0" w:color="auto"/>
          </w:divBdr>
        </w:div>
        <w:div w:id="1235430768">
          <w:marLeft w:val="0"/>
          <w:marRight w:val="0"/>
          <w:marTop w:val="0"/>
          <w:marBottom w:val="0"/>
          <w:divBdr>
            <w:top w:val="none" w:sz="0" w:space="0" w:color="auto"/>
            <w:left w:val="none" w:sz="0" w:space="0" w:color="auto"/>
            <w:bottom w:val="none" w:sz="0" w:space="0" w:color="auto"/>
            <w:right w:val="none" w:sz="0" w:space="0" w:color="auto"/>
          </w:divBdr>
        </w:div>
        <w:div w:id="784274607">
          <w:marLeft w:val="0"/>
          <w:marRight w:val="0"/>
          <w:marTop w:val="0"/>
          <w:marBottom w:val="0"/>
          <w:divBdr>
            <w:top w:val="none" w:sz="0" w:space="0" w:color="auto"/>
            <w:left w:val="none" w:sz="0" w:space="0" w:color="auto"/>
            <w:bottom w:val="none" w:sz="0" w:space="0" w:color="auto"/>
            <w:right w:val="none" w:sz="0" w:space="0" w:color="auto"/>
          </w:divBdr>
        </w:div>
      </w:divsChild>
    </w:div>
    <w:div w:id="1188832843">
      <w:bodyDiv w:val="1"/>
      <w:marLeft w:val="0"/>
      <w:marRight w:val="0"/>
      <w:marTop w:val="0"/>
      <w:marBottom w:val="0"/>
      <w:divBdr>
        <w:top w:val="none" w:sz="0" w:space="0" w:color="auto"/>
        <w:left w:val="none" w:sz="0" w:space="0" w:color="auto"/>
        <w:bottom w:val="none" w:sz="0" w:space="0" w:color="auto"/>
        <w:right w:val="none" w:sz="0" w:space="0" w:color="auto"/>
      </w:divBdr>
      <w:divsChild>
        <w:div w:id="1596091883">
          <w:marLeft w:val="0"/>
          <w:marRight w:val="0"/>
          <w:marTop w:val="0"/>
          <w:marBottom w:val="0"/>
          <w:divBdr>
            <w:top w:val="none" w:sz="0" w:space="0" w:color="auto"/>
            <w:left w:val="none" w:sz="0" w:space="0" w:color="auto"/>
            <w:bottom w:val="none" w:sz="0" w:space="0" w:color="auto"/>
            <w:right w:val="none" w:sz="0" w:space="0" w:color="auto"/>
          </w:divBdr>
        </w:div>
        <w:div w:id="1957835439">
          <w:marLeft w:val="0"/>
          <w:marRight w:val="0"/>
          <w:marTop w:val="0"/>
          <w:marBottom w:val="0"/>
          <w:divBdr>
            <w:top w:val="none" w:sz="0" w:space="0" w:color="auto"/>
            <w:left w:val="none" w:sz="0" w:space="0" w:color="auto"/>
            <w:bottom w:val="none" w:sz="0" w:space="0" w:color="auto"/>
            <w:right w:val="none" w:sz="0" w:space="0" w:color="auto"/>
          </w:divBdr>
        </w:div>
        <w:div w:id="2145347911">
          <w:marLeft w:val="0"/>
          <w:marRight w:val="0"/>
          <w:marTop w:val="0"/>
          <w:marBottom w:val="0"/>
          <w:divBdr>
            <w:top w:val="none" w:sz="0" w:space="0" w:color="auto"/>
            <w:left w:val="none" w:sz="0" w:space="0" w:color="auto"/>
            <w:bottom w:val="none" w:sz="0" w:space="0" w:color="auto"/>
            <w:right w:val="none" w:sz="0" w:space="0" w:color="auto"/>
          </w:divBdr>
        </w:div>
        <w:div w:id="2081318646">
          <w:marLeft w:val="0"/>
          <w:marRight w:val="0"/>
          <w:marTop w:val="0"/>
          <w:marBottom w:val="0"/>
          <w:divBdr>
            <w:top w:val="none" w:sz="0" w:space="0" w:color="auto"/>
            <w:left w:val="none" w:sz="0" w:space="0" w:color="auto"/>
            <w:bottom w:val="none" w:sz="0" w:space="0" w:color="auto"/>
            <w:right w:val="none" w:sz="0" w:space="0" w:color="auto"/>
          </w:divBdr>
        </w:div>
        <w:div w:id="202402054">
          <w:marLeft w:val="0"/>
          <w:marRight w:val="0"/>
          <w:marTop w:val="0"/>
          <w:marBottom w:val="0"/>
          <w:divBdr>
            <w:top w:val="none" w:sz="0" w:space="0" w:color="auto"/>
            <w:left w:val="none" w:sz="0" w:space="0" w:color="auto"/>
            <w:bottom w:val="none" w:sz="0" w:space="0" w:color="auto"/>
            <w:right w:val="none" w:sz="0" w:space="0" w:color="auto"/>
          </w:divBdr>
        </w:div>
        <w:div w:id="964773226">
          <w:marLeft w:val="0"/>
          <w:marRight w:val="0"/>
          <w:marTop w:val="0"/>
          <w:marBottom w:val="0"/>
          <w:divBdr>
            <w:top w:val="none" w:sz="0" w:space="0" w:color="auto"/>
            <w:left w:val="none" w:sz="0" w:space="0" w:color="auto"/>
            <w:bottom w:val="none" w:sz="0" w:space="0" w:color="auto"/>
            <w:right w:val="none" w:sz="0" w:space="0" w:color="auto"/>
          </w:divBdr>
        </w:div>
        <w:div w:id="462889654">
          <w:marLeft w:val="0"/>
          <w:marRight w:val="0"/>
          <w:marTop w:val="0"/>
          <w:marBottom w:val="0"/>
          <w:divBdr>
            <w:top w:val="none" w:sz="0" w:space="0" w:color="auto"/>
            <w:left w:val="none" w:sz="0" w:space="0" w:color="auto"/>
            <w:bottom w:val="none" w:sz="0" w:space="0" w:color="auto"/>
            <w:right w:val="none" w:sz="0" w:space="0" w:color="auto"/>
          </w:divBdr>
        </w:div>
        <w:div w:id="749080902">
          <w:marLeft w:val="0"/>
          <w:marRight w:val="0"/>
          <w:marTop w:val="0"/>
          <w:marBottom w:val="0"/>
          <w:divBdr>
            <w:top w:val="none" w:sz="0" w:space="0" w:color="auto"/>
            <w:left w:val="none" w:sz="0" w:space="0" w:color="auto"/>
            <w:bottom w:val="none" w:sz="0" w:space="0" w:color="auto"/>
            <w:right w:val="none" w:sz="0" w:space="0" w:color="auto"/>
          </w:divBdr>
        </w:div>
        <w:div w:id="986393494">
          <w:marLeft w:val="0"/>
          <w:marRight w:val="0"/>
          <w:marTop w:val="0"/>
          <w:marBottom w:val="0"/>
          <w:divBdr>
            <w:top w:val="none" w:sz="0" w:space="0" w:color="auto"/>
            <w:left w:val="none" w:sz="0" w:space="0" w:color="auto"/>
            <w:bottom w:val="none" w:sz="0" w:space="0" w:color="auto"/>
            <w:right w:val="none" w:sz="0" w:space="0" w:color="auto"/>
          </w:divBdr>
        </w:div>
        <w:div w:id="618143007">
          <w:marLeft w:val="0"/>
          <w:marRight w:val="0"/>
          <w:marTop w:val="0"/>
          <w:marBottom w:val="0"/>
          <w:divBdr>
            <w:top w:val="none" w:sz="0" w:space="0" w:color="auto"/>
            <w:left w:val="none" w:sz="0" w:space="0" w:color="auto"/>
            <w:bottom w:val="none" w:sz="0" w:space="0" w:color="auto"/>
            <w:right w:val="none" w:sz="0" w:space="0" w:color="auto"/>
          </w:divBdr>
        </w:div>
      </w:divsChild>
    </w:div>
    <w:div w:id="1436900699">
      <w:bodyDiv w:val="1"/>
      <w:marLeft w:val="0"/>
      <w:marRight w:val="0"/>
      <w:marTop w:val="0"/>
      <w:marBottom w:val="0"/>
      <w:divBdr>
        <w:top w:val="none" w:sz="0" w:space="0" w:color="auto"/>
        <w:left w:val="none" w:sz="0" w:space="0" w:color="auto"/>
        <w:bottom w:val="none" w:sz="0" w:space="0" w:color="auto"/>
        <w:right w:val="none" w:sz="0" w:space="0" w:color="auto"/>
      </w:divBdr>
    </w:div>
    <w:div w:id="1646663153">
      <w:bodyDiv w:val="1"/>
      <w:marLeft w:val="0"/>
      <w:marRight w:val="0"/>
      <w:marTop w:val="0"/>
      <w:marBottom w:val="0"/>
      <w:divBdr>
        <w:top w:val="none" w:sz="0" w:space="0" w:color="auto"/>
        <w:left w:val="none" w:sz="0" w:space="0" w:color="auto"/>
        <w:bottom w:val="none" w:sz="0" w:space="0" w:color="auto"/>
        <w:right w:val="none" w:sz="0" w:space="0" w:color="auto"/>
      </w:divBdr>
      <w:divsChild>
        <w:div w:id="966934489">
          <w:marLeft w:val="0"/>
          <w:marRight w:val="0"/>
          <w:marTop w:val="0"/>
          <w:marBottom w:val="0"/>
          <w:divBdr>
            <w:top w:val="none" w:sz="0" w:space="0" w:color="auto"/>
            <w:left w:val="none" w:sz="0" w:space="0" w:color="auto"/>
            <w:bottom w:val="none" w:sz="0" w:space="0" w:color="auto"/>
            <w:right w:val="none" w:sz="0" w:space="0" w:color="auto"/>
          </w:divBdr>
        </w:div>
        <w:div w:id="2102486286">
          <w:marLeft w:val="0"/>
          <w:marRight w:val="0"/>
          <w:marTop w:val="0"/>
          <w:marBottom w:val="0"/>
          <w:divBdr>
            <w:top w:val="none" w:sz="0" w:space="0" w:color="auto"/>
            <w:left w:val="none" w:sz="0" w:space="0" w:color="auto"/>
            <w:bottom w:val="none" w:sz="0" w:space="0" w:color="auto"/>
            <w:right w:val="none" w:sz="0" w:space="0" w:color="auto"/>
          </w:divBdr>
        </w:div>
        <w:div w:id="1784107850">
          <w:marLeft w:val="0"/>
          <w:marRight w:val="0"/>
          <w:marTop w:val="0"/>
          <w:marBottom w:val="0"/>
          <w:divBdr>
            <w:top w:val="none" w:sz="0" w:space="0" w:color="auto"/>
            <w:left w:val="none" w:sz="0" w:space="0" w:color="auto"/>
            <w:bottom w:val="none" w:sz="0" w:space="0" w:color="auto"/>
            <w:right w:val="none" w:sz="0" w:space="0" w:color="auto"/>
          </w:divBdr>
        </w:div>
        <w:div w:id="1542863954">
          <w:marLeft w:val="0"/>
          <w:marRight w:val="0"/>
          <w:marTop w:val="0"/>
          <w:marBottom w:val="0"/>
          <w:divBdr>
            <w:top w:val="none" w:sz="0" w:space="0" w:color="auto"/>
            <w:left w:val="none" w:sz="0" w:space="0" w:color="auto"/>
            <w:bottom w:val="none" w:sz="0" w:space="0" w:color="auto"/>
            <w:right w:val="none" w:sz="0" w:space="0" w:color="auto"/>
          </w:divBdr>
        </w:div>
        <w:div w:id="714082556">
          <w:marLeft w:val="0"/>
          <w:marRight w:val="0"/>
          <w:marTop w:val="0"/>
          <w:marBottom w:val="0"/>
          <w:divBdr>
            <w:top w:val="none" w:sz="0" w:space="0" w:color="auto"/>
            <w:left w:val="none" w:sz="0" w:space="0" w:color="auto"/>
            <w:bottom w:val="none" w:sz="0" w:space="0" w:color="auto"/>
            <w:right w:val="none" w:sz="0" w:space="0" w:color="auto"/>
          </w:divBdr>
        </w:div>
        <w:div w:id="685442845">
          <w:marLeft w:val="0"/>
          <w:marRight w:val="0"/>
          <w:marTop w:val="0"/>
          <w:marBottom w:val="0"/>
          <w:divBdr>
            <w:top w:val="none" w:sz="0" w:space="0" w:color="auto"/>
            <w:left w:val="none" w:sz="0" w:space="0" w:color="auto"/>
            <w:bottom w:val="none" w:sz="0" w:space="0" w:color="auto"/>
            <w:right w:val="none" w:sz="0" w:space="0" w:color="auto"/>
          </w:divBdr>
        </w:div>
      </w:divsChild>
    </w:div>
    <w:div w:id="1654143723">
      <w:bodyDiv w:val="1"/>
      <w:marLeft w:val="0"/>
      <w:marRight w:val="0"/>
      <w:marTop w:val="0"/>
      <w:marBottom w:val="0"/>
      <w:divBdr>
        <w:top w:val="none" w:sz="0" w:space="0" w:color="auto"/>
        <w:left w:val="none" w:sz="0" w:space="0" w:color="auto"/>
        <w:bottom w:val="none" w:sz="0" w:space="0" w:color="auto"/>
        <w:right w:val="none" w:sz="0" w:space="0" w:color="auto"/>
      </w:divBdr>
      <w:divsChild>
        <w:div w:id="1769499787">
          <w:marLeft w:val="0"/>
          <w:marRight w:val="0"/>
          <w:marTop w:val="0"/>
          <w:marBottom w:val="0"/>
          <w:divBdr>
            <w:top w:val="none" w:sz="0" w:space="0" w:color="auto"/>
            <w:left w:val="none" w:sz="0" w:space="0" w:color="auto"/>
            <w:bottom w:val="none" w:sz="0" w:space="0" w:color="auto"/>
            <w:right w:val="none" w:sz="0" w:space="0" w:color="auto"/>
          </w:divBdr>
        </w:div>
        <w:div w:id="1269777619">
          <w:marLeft w:val="0"/>
          <w:marRight w:val="0"/>
          <w:marTop w:val="0"/>
          <w:marBottom w:val="0"/>
          <w:divBdr>
            <w:top w:val="none" w:sz="0" w:space="0" w:color="auto"/>
            <w:left w:val="none" w:sz="0" w:space="0" w:color="auto"/>
            <w:bottom w:val="none" w:sz="0" w:space="0" w:color="auto"/>
            <w:right w:val="none" w:sz="0" w:space="0" w:color="auto"/>
          </w:divBdr>
        </w:div>
        <w:div w:id="1767193642">
          <w:marLeft w:val="0"/>
          <w:marRight w:val="0"/>
          <w:marTop w:val="0"/>
          <w:marBottom w:val="0"/>
          <w:divBdr>
            <w:top w:val="none" w:sz="0" w:space="0" w:color="auto"/>
            <w:left w:val="none" w:sz="0" w:space="0" w:color="auto"/>
            <w:bottom w:val="none" w:sz="0" w:space="0" w:color="auto"/>
            <w:right w:val="none" w:sz="0" w:space="0" w:color="auto"/>
          </w:divBdr>
        </w:div>
        <w:div w:id="542670474">
          <w:marLeft w:val="0"/>
          <w:marRight w:val="0"/>
          <w:marTop w:val="0"/>
          <w:marBottom w:val="0"/>
          <w:divBdr>
            <w:top w:val="none" w:sz="0" w:space="0" w:color="auto"/>
            <w:left w:val="none" w:sz="0" w:space="0" w:color="auto"/>
            <w:bottom w:val="none" w:sz="0" w:space="0" w:color="auto"/>
            <w:right w:val="none" w:sz="0" w:space="0" w:color="auto"/>
          </w:divBdr>
        </w:div>
        <w:div w:id="712967484">
          <w:marLeft w:val="0"/>
          <w:marRight w:val="0"/>
          <w:marTop w:val="0"/>
          <w:marBottom w:val="0"/>
          <w:divBdr>
            <w:top w:val="none" w:sz="0" w:space="0" w:color="auto"/>
            <w:left w:val="none" w:sz="0" w:space="0" w:color="auto"/>
            <w:bottom w:val="none" w:sz="0" w:space="0" w:color="auto"/>
            <w:right w:val="none" w:sz="0" w:space="0" w:color="auto"/>
          </w:divBdr>
        </w:div>
        <w:div w:id="1702903143">
          <w:marLeft w:val="0"/>
          <w:marRight w:val="0"/>
          <w:marTop w:val="0"/>
          <w:marBottom w:val="0"/>
          <w:divBdr>
            <w:top w:val="none" w:sz="0" w:space="0" w:color="auto"/>
            <w:left w:val="none" w:sz="0" w:space="0" w:color="auto"/>
            <w:bottom w:val="none" w:sz="0" w:space="0" w:color="auto"/>
            <w:right w:val="none" w:sz="0" w:space="0" w:color="auto"/>
          </w:divBdr>
        </w:div>
        <w:div w:id="1032655943">
          <w:marLeft w:val="0"/>
          <w:marRight w:val="0"/>
          <w:marTop w:val="0"/>
          <w:marBottom w:val="0"/>
          <w:divBdr>
            <w:top w:val="none" w:sz="0" w:space="0" w:color="auto"/>
            <w:left w:val="none" w:sz="0" w:space="0" w:color="auto"/>
            <w:bottom w:val="none" w:sz="0" w:space="0" w:color="auto"/>
            <w:right w:val="none" w:sz="0" w:space="0" w:color="auto"/>
          </w:divBdr>
        </w:div>
        <w:div w:id="98716931">
          <w:marLeft w:val="0"/>
          <w:marRight w:val="0"/>
          <w:marTop w:val="0"/>
          <w:marBottom w:val="0"/>
          <w:divBdr>
            <w:top w:val="none" w:sz="0" w:space="0" w:color="auto"/>
            <w:left w:val="none" w:sz="0" w:space="0" w:color="auto"/>
            <w:bottom w:val="none" w:sz="0" w:space="0" w:color="auto"/>
            <w:right w:val="none" w:sz="0" w:space="0" w:color="auto"/>
          </w:divBdr>
        </w:div>
        <w:div w:id="2128741484">
          <w:marLeft w:val="0"/>
          <w:marRight w:val="0"/>
          <w:marTop w:val="0"/>
          <w:marBottom w:val="0"/>
          <w:divBdr>
            <w:top w:val="none" w:sz="0" w:space="0" w:color="auto"/>
            <w:left w:val="none" w:sz="0" w:space="0" w:color="auto"/>
            <w:bottom w:val="none" w:sz="0" w:space="0" w:color="auto"/>
            <w:right w:val="none" w:sz="0" w:space="0" w:color="auto"/>
          </w:divBdr>
        </w:div>
        <w:div w:id="482165220">
          <w:marLeft w:val="0"/>
          <w:marRight w:val="0"/>
          <w:marTop w:val="0"/>
          <w:marBottom w:val="0"/>
          <w:divBdr>
            <w:top w:val="none" w:sz="0" w:space="0" w:color="auto"/>
            <w:left w:val="none" w:sz="0" w:space="0" w:color="auto"/>
            <w:bottom w:val="none" w:sz="0" w:space="0" w:color="auto"/>
            <w:right w:val="none" w:sz="0" w:space="0" w:color="auto"/>
          </w:divBdr>
        </w:div>
        <w:div w:id="1757314577">
          <w:marLeft w:val="0"/>
          <w:marRight w:val="0"/>
          <w:marTop w:val="0"/>
          <w:marBottom w:val="0"/>
          <w:divBdr>
            <w:top w:val="none" w:sz="0" w:space="0" w:color="auto"/>
            <w:left w:val="none" w:sz="0" w:space="0" w:color="auto"/>
            <w:bottom w:val="none" w:sz="0" w:space="0" w:color="auto"/>
            <w:right w:val="none" w:sz="0" w:space="0" w:color="auto"/>
          </w:divBdr>
        </w:div>
        <w:div w:id="80494712">
          <w:marLeft w:val="0"/>
          <w:marRight w:val="0"/>
          <w:marTop w:val="0"/>
          <w:marBottom w:val="0"/>
          <w:divBdr>
            <w:top w:val="none" w:sz="0" w:space="0" w:color="auto"/>
            <w:left w:val="none" w:sz="0" w:space="0" w:color="auto"/>
            <w:bottom w:val="none" w:sz="0" w:space="0" w:color="auto"/>
            <w:right w:val="none" w:sz="0" w:space="0" w:color="auto"/>
          </w:divBdr>
        </w:div>
        <w:div w:id="1163278119">
          <w:marLeft w:val="0"/>
          <w:marRight w:val="0"/>
          <w:marTop w:val="0"/>
          <w:marBottom w:val="0"/>
          <w:divBdr>
            <w:top w:val="none" w:sz="0" w:space="0" w:color="auto"/>
            <w:left w:val="none" w:sz="0" w:space="0" w:color="auto"/>
            <w:bottom w:val="none" w:sz="0" w:space="0" w:color="auto"/>
            <w:right w:val="none" w:sz="0" w:space="0" w:color="auto"/>
          </w:divBdr>
        </w:div>
        <w:div w:id="1739591732">
          <w:marLeft w:val="0"/>
          <w:marRight w:val="0"/>
          <w:marTop w:val="0"/>
          <w:marBottom w:val="0"/>
          <w:divBdr>
            <w:top w:val="none" w:sz="0" w:space="0" w:color="auto"/>
            <w:left w:val="none" w:sz="0" w:space="0" w:color="auto"/>
            <w:bottom w:val="none" w:sz="0" w:space="0" w:color="auto"/>
            <w:right w:val="none" w:sz="0" w:space="0" w:color="auto"/>
          </w:divBdr>
        </w:div>
        <w:div w:id="552812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Eliz2/5-6/11/section/2"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ps.gov.uk/legal-guidance/homicide-murder-manslaughter-infanticide-and-causing-or-allowing-death-or-serious" TargetMode="External"/><Relationship Id="rId5" Type="http://schemas.openxmlformats.org/officeDocument/2006/relationships/styles" Target="styles.xml"/><Relationship Id="rId10" Type="http://schemas.openxmlformats.org/officeDocument/2006/relationships/hyperlink" Target="https://www.legislation.gov.uk/ukpga/Vict/24-25/100/section/18" TargetMode="External"/><Relationship Id="rId4" Type="http://schemas.openxmlformats.org/officeDocument/2006/relationships/numbering" Target="numbering.xml"/><Relationship Id="rId9" Type="http://schemas.openxmlformats.org/officeDocument/2006/relationships/hyperlink" Target="http://www.legislation.gov.uk/ukpga/Eliz2/5-6/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1" ma:contentTypeDescription="Create a new document." ma:contentTypeScope="" ma:versionID="3543eeaaa567d18429c6128c8c846c62">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453e609d135b6a7ff6489fb99fe2ef5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Props1.xml><?xml version="1.0" encoding="utf-8"?>
<ds:datastoreItem xmlns:ds="http://schemas.openxmlformats.org/officeDocument/2006/customXml" ds:itemID="{695A3669-3F9C-4C17-B699-3D8D2B348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62C477-08D8-4EFF-8BD1-2034483E8A24}">
  <ds:schemaRefs>
    <ds:schemaRef ds:uri="http://schemas.microsoft.com/sharepoint/v3/contenttype/forms"/>
  </ds:schemaRefs>
</ds:datastoreItem>
</file>

<file path=customXml/itemProps3.xml><?xml version="1.0" encoding="utf-8"?>
<ds:datastoreItem xmlns:ds="http://schemas.openxmlformats.org/officeDocument/2006/customXml" ds:itemID="{D8BC97F3-BA63-4201-AE67-061866BB4365}">
  <ds:schemaRefs>
    <ds:schemaRef ds:uri="http://www.w3.org/XML/1998/namespace"/>
    <ds:schemaRef ds:uri="http://purl.org/dc/dcmitype/"/>
    <ds:schemaRef ds:uri="http://purl.org/dc/elements/1.1/"/>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40f56d7e-19cf-4c71-ac65-8a0d9fdd6cc1"/>
    <ds:schemaRef ds:uri="6f3ab0a0-177c-4664-a7c5-83ebe3d5d33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1576</Words>
  <Characters>8025</Characters>
  <Application>Microsoft Office Word</Application>
  <DocSecurity>0</DocSecurity>
  <Lines>151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
  <dc:creator>Piotr Czubinski (2237463)</dc:creator>
  <cp:keywords/>
  <dc:description/>
  <cp:lastModifiedBy>Piotr Czubinski</cp:lastModifiedBy>
  <cp:revision>2</cp:revision>
  <dcterms:created xsi:type="dcterms:W3CDTF">2024-01-19T17:47:00Z</dcterms:created>
  <dcterms:modified xsi:type="dcterms:W3CDTF">2024-01-19T17:47:00Z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47dda33b-33b5-4aee-b857-692caac9832d</vt:lpwstr>
  </property>
  <property fmtid="{D5CDD505-2E9C-101B-9397-08002B2CF9AE}" pid="3" name="ContentTypeId">
    <vt:lpwstr>0x010100DAF1B30F5168BD4798AF0BC34582E39D</vt:lpwstr>
  </property>
</Properties>
</file>