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4F3288" w14:textId="77777777" w:rsidR="007E6EA8" w:rsidRDefault="00003E8A">
      <w:pPr>
        <w:jc w:val="center"/>
      </w:pPr>
      <w:r>
        <w:t>'The foundation myth of Athens and how it links to the cultural importance of the Olive Tree in Athens'</w:t>
      </w:r>
    </w:p>
    <w:p w14:paraId="264F328A" w14:textId="62FB575A" w:rsidR="007E6EA8" w:rsidRDefault="007E6EA8" w:rsidP="00F8519D">
      <w:pPr>
        <w:jc w:val="center"/>
      </w:pPr>
    </w:p>
    <w:p w14:paraId="264F3296" w14:textId="64A2F079" w:rsidR="007E6EA8" w:rsidRDefault="00003E8A" w:rsidP="00B935D5">
      <w:r>
        <w:t xml:space="preserve">Myths are common to all cultures and they are used for many reasons. Some appear as cautionary tales, some create a sense of identity, and some describe the origin of important cultural events, </w:t>
      </w:r>
      <w:r w:rsidR="00FC3323">
        <w:t>places,</w:t>
      </w:r>
      <w:r>
        <w:t xml:space="preserve"> and customs. An example of an origin or foundational my</w:t>
      </w:r>
      <w:r>
        <w:t>th is that of the Greek city of Athens. Berman argues that 'Foundation myths are a crucial component of many Greek cities</w:t>
      </w:r>
      <w:r>
        <w:t xml:space="preserve"> </w:t>
      </w:r>
      <w:r w:rsidR="00FC3323">
        <w:t>identities</w:t>
      </w:r>
      <w:r>
        <w:t>.</w:t>
      </w:r>
      <w:r w:rsidR="00E107FA">
        <w:t>’</w:t>
      </w:r>
      <w:r>
        <w:rPr>
          <w:vertAlign w:val="superscript"/>
        </w:rPr>
        <w:footnoteReference w:id="1"/>
      </w:r>
      <w:r>
        <w:t xml:space="preserve"> </w:t>
      </w:r>
      <w:r>
        <w:t xml:space="preserve">This myth has had many interpretations and versions created throughout the </w:t>
      </w:r>
      <w:r w:rsidR="00E107FA">
        <w:t>years</w:t>
      </w:r>
      <w:r w:rsidR="000F094C">
        <w:t xml:space="preserve">. This includes the </w:t>
      </w:r>
      <w:r w:rsidR="002D4E69">
        <w:t>ancient</w:t>
      </w:r>
      <w:r w:rsidR="000F094C">
        <w:t xml:space="preserve"> works of Herodotus, </w:t>
      </w:r>
      <w:proofErr w:type="spellStart"/>
      <w:r w:rsidR="005C58CA">
        <w:t>Apollodorus</w:t>
      </w:r>
      <w:proofErr w:type="spellEnd"/>
      <w:r w:rsidR="00A37D27">
        <w:t xml:space="preserve"> and Plutarch, as well as in </w:t>
      </w:r>
      <w:r w:rsidR="0021500B">
        <w:t>pictorial</w:t>
      </w:r>
      <w:r w:rsidR="00A37D27">
        <w:t xml:space="preserve"> forms including marble work on the Parth</w:t>
      </w:r>
      <w:r w:rsidR="0021500B">
        <w:t xml:space="preserve">enon. </w:t>
      </w:r>
      <w:r>
        <w:t xml:space="preserve">The consistent feature throughout is that the goddess Athena and god Poseidon engaged in an argument to compete for the honour of being named patron of the land. During this </w:t>
      </w:r>
      <w:r w:rsidR="00E107FA">
        <w:t>argument,</w:t>
      </w:r>
      <w:r>
        <w:t xml:space="preserve"> each god gifted the people who lived there a </w:t>
      </w:r>
      <w:r w:rsidR="00E107FA">
        <w:t>gift,</w:t>
      </w:r>
      <w:r>
        <w:t xml:space="preserve"> a sacred olive tree from Athena and a source of water from Poseidon with the striking of their individual weapons</w:t>
      </w:r>
      <w:r w:rsidR="00B33B83">
        <w:t xml:space="preserve"> (can be seen in the marble relief)</w:t>
      </w:r>
      <w:r>
        <w:t>.</w:t>
      </w:r>
      <w:r>
        <w:t xml:space="preserve"> The people chose Athena’s olive tree and chose her as their patron and named their city Athens after her. </w:t>
      </w:r>
      <w:r>
        <w:t xml:space="preserve">The olive is integrally </w:t>
      </w:r>
      <w:r>
        <w:t>bound up with the lives of the ancient Athenians, it is involved in many aspects of life including ritual, celebration, food, agriculture and trade and this importance of the olive tree is recognised through its central place in the foundation myth of Athe</w:t>
      </w:r>
      <w:r>
        <w:t xml:space="preserve">ns. The olive tree has a deep cultural value and mythic significance for Athenians and that is connected to their identity and can be traced to the Athenian foundation myth. </w:t>
      </w:r>
      <w:r w:rsidR="00597AC0">
        <w:t xml:space="preserve">During this piece both ancient and modern </w:t>
      </w:r>
      <w:r w:rsidR="00720CAD">
        <w:t xml:space="preserve">works will be looked at and used as evidence for this point. This includes as previously mentioned the ancient works of Herodotus, </w:t>
      </w:r>
      <w:proofErr w:type="spellStart"/>
      <w:r w:rsidR="002D4E69">
        <w:t>Apollodorus</w:t>
      </w:r>
      <w:proofErr w:type="spellEnd"/>
      <w:r w:rsidR="002D4E69">
        <w:t xml:space="preserve"> and Plutarch. </w:t>
      </w:r>
      <w:r w:rsidR="00162B10">
        <w:rPr>
          <w:color w:val="000000"/>
        </w:rPr>
        <w:t>Modern scholarship is also used including B</w:t>
      </w:r>
      <w:r w:rsidR="00DD6D68">
        <w:rPr>
          <w:color w:val="000000"/>
        </w:rPr>
        <w:t xml:space="preserve">erman who in the </w:t>
      </w:r>
      <w:r w:rsidR="00DD6D68">
        <w:t>‘C</w:t>
      </w:r>
      <w:r>
        <w:t>ontest of Athens section</w:t>
      </w:r>
      <w:r w:rsidR="00DD6D68">
        <w:t>’ of his work</w:t>
      </w:r>
      <w:r w:rsidR="00B935D5">
        <w:t xml:space="preserve"> he writes about</w:t>
      </w:r>
      <w:r>
        <w:t xml:space="preserve"> in detail about the 'pre-foundational' myth also known as the origin myth of Athens name.</w:t>
      </w:r>
      <w:r w:rsidR="008D1DBE">
        <w:rPr>
          <w:rStyle w:val="FootnoteReference"/>
        </w:rPr>
        <w:footnoteReference w:id="2"/>
      </w:r>
      <w:r w:rsidR="00095B48">
        <w:t xml:space="preserve"> Therefore</w:t>
      </w:r>
      <w:r w:rsidR="004A3412">
        <w:t>,</w:t>
      </w:r>
      <w:r w:rsidR="00095B48">
        <w:t xml:space="preserve"> this</w:t>
      </w:r>
      <w:r>
        <w:t xml:space="preserve"> </w:t>
      </w:r>
      <w:r w:rsidR="00095B48">
        <w:t>c</w:t>
      </w:r>
      <w:r>
        <w:t xml:space="preserve">an be used as evidence of the </w:t>
      </w:r>
      <w:r w:rsidR="00E765F1">
        <w:t xml:space="preserve">foundation </w:t>
      </w:r>
      <w:r>
        <w:t>myth</w:t>
      </w:r>
      <w:r w:rsidR="00E765F1">
        <w:t xml:space="preserve">, which was that </w:t>
      </w:r>
      <w:r>
        <w:t>Athena and Poseidon took part in a race to the Acropolis</w:t>
      </w:r>
      <w:r w:rsidR="004A3412">
        <w:t xml:space="preserve"> where</w:t>
      </w:r>
      <w:r>
        <w:t>, Athena won so Athens was named Athens, the city of A</w:t>
      </w:r>
      <w:r>
        <w:t>thena.</w:t>
      </w:r>
      <w:r w:rsidR="004A3412">
        <w:t xml:space="preserve"> Other </w:t>
      </w:r>
      <w:r w:rsidR="00B86730">
        <w:t xml:space="preserve">modern scholarship </w:t>
      </w:r>
      <w:r w:rsidR="00F64428">
        <w:t>used</w:t>
      </w:r>
      <w:r w:rsidR="00AC6D97">
        <w:t xml:space="preserve"> to explore the idea that </w:t>
      </w:r>
      <w:r w:rsidR="009B2BCD">
        <w:t>the foundation myth of Athens c</w:t>
      </w:r>
      <w:r w:rsidR="0092757C">
        <w:t>an be used as cultural identity, which can also be linked to an object in this case the olive tree which in itself has</w:t>
      </w:r>
      <w:r w:rsidR="00901D8C">
        <w:t xml:space="preserve"> importance,</w:t>
      </w:r>
      <w:r w:rsidR="00F64428">
        <w:t xml:space="preserve"> are as follows; Blackwell</w:t>
      </w:r>
      <w:r w:rsidR="00EB12B6">
        <w:t xml:space="preserve">, Foxhall, </w:t>
      </w:r>
      <w:proofErr w:type="spellStart"/>
      <w:r w:rsidR="00EB12B6">
        <w:t>Ganter</w:t>
      </w:r>
      <w:proofErr w:type="spellEnd"/>
      <w:r w:rsidR="003877A8">
        <w:t>,</w:t>
      </w:r>
      <w:r w:rsidR="00EB12B6">
        <w:t xml:space="preserve"> </w:t>
      </w:r>
      <w:proofErr w:type="spellStart"/>
      <w:r w:rsidR="003877A8" w:rsidRPr="002B2844">
        <w:t>Håland</w:t>
      </w:r>
      <w:proofErr w:type="spellEnd"/>
      <w:r w:rsidR="003877A8">
        <w:t xml:space="preserve">, </w:t>
      </w:r>
      <w:r w:rsidR="00AC6D97">
        <w:t>Roy and Shear.</w:t>
      </w:r>
      <w:r w:rsidR="00A019CA">
        <w:t xml:space="preserve"> </w:t>
      </w:r>
    </w:p>
    <w:p w14:paraId="264F3297" w14:textId="77777777" w:rsidR="007E6EA8" w:rsidRDefault="007E6EA8"/>
    <w:p w14:paraId="5F45E649" w14:textId="4FC40707" w:rsidR="009E0412" w:rsidRDefault="00003E8A" w:rsidP="00402A0E">
      <w:pPr>
        <w:pBdr>
          <w:top w:val="nil"/>
          <w:left w:val="nil"/>
          <w:bottom w:val="nil"/>
          <w:right w:val="nil"/>
          <w:between w:val="nil"/>
        </w:pBdr>
        <w:spacing w:after="0"/>
        <w:rPr>
          <w:color w:val="000000"/>
          <w:u w:val="single"/>
        </w:rPr>
      </w:pPr>
      <w:r w:rsidRPr="00EB3144">
        <w:rPr>
          <w:bCs/>
        </w:rPr>
        <w:lastRenderedPageBreak/>
        <w:t xml:space="preserve">The foundation myth of Athens can be found in </w:t>
      </w:r>
      <w:proofErr w:type="gramStart"/>
      <w:r w:rsidRPr="00EB3144">
        <w:rPr>
          <w:bCs/>
        </w:rPr>
        <w:t>a number of</w:t>
      </w:r>
      <w:proofErr w:type="gramEnd"/>
      <w:r w:rsidRPr="00EB3144">
        <w:rPr>
          <w:bCs/>
        </w:rPr>
        <w:t xml:space="preserve"> different sources and forms in the writings of different authors in different times throughout Athens’ history.</w:t>
      </w:r>
      <w:r w:rsidRPr="00EB3144">
        <w:rPr>
          <w:bCs/>
        </w:rPr>
        <w:t xml:space="preserve"> </w:t>
      </w:r>
      <w:r w:rsidR="00402A0E" w:rsidRPr="00EB3144">
        <w:rPr>
          <w:bCs/>
          <w:color w:val="000000"/>
        </w:rPr>
        <w:t xml:space="preserve">The first example of the foundation myth appearing in ancient </w:t>
      </w:r>
      <w:r w:rsidR="00225FB4" w:rsidRPr="00EB3144">
        <w:rPr>
          <w:bCs/>
          <w:color w:val="000000"/>
        </w:rPr>
        <w:t xml:space="preserve">texts is </w:t>
      </w:r>
      <w:r w:rsidR="00FC28DB" w:rsidRPr="00EB3144">
        <w:rPr>
          <w:bCs/>
          <w:color w:val="000000"/>
        </w:rPr>
        <w:t>in the works of Greek author</w:t>
      </w:r>
      <w:r w:rsidR="00EB3144">
        <w:rPr>
          <w:bCs/>
          <w:color w:val="000000"/>
          <w:u w:val="single"/>
        </w:rPr>
        <w:t xml:space="preserve"> </w:t>
      </w:r>
      <w:r w:rsidR="009E0412" w:rsidRPr="00EB3144">
        <w:rPr>
          <w:bCs/>
          <w:color w:val="000000"/>
        </w:rPr>
        <w:t>Herodotus</w:t>
      </w:r>
      <w:r w:rsidR="00FC28DB">
        <w:rPr>
          <w:color w:val="000000"/>
        </w:rPr>
        <w:t>.</w:t>
      </w:r>
      <w:r w:rsidR="009E0412">
        <w:t xml:space="preserve"> </w:t>
      </w:r>
    </w:p>
    <w:p w14:paraId="17A0677F" w14:textId="414ADCF9" w:rsidR="009E0412" w:rsidRPr="008D653A" w:rsidRDefault="009E0412" w:rsidP="009248FC">
      <w:pPr>
        <w:pBdr>
          <w:top w:val="nil"/>
          <w:left w:val="nil"/>
          <w:bottom w:val="nil"/>
          <w:right w:val="nil"/>
          <w:between w:val="nil"/>
        </w:pBdr>
        <w:spacing w:after="0"/>
        <w:ind w:left="1440"/>
        <w:rPr>
          <w:color w:val="000000"/>
        </w:rPr>
      </w:pPr>
      <w:r w:rsidRPr="008D653A">
        <w:rPr>
          <w:color w:val="000000"/>
        </w:rPr>
        <w:t>‘The story among the Athenians is that they were set there by Poseidon and Athena as tokens when they contended for the land. It happened that the olive tree was burnt by the barbarians with the rest of the sacred precinct, but on the day after its burning, when the Athenians ordered by the king to sacrifice went up to the sacred precinct, they saw a shoot of about a cubit's length sprung from the stump, and they reported this.’</w:t>
      </w:r>
      <w:r w:rsidR="00EB3144">
        <w:rPr>
          <w:rStyle w:val="FootnoteReference"/>
          <w:color w:val="000000"/>
        </w:rPr>
        <w:footnoteReference w:id="3"/>
      </w:r>
    </w:p>
    <w:p w14:paraId="7FAF38F7" w14:textId="012026DD" w:rsidR="009E0412" w:rsidRDefault="00315338" w:rsidP="00315338">
      <w:pPr>
        <w:pBdr>
          <w:top w:val="nil"/>
          <w:left w:val="nil"/>
          <w:bottom w:val="nil"/>
          <w:right w:val="nil"/>
          <w:between w:val="nil"/>
        </w:pBdr>
        <w:spacing w:after="0"/>
        <w:rPr>
          <w:color w:val="000000"/>
        </w:rPr>
      </w:pPr>
      <w:r>
        <w:rPr>
          <w:color w:val="000000"/>
        </w:rPr>
        <w:t>As part of the histories that Herodotus wrote during his life, he wrote abou</w:t>
      </w:r>
      <w:r w:rsidR="00EB3144">
        <w:rPr>
          <w:color w:val="000000"/>
        </w:rPr>
        <w:t>t</w:t>
      </w:r>
      <w:r>
        <w:rPr>
          <w:color w:val="000000"/>
        </w:rPr>
        <w:t xml:space="preserve"> the Persian wars that impacted many Greek cities, include Athens. During the Persian </w:t>
      </w:r>
      <w:proofErr w:type="gramStart"/>
      <w:r>
        <w:rPr>
          <w:color w:val="000000"/>
        </w:rPr>
        <w:t>wars</w:t>
      </w:r>
      <w:proofErr w:type="gramEnd"/>
      <w:r>
        <w:rPr>
          <w:color w:val="000000"/>
        </w:rPr>
        <w:t xml:space="preserve"> the Persian besieged the city of Athens including the burning of the sacred olive tree. After the fires </w:t>
      </w:r>
      <w:r w:rsidR="00EB3144">
        <w:rPr>
          <w:color w:val="000000"/>
        </w:rPr>
        <w:t>died,</w:t>
      </w:r>
      <w:r>
        <w:rPr>
          <w:color w:val="000000"/>
        </w:rPr>
        <w:t xml:space="preserve"> he reports that the Athenians saw sapling sprouted from the stump.</w:t>
      </w:r>
      <w:r w:rsidRPr="003A46A9">
        <w:t xml:space="preserve"> </w:t>
      </w:r>
      <w:r>
        <w:t xml:space="preserve">Herodotus also includes a brief intro to the foundation myth to explain the importance of the olive tree to the Athenians. </w:t>
      </w:r>
      <w:r w:rsidR="000B3111">
        <w:t xml:space="preserve">If the olive tree sapling did start to regrow after the fires this would explain </w:t>
      </w:r>
      <w:r w:rsidR="009E0412">
        <w:rPr>
          <w:color w:val="000000"/>
        </w:rPr>
        <w:t xml:space="preserve">the sacred olive tree was in the Acropolis during </w:t>
      </w:r>
      <w:r w:rsidR="000B3111">
        <w:rPr>
          <w:color w:val="000000"/>
        </w:rPr>
        <w:t>Pausanias</w:t>
      </w:r>
      <w:r w:rsidR="000B3111">
        <w:rPr>
          <w:color w:val="000000"/>
        </w:rPr>
        <w:t xml:space="preserve"> </w:t>
      </w:r>
      <w:r w:rsidR="009E0412">
        <w:rPr>
          <w:color w:val="000000"/>
        </w:rPr>
        <w:t>time</w:t>
      </w:r>
      <w:r w:rsidR="00A97AE8">
        <w:rPr>
          <w:color w:val="000000"/>
        </w:rPr>
        <w:t xml:space="preserve">, </w:t>
      </w:r>
      <w:r w:rsidR="006E5484">
        <w:rPr>
          <w:color w:val="000000"/>
        </w:rPr>
        <w:t xml:space="preserve">in the </w:t>
      </w:r>
      <w:r w:rsidR="00A97AE8">
        <w:rPr>
          <w:color w:val="000000"/>
        </w:rPr>
        <w:t>AD</w:t>
      </w:r>
      <w:r w:rsidR="006E5484">
        <w:rPr>
          <w:color w:val="000000"/>
        </w:rPr>
        <w:t>.</w:t>
      </w:r>
    </w:p>
    <w:p w14:paraId="497FA215" w14:textId="342A34E9" w:rsidR="009C6549" w:rsidRDefault="009C6549" w:rsidP="00315338">
      <w:pPr>
        <w:pBdr>
          <w:top w:val="nil"/>
          <w:left w:val="nil"/>
          <w:bottom w:val="nil"/>
          <w:right w:val="nil"/>
          <w:between w:val="nil"/>
        </w:pBdr>
        <w:spacing w:after="0"/>
        <w:rPr>
          <w:color w:val="000000"/>
        </w:rPr>
      </w:pPr>
    </w:p>
    <w:p w14:paraId="264F329A" w14:textId="32A8953B" w:rsidR="007E6EA8" w:rsidRPr="004A3589" w:rsidRDefault="00EE05D9" w:rsidP="0073240F">
      <w:pPr>
        <w:pBdr>
          <w:top w:val="nil"/>
          <w:left w:val="nil"/>
          <w:bottom w:val="nil"/>
          <w:right w:val="nil"/>
          <w:between w:val="nil"/>
        </w:pBdr>
        <w:spacing w:after="0"/>
      </w:pPr>
      <w:r>
        <w:rPr>
          <w:color w:val="000000"/>
        </w:rPr>
        <w:t>Another</w:t>
      </w:r>
      <w:r w:rsidR="009C6549">
        <w:rPr>
          <w:color w:val="000000"/>
        </w:rPr>
        <w:t xml:space="preserve"> example </w:t>
      </w:r>
      <w:r w:rsidR="009C6549">
        <w:t>is</w:t>
      </w:r>
      <w:r>
        <w:t xml:space="preserve"> in</w:t>
      </w:r>
      <w:r w:rsidR="009C6549">
        <w:t xml:space="preserve"> the works of </w:t>
      </w:r>
      <w:bookmarkStart w:id="0" w:name="_Hlk39000065"/>
      <w:proofErr w:type="spellStart"/>
      <w:r w:rsidR="009E0412">
        <w:rPr>
          <w:color w:val="000000"/>
        </w:rPr>
        <w:t>Apollodorus</w:t>
      </w:r>
      <w:proofErr w:type="spellEnd"/>
      <w:r w:rsidR="00F923E6">
        <w:rPr>
          <w:color w:val="000000"/>
        </w:rPr>
        <w:t xml:space="preserve"> who again writes about the</w:t>
      </w:r>
      <w:bookmarkEnd w:id="0"/>
      <w:r w:rsidR="00F923E6">
        <w:rPr>
          <w:color w:val="000000"/>
        </w:rPr>
        <w:t xml:space="preserve"> </w:t>
      </w:r>
      <w:r w:rsidR="009E0412">
        <w:rPr>
          <w:color w:val="000000"/>
        </w:rPr>
        <w:t>foundation myth</w:t>
      </w:r>
      <w:r w:rsidR="00F923E6">
        <w:rPr>
          <w:color w:val="000000"/>
        </w:rPr>
        <w:t xml:space="preserve"> of Athens</w:t>
      </w:r>
      <w:r w:rsidR="00BB5C33">
        <w:rPr>
          <w:color w:val="000000"/>
        </w:rPr>
        <w:t xml:space="preserve"> and the gift Athena gave them.</w:t>
      </w:r>
      <w:r w:rsidR="00BB5C33">
        <w:t xml:space="preserve"> </w:t>
      </w:r>
      <w:r w:rsidR="009E0412" w:rsidRPr="002853E1">
        <w:rPr>
          <w:color w:val="000000"/>
        </w:rPr>
        <w:t xml:space="preserve">‘…having called on </w:t>
      </w:r>
      <w:proofErr w:type="spellStart"/>
      <w:r w:rsidR="009E0412" w:rsidRPr="002853E1">
        <w:rPr>
          <w:color w:val="000000"/>
        </w:rPr>
        <w:t>Cecrops</w:t>
      </w:r>
      <w:proofErr w:type="spellEnd"/>
      <w:r w:rsidR="009E0412" w:rsidRPr="002853E1">
        <w:rPr>
          <w:color w:val="000000"/>
        </w:rPr>
        <w:t xml:space="preserve"> to witness her act of taking possession, she planted an olive tree,…’</w:t>
      </w:r>
      <w:r w:rsidR="009C6549">
        <w:rPr>
          <w:rStyle w:val="FootnoteReference"/>
          <w:color w:val="000000"/>
        </w:rPr>
        <w:footnoteReference w:id="4"/>
      </w:r>
      <w:r w:rsidR="00BB5C33">
        <w:rPr>
          <w:color w:val="000000"/>
        </w:rPr>
        <w:t xml:space="preserve"> In this </w:t>
      </w:r>
      <w:r w:rsidR="00974E6F">
        <w:rPr>
          <w:color w:val="000000"/>
        </w:rPr>
        <w:t xml:space="preserve">version of the myth the ancient king of Attica </w:t>
      </w:r>
      <w:proofErr w:type="spellStart"/>
      <w:r w:rsidR="00974E6F">
        <w:rPr>
          <w:color w:val="000000"/>
        </w:rPr>
        <w:t>C</w:t>
      </w:r>
      <w:r w:rsidR="001079B2">
        <w:rPr>
          <w:color w:val="000000"/>
        </w:rPr>
        <w:t>ecrops</w:t>
      </w:r>
      <w:proofErr w:type="spellEnd"/>
      <w:r w:rsidR="001079B2">
        <w:rPr>
          <w:color w:val="000000"/>
        </w:rPr>
        <w:t xml:space="preserve"> is included whereas in Herodotus there is </w:t>
      </w:r>
      <w:r w:rsidR="00496EF2">
        <w:rPr>
          <w:color w:val="000000"/>
        </w:rPr>
        <w:t>only the mention of the shrine of the king Er</w:t>
      </w:r>
      <w:r w:rsidR="004A3589">
        <w:rPr>
          <w:color w:val="000000"/>
        </w:rPr>
        <w:t>e</w:t>
      </w:r>
      <w:r w:rsidR="00496EF2">
        <w:rPr>
          <w:color w:val="000000"/>
        </w:rPr>
        <w:t>chtheus</w:t>
      </w:r>
      <w:r w:rsidR="00BB5C33">
        <w:rPr>
          <w:color w:val="000000"/>
        </w:rPr>
        <w:t xml:space="preserve"> </w:t>
      </w:r>
      <w:r w:rsidR="0073789D">
        <w:rPr>
          <w:color w:val="000000"/>
        </w:rPr>
        <w:t>on the Acropolis which is in the same area as the gifted tree.</w:t>
      </w:r>
      <w:r w:rsidR="0073789D">
        <w:t xml:space="preserve"> </w:t>
      </w:r>
      <w:r w:rsidR="004A3589">
        <w:rPr>
          <w:color w:val="000000"/>
        </w:rPr>
        <w:t>I</w:t>
      </w:r>
      <w:r w:rsidR="001A3BCB">
        <w:rPr>
          <w:color w:val="000000"/>
        </w:rPr>
        <w:t xml:space="preserve">n the </w:t>
      </w:r>
      <w:r w:rsidR="001010E7">
        <w:rPr>
          <w:color w:val="000000"/>
        </w:rPr>
        <w:t xml:space="preserve">Roman times in Greece </w:t>
      </w:r>
      <w:r w:rsidR="006C7BCC">
        <w:rPr>
          <w:color w:val="000000"/>
        </w:rPr>
        <w:t xml:space="preserve">the historian </w:t>
      </w:r>
      <w:r w:rsidR="009E0412">
        <w:rPr>
          <w:color w:val="000000"/>
        </w:rPr>
        <w:t>Plutarch</w:t>
      </w:r>
      <w:r w:rsidR="006F7AC7">
        <w:rPr>
          <w:color w:val="000000"/>
        </w:rPr>
        <w:t xml:space="preserve"> continues to write about the mythical narrative</w:t>
      </w:r>
      <w:r w:rsidR="00AF01B1">
        <w:rPr>
          <w:color w:val="000000"/>
        </w:rPr>
        <w:t xml:space="preserve"> of the foundation myth and gift of the sacred olive tree</w:t>
      </w:r>
      <w:r w:rsidR="006C7BCC">
        <w:rPr>
          <w:color w:val="000000"/>
        </w:rPr>
        <w:t xml:space="preserve">. </w:t>
      </w:r>
      <w:r w:rsidR="009E0412" w:rsidRPr="002A532B">
        <w:rPr>
          <w:color w:val="000000"/>
        </w:rPr>
        <w:t>‘…she displayed the sacred olive-tree of the Acropolis to the judges, and so won the day.’</w:t>
      </w:r>
      <w:r w:rsidR="006C7BCC">
        <w:rPr>
          <w:rStyle w:val="FootnoteReference"/>
          <w:color w:val="000000"/>
        </w:rPr>
        <w:footnoteReference w:id="5"/>
      </w:r>
      <w:r w:rsidR="00F14EFA">
        <w:rPr>
          <w:color w:val="000000"/>
        </w:rPr>
        <w:t xml:space="preserve"> This very brief </w:t>
      </w:r>
      <w:r w:rsidR="007E6A72">
        <w:rPr>
          <w:color w:val="000000"/>
        </w:rPr>
        <w:t>description of the mythical events shows a consistency of including the foundation myth in the Greeks mythical narrative</w:t>
      </w:r>
      <w:r w:rsidR="00F9131E">
        <w:rPr>
          <w:color w:val="000000"/>
        </w:rPr>
        <w:t>, into the Roman period.</w:t>
      </w:r>
      <w:bookmarkStart w:id="1" w:name="_30j0zll" w:colFirst="0" w:colLast="0"/>
      <w:bookmarkEnd w:id="1"/>
      <w:r w:rsidR="004A3589">
        <w:t xml:space="preserve"> </w:t>
      </w:r>
      <w:r w:rsidR="0073240F">
        <w:rPr>
          <w:color w:val="000000"/>
        </w:rPr>
        <w:t xml:space="preserve">The foundation of Athens myth </w:t>
      </w:r>
      <w:r w:rsidR="00293795">
        <w:rPr>
          <w:color w:val="000000"/>
        </w:rPr>
        <w:t xml:space="preserve">is also depicted in </w:t>
      </w:r>
      <w:r w:rsidR="00D76CEB">
        <w:rPr>
          <w:color w:val="000000"/>
        </w:rPr>
        <w:t>imagery</w:t>
      </w:r>
      <w:r w:rsidR="00293795">
        <w:rPr>
          <w:color w:val="000000"/>
        </w:rPr>
        <w:t xml:space="preserve"> ways </w:t>
      </w:r>
      <w:r w:rsidR="00E95A7D">
        <w:rPr>
          <w:color w:val="000000"/>
        </w:rPr>
        <w:t xml:space="preserve">including marble work on the </w:t>
      </w:r>
      <w:r w:rsidR="00003E8A">
        <w:rPr>
          <w:color w:val="000000"/>
        </w:rPr>
        <w:t>west pediment of the Parthenon</w:t>
      </w:r>
      <w:r w:rsidR="00E95A7D">
        <w:rPr>
          <w:color w:val="000000"/>
        </w:rPr>
        <w:t xml:space="preserve">. Below in figure one is a reconstruction of what the original </w:t>
      </w:r>
      <w:r w:rsidR="0075643C">
        <w:rPr>
          <w:color w:val="000000"/>
        </w:rPr>
        <w:t xml:space="preserve">pediment looked like. As can be seen the olive tree is </w:t>
      </w:r>
      <w:r w:rsidR="000D59DA">
        <w:rPr>
          <w:color w:val="000000"/>
        </w:rPr>
        <w:t xml:space="preserve">present in the image near Athena as this was her gift to the people. </w:t>
      </w:r>
    </w:p>
    <w:p w14:paraId="0F933C84" w14:textId="77777777" w:rsidR="00EE1217" w:rsidRDefault="000D2661" w:rsidP="00EE1217">
      <w:pPr>
        <w:keepNext/>
        <w:pBdr>
          <w:top w:val="nil"/>
          <w:left w:val="nil"/>
          <w:bottom w:val="nil"/>
          <w:right w:val="nil"/>
          <w:between w:val="nil"/>
        </w:pBdr>
        <w:spacing w:after="0"/>
      </w:pPr>
      <w:r>
        <w:rPr>
          <w:noProof/>
          <w:color w:val="000000"/>
          <w:u w:val="single"/>
        </w:rPr>
        <w:lastRenderedPageBreak/>
        <w:drawing>
          <wp:inline distT="0" distB="0" distL="0" distR="0" wp14:anchorId="346BD155" wp14:editId="6ACC0E3C">
            <wp:extent cx="5731510" cy="1115695"/>
            <wp:effectExtent l="0" t="0" r="2540" b="8255"/>
            <wp:docPr id="1" name="Picture 1" descr="A picture containing photo, black, white,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undation of athens.jpg"/>
                    <pic:cNvPicPr/>
                  </pic:nvPicPr>
                  <pic:blipFill>
                    <a:blip r:embed="rId8">
                      <a:extLst>
                        <a:ext uri="{28A0092B-C50C-407E-A947-70E740481C1C}">
                          <a14:useLocalDpi xmlns:a14="http://schemas.microsoft.com/office/drawing/2010/main" val="0"/>
                        </a:ext>
                      </a:extLst>
                    </a:blip>
                    <a:stretch>
                      <a:fillRect/>
                    </a:stretch>
                  </pic:blipFill>
                  <pic:spPr>
                    <a:xfrm>
                      <a:off x="0" y="0"/>
                      <a:ext cx="5731510" cy="1115695"/>
                    </a:xfrm>
                    <a:prstGeom prst="rect">
                      <a:avLst/>
                    </a:prstGeom>
                  </pic:spPr>
                </pic:pic>
              </a:graphicData>
            </a:graphic>
          </wp:inline>
        </w:drawing>
      </w:r>
    </w:p>
    <w:p w14:paraId="59B3F15C" w14:textId="37C38111" w:rsidR="002C7E6C" w:rsidRDefault="00EE1217" w:rsidP="00EE1217">
      <w:pPr>
        <w:pStyle w:val="Caption"/>
        <w:rPr>
          <w:color w:val="000000"/>
          <w:u w:val="single"/>
        </w:rPr>
      </w:pPr>
      <w:r>
        <w:t xml:space="preserve">Figure </w:t>
      </w:r>
      <w:fldSimple w:instr=" SEQ Figure \* ARABIC ">
        <w:r>
          <w:rPr>
            <w:noProof/>
          </w:rPr>
          <w:t>1</w:t>
        </w:r>
      </w:fldSimple>
      <w:r>
        <w:t xml:space="preserve">: Reconstruction of the west pediment of the Parthenon depicting the foundation of Athens. Image found on Ancient History </w:t>
      </w:r>
      <w:r w:rsidR="008375A5">
        <w:t>Encyclopaedia</w:t>
      </w:r>
      <w:r>
        <w:t xml:space="preserve">, by </w:t>
      </w:r>
      <w:proofErr w:type="spellStart"/>
      <w:r>
        <w:t>Tilemahos</w:t>
      </w:r>
      <w:proofErr w:type="spellEnd"/>
      <w:r>
        <w:t xml:space="preserve"> </w:t>
      </w:r>
      <w:proofErr w:type="spellStart"/>
      <w:r>
        <w:t>Efthimiadis</w:t>
      </w:r>
      <w:proofErr w:type="spellEnd"/>
      <w:r>
        <w:t>. 9th December 2014</w:t>
      </w:r>
    </w:p>
    <w:p w14:paraId="264F32A1" w14:textId="3CFF4ECB" w:rsidR="007E6EA8" w:rsidRDefault="00003E8A" w:rsidP="00A75F8D">
      <w:pPr>
        <w:pBdr>
          <w:top w:val="nil"/>
          <w:left w:val="nil"/>
          <w:bottom w:val="nil"/>
          <w:right w:val="nil"/>
          <w:between w:val="nil"/>
        </w:pBdr>
        <w:rPr>
          <w:color w:val="000000"/>
          <w:u w:val="single"/>
        </w:rPr>
      </w:pPr>
      <w:r>
        <w:rPr>
          <w:color w:val="000000"/>
        </w:rPr>
        <w:t> </w:t>
      </w:r>
    </w:p>
    <w:p w14:paraId="264F32A2" w14:textId="550A53A9" w:rsidR="007E6EA8" w:rsidRDefault="00CA6F41">
      <w:r>
        <w:t>T</w:t>
      </w:r>
      <w:r w:rsidR="00952447">
        <w:t>here has</w:t>
      </w:r>
      <w:r>
        <w:t xml:space="preserve"> since</w:t>
      </w:r>
      <w:r w:rsidR="00952447">
        <w:t xml:space="preserve"> been </w:t>
      </w:r>
      <w:r>
        <w:t xml:space="preserve">much </w:t>
      </w:r>
      <w:r w:rsidR="00952447">
        <w:t xml:space="preserve">debate </w:t>
      </w:r>
      <w:r>
        <w:t xml:space="preserve">on when the foundation of Athens myth story was first </w:t>
      </w:r>
      <w:r w:rsidR="00D369E4">
        <w:t>told and/or recorded.</w:t>
      </w:r>
      <w:r w:rsidR="00C47AF8">
        <w:t xml:space="preserve"> </w:t>
      </w:r>
      <w:r w:rsidR="00003E8A">
        <w:t>Some critics thought the foundation story dates to the 5th centu</w:t>
      </w:r>
      <w:r w:rsidR="00003E8A">
        <w:t>ry when the west relief of the Parthenon was made and the cult in the Erechthe</w:t>
      </w:r>
      <w:r w:rsidR="00DA0004">
        <w:t>ion</w:t>
      </w:r>
      <w:r w:rsidR="00003E8A">
        <w:t xml:space="preserve"> began. However due to a Greek vase dating to a century earlier that depicts the scene of the conflict between Athena and Poseidon this has been challenged. Although these earl</w:t>
      </w:r>
      <w:r w:rsidR="00003E8A">
        <w:t>y images do not make the 'race' to the Acropolis clear, this may be due to the narrative at the time. These earlier images depict Poseidon hitting the ground with his trident to create the salt</w:t>
      </w:r>
      <w:r w:rsidR="00C47AF8">
        <w:t>-</w:t>
      </w:r>
      <w:r w:rsidR="00003E8A">
        <w:t>lake and Athena hitting the ground with her spear to create th</w:t>
      </w:r>
      <w:r w:rsidR="00003E8A">
        <w:t>e sacred olive tree.</w:t>
      </w:r>
      <w:r w:rsidR="00595EBF">
        <w:rPr>
          <w:rStyle w:val="FootnoteReference"/>
        </w:rPr>
        <w:footnoteReference w:id="6"/>
      </w:r>
      <w:r w:rsidR="00003E8A">
        <w:t> </w:t>
      </w:r>
    </w:p>
    <w:p w14:paraId="264F32A3" w14:textId="77777777" w:rsidR="007E6EA8" w:rsidRDefault="007E6EA8">
      <w:pPr>
        <w:rPr>
          <w:b/>
        </w:rPr>
      </w:pPr>
    </w:p>
    <w:p w14:paraId="639028A3" w14:textId="58B6E26A" w:rsidR="00445C99" w:rsidRPr="00AC292D" w:rsidRDefault="00003E8A" w:rsidP="009B7F80">
      <w:pPr>
        <w:rPr>
          <w:bCs/>
        </w:rPr>
      </w:pPr>
      <w:r w:rsidRPr="00AC292D">
        <w:rPr>
          <w:bCs/>
        </w:rPr>
        <w:t>Origin stories act to validate and give authority to established practices or institutions. The Athenian foundation myth, as a special form of shared cultural information, validates the Athenian id</w:t>
      </w:r>
      <w:r w:rsidRPr="00AC292D">
        <w:rPr>
          <w:bCs/>
        </w:rPr>
        <w:t xml:space="preserve">entity as sanctioned by the goddess Athena in that place. </w:t>
      </w:r>
      <w:r w:rsidRPr="00AC292D">
        <w:rPr>
          <w:bCs/>
        </w:rPr>
        <w:t>The foundation myth persists and develops</w:t>
      </w:r>
      <w:r w:rsidRPr="00AC292D">
        <w:rPr>
          <w:bCs/>
        </w:rPr>
        <w:t xml:space="preserve"> </w:t>
      </w:r>
      <w:r w:rsidRPr="00AC292D">
        <w:rPr>
          <w:bCs/>
        </w:rPr>
        <w:t xml:space="preserve">over generations and demonstrates the continued relevance over time. Perhaps if it </w:t>
      </w:r>
      <w:r w:rsidR="00DB639E" w:rsidRPr="00AC292D">
        <w:rPr>
          <w:bCs/>
        </w:rPr>
        <w:t>were</w:t>
      </w:r>
      <w:r w:rsidRPr="00AC292D">
        <w:rPr>
          <w:bCs/>
        </w:rPr>
        <w:t xml:space="preserve"> not important it would have vanished from the cultural texts and art</w:t>
      </w:r>
      <w:r w:rsidRPr="00AC292D">
        <w:rPr>
          <w:bCs/>
        </w:rPr>
        <w:t xml:space="preserve"> of Athens.</w:t>
      </w:r>
      <w:r w:rsidR="006A01DF" w:rsidRPr="00AC292D">
        <w:rPr>
          <w:bCs/>
        </w:rPr>
        <w:t xml:space="preserve"> This leads to the question of how important myths are. </w:t>
      </w:r>
      <w:r w:rsidR="00077BE1" w:rsidRPr="00AC292D">
        <w:rPr>
          <w:bCs/>
        </w:rPr>
        <w:t>In the work ‘A Companion to Ethnicity in the Ancient Mediterranean</w:t>
      </w:r>
      <w:r w:rsidR="001F603D" w:rsidRPr="00AC292D">
        <w:rPr>
          <w:bCs/>
        </w:rPr>
        <w:t>’, there are a few chapters</w:t>
      </w:r>
      <w:r w:rsidR="001579AD" w:rsidRPr="00AC292D">
        <w:rPr>
          <w:bCs/>
        </w:rPr>
        <w:t xml:space="preserve"> by different </w:t>
      </w:r>
      <w:r w:rsidR="00B81775" w:rsidRPr="00AC292D">
        <w:rPr>
          <w:bCs/>
        </w:rPr>
        <w:t xml:space="preserve">authors </w:t>
      </w:r>
      <w:r w:rsidR="001579AD" w:rsidRPr="00AC292D">
        <w:rPr>
          <w:bCs/>
        </w:rPr>
        <w:t>that are of interest in this area.</w:t>
      </w:r>
      <w:r w:rsidR="004635E9" w:rsidRPr="00AC292D">
        <w:rPr>
          <w:rStyle w:val="FootnoteReference"/>
          <w:bCs/>
        </w:rPr>
        <w:footnoteReference w:id="7"/>
      </w:r>
      <w:r w:rsidR="003D62A0" w:rsidRPr="00AC292D">
        <w:rPr>
          <w:bCs/>
        </w:rPr>
        <w:t xml:space="preserve"> </w:t>
      </w:r>
      <w:r w:rsidR="007F2B5A" w:rsidRPr="00AC292D">
        <w:rPr>
          <w:bCs/>
        </w:rPr>
        <w:t xml:space="preserve">Myths can be used as a way of </w:t>
      </w:r>
      <w:r w:rsidR="00A30A27" w:rsidRPr="00AC292D">
        <w:rPr>
          <w:bCs/>
        </w:rPr>
        <w:t>‘self-recognition’</w:t>
      </w:r>
      <w:r w:rsidR="00FB3C17" w:rsidRPr="00AC292D">
        <w:rPr>
          <w:bCs/>
        </w:rPr>
        <w:t xml:space="preserve"> </w:t>
      </w:r>
      <w:r w:rsidR="00D45E55" w:rsidRPr="00AC292D">
        <w:rPr>
          <w:bCs/>
        </w:rPr>
        <w:t xml:space="preserve">and/or </w:t>
      </w:r>
      <w:r w:rsidR="006C5A13" w:rsidRPr="00AC292D">
        <w:rPr>
          <w:bCs/>
        </w:rPr>
        <w:t>‘self-perception</w:t>
      </w:r>
      <w:r w:rsidR="00D45E55" w:rsidRPr="00AC292D">
        <w:rPr>
          <w:bCs/>
        </w:rPr>
        <w:t>,</w:t>
      </w:r>
      <w:r w:rsidR="006C5A13" w:rsidRPr="00AC292D">
        <w:rPr>
          <w:bCs/>
        </w:rPr>
        <w:t>’</w:t>
      </w:r>
      <w:r w:rsidR="00D45E55" w:rsidRPr="00AC292D">
        <w:rPr>
          <w:bCs/>
        </w:rPr>
        <w:t xml:space="preserve"> </w:t>
      </w:r>
      <w:r w:rsidR="00FB3C17" w:rsidRPr="00AC292D">
        <w:rPr>
          <w:bCs/>
        </w:rPr>
        <w:t>for an individual person</w:t>
      </w:r>
      <w:r w:rsidR="00D45E55" w:rsidRPr="00AC292D">
        <w:rPr>
          <w:bCs/>
        </w:rPr>
        <w:t>.</w:t>
      </w:r>
      <w:r w:rsidR="00D45E55" w:rsidRPr="00AC292D">
        <w:rPr>
          <w:rStyle w:val="FootnoteReference"/>
          <w:bCs/>
        </w:rPr>
        <w:footnoteReference w:id="8"/>
      </w:r>
      <w:r w:rsidR="00FB3C17" w:rsidRPr="00AC292D">
        <w:rPr>
          <w:bCs/>
        </w:rPr>
        <w:t xml:space="preserve"> </w:t>
      </w:r>
      <w:r w:rsidR="00A44E4E" w:rsidRPr="00AC292D">
        <w:rPr>
          <w:bCs/>
        </w:rPr>
        <w:t>Also for</w:t>
      </w:r>
      <w:r w:rsidR="00A30A27" w:rsidRPr="00AC292D">
        <w:rPr>
          <w:bCs/>
        </w:rPr>
        <w:t xml:space="preserve"> </w:t>
      </w:r>
      <w:r w:rsidR="00E12833" w:rsidRPr="00AC292D">
        <w:rPr>
          <w:bCs/>
        </w:rPr>
        <w:t>‘…societies looking back at their roots in order to see who they are</w:t>
      </w:r>
      <w:r w:rsidR="007D4B0C" w:rsidRPr="00AC292D">
        <w:rPr>
          <w:bCs/>
        </w:rPr>
        <w:t>,</w:t>
      </w:r>
      <w:r w:rsidR="00E12833" w:rsidRPr="00AC292D">
        <w:rPr>
          <w:bCs/>
        </w:rPr>
        <w:t>’</w:t>
      </w:r>
      <w:r w:rsidR="00E12833" w:rsidRPr="00AC292D">
        <w:rPr>
          <w:rStyle w:val="FootnoteReference"/>
          <w:bCs/>
        </w:rPr>
        <w:footnoteReference w:id="9"/>
      </w:r>
      <w:r w:rsidR="007D4B0C" w:rsidRPr="00AC292D">
        <w:rPr>
          <w:bCs/>
        </w:rPr>
        <w:t xml:space="preserve"> </w:t>
      </w:r>
      <w:r w:rsidR="007F2B5A" w:rsidRPr="00AC292D">
        <w:rPr>
          <w:bCs/>
        </w:rPr>
        <w:t xml:space="preserve">making them important </w:t>
      </w:r>
      <w:r w:rsidR="0025653E" w:rsidRPr="00AC292D">
        <w:rPr>
          <w:bCs/>
        </w:rPr>
        <w:t>to the idea of cultural identity.</w:t>
      </w:r>
      <w:r w:rsidR="003240CD" w:rsidRPr="00AC292D">
        <w:rPr>
          <w:bCs/>
        </w:rPr>
        <w:t xml:space="preserve"> </w:t>
      </w:r>
      <w:r w:rsidR="002D6CA3" w:rsidRPr="00AC292D">
        <w:rPr>
          <w:bCs/>
        </w:rPr>
        <w:t xml:space="preserve">Cultural identity can be found in many places throughout the world and </w:t>
      </w:r>
      <w:r w:rsidR="00D76ADF" w:rsidRPr="00AC292D">
        <w:rPr>
          <w:bCs/>
        </w:rPr>
        <w:t xml:space="preserve">are unique to them. Identity has always been an important </w:t>
      </w:r>
      <w:r w:rsidR="0017257E" w:rsidRPr="00AC292D">
        <w:rPr>
          <w:bCs/>
        </w:rPr>
        <w:t>a</w:t>
      </w:r>
      <w:r w:rsidR="009C24E5" w:rsidRPr="00AC292D">
        <w:rPr>
          <w:bCs/>
        </w:rPr>
        <w:t xml:space="preserve">spect of human culture. </w:t>
      </w:r>
      <w:r w:rsidR="0072593E" w:rsidRPr="00AC292D">
        <w:rPr>
          <w:bCs/>
        </w:rPr>
        <w:t>Roy argues that t</w:t>
      </w:r>
      <w:r w:rsidR="00743273" w:rsidRPr="00AC292D">
        <w:rPr>
          <w:bCs/>
        </w:rPr>
        <w:t>hroughout history a regions cultural identity,</w:t>
      </w:r>
      <w:r w:rsidR="002D33F0" w:rsidRPr="00AC292D">
        <w:rPr>
          <w:bCs/>
        </w:rPr>
        <w:t xml:space="preserve"> </w:t>
      </w:r>
      <w:r w:rsidR="00743273" w:rsidRPr="00AC292D">
        <w:rPr>
          <w:bCs/>
        </w:rPr>
        <w:t>‘</w:t>
      </w:r>
      <w:r w:rsidR="002D33F0" w:rsidRPr="00AC292D">
        <w:rPr>
          <w:bCs/>
        </w:rPr>
        <w:t>were commonly rooted in an unhistorical past and expressed through mythical genealogy...’</w:t>
      </w:r>
      <w:r w:rsidR="002A29E5" w:rsidRPr="00AC292D">
        <w:rPr>
          <w:bCs/>
        </w:rPr>
        <w:t>.</w:t>
      </w:r>
      <w:r w:rsidR="002D33F0" w:rsidRPr="00AC292D">
        <w:rPr>
          <w:rStyle w:val="FootnoteReference"/>
          <w:bCs/>
        </w:rPr>
        <w:footnoteReference w:id="10"/>
      </w:r>
      <w:r w:rsidR="00365406" w:rsidRPr="00AC292D">
        <w:rPr>
          <w:bCs/>
        </w:rPr>
        <w:t xml:space="preserve"> This means that although myths do not have a historical date to them</w:t>
      </w:r>
      <w:r w:rsidR="008118FF" w:rsidRPr="00AC292D">
        <w:rPr>
          <w:bCs/>
        </w:rPr>
        <w:t xml:space="preserve"> but instead the combination of different myths for different purposes</w:t>
      </w:r>
      <w:r w:rsidR="006B5EC8" w:rsidRPr="00AC292D">
        <w:rPr>
          <w:bCs/>
        </w:rPr>
        <w:t xml:space="preserve"> in a </w:t>
      </w:r>
      <w:r w:rsidR="006B5EC8" w:rsidRPr="00AC292D">
        <w:rPr>
          <w:bCs/>
        </w:rPr>
        <w:lastRenderedPageBreak/>
        <w:t>cultural can create a timeline of event</w:t>
      </w:r>
      <w:r w:rsidR="00770461" w:rsidRPr="00AC292D">
        <w:rPr>
          <w:bCs/>
        </w:rPr>
        <w:t>s</w:t>
      </w:r>
      <w:r w:rsidR="006B5EC8" w:rsidRPr="00AC292D">
        <w:rPr>
          <w:bCs/>
        </w:rPr>
        <w:t xml:space="preserve">. </w:t>
      </w:r>
      <w:r w:rsidR="00E81B50" w:rsidRPr="00AC292D">
        <w:rPr>
          <w:bCs/>
        </w:rPr>
        <w:t xml:space="preserve">As </w:t>
      </w:r>
      <w:proofErr w:type="spellStart"/>
      <w:r w:rsidR="00E81B50" w:rsidRPr="00AC292D">
        <w:rPr>
          <w:bCs/>
        </w:rPr>
        <w:t>Ganter</w:t>
      </w:r>
      <w:proofErr w:type="spellEnd"/>
      <w:r w:rsidR="00E81B50" w:rsidRPr="00AC292D">
        <w:rPr>
          <w:bCs/>
        </w:rPr>
        <w:t xml:space="preserve"> states, </w:t>
      </w:r>
      <w:r w:rsidR="002D33F0" w:rsidRPr="00AC292D">
        <w:rPr>
          <w:bCs/>
        </w:rPr>
        <w:t>‘</w:t>
      </w:r>
      <w:r w:rsidR="009D6AD3" w:rsidRPr="00AC292D">
        <w:rPr>
          <w:bCs/>
        </w:rPr>
        <w:t>…</w:t>
      </w:r>
      <w:r w:rsidR="002D33F0" w:rsidRPr="00AC292D">
        <w:rPr>
          <w:bCs/>
        </w:rPr>
        <w:t>the Greeks were especially fond of telling foundation stories.’</w:t>
      </w:r>
      <w:r w:rsidR="002D33F0" w:rsidRPr="00AC292D">
        <w:rPr>
          <w:rStyle w:val="FootnoteReference"/>
          <w:bCs/>
        </w:rPr>
        <w:footnoteReference w:id="11"/>
      </w:r>
      <w:r w:rsidR="00D75B30" w:rsidRPr="00AC292D">
        <w:rPr>
          <w:bCs/>
        </w:rPr>
        <w:t xml:space="preserve"> Along with many other types of myths the Greeks hav</w:t>
      </w:r>
      <w:r w:rsidR="009B7F80" w:rsidRPr="00AC292D">
        <w:rPr>
          <w:bCs/>
        </w:rPr>
        <w:t xml:space="preserve">e a very strong mythical heritage. </w:t>
      </w:r>
      <w:r w:rsidR="003240CD" w:rsidRPr="00AC292D">
        <w:rPr>
          <w:bCs/>
        </w:rPr>
        <w:t xml:space="preserve">By using myth culture a group of people can </w:t>
      </w:r>
      <w:r w:rsidR="00445C99" w:rsidRPr="00AC292D">
        <w:rPr>
          <w:bCs/>
        </w:rPr>
        <w:t xml:space="preserve">be brought together by a sense of identity, </w:t>
      </w:r>
      <w:r w:rsidR="00445C99" w:rsidRPr="00AC292D">
        <w:rPr>
          <w:bCs/>
        </w:rPr>
        <w:t>‘…a Greek could have identified himself in a various ways in different context,…an Ionian among Ionians, or an Athenian different from the citizens of other Greek cities.’</w:t>
      </w:r>
      <w:r w:rsidR="00445C99" w:rsidRPr="00AC292D">
        <w:rPr>
          <w:rStyle w:val="FootnoteReference"/>
          <w:bCs/>
        </w:rPr>
        <w:footnoteReference w:id="12"/>
      </w:r>
      <w:r w:rsidR="00445C99" w:rsidRPr="00AC292D">
        <w:rPr>
          <w:bCs/>
        </w:rPr>
        <w:t xml:space="preserve">  </w:t>
      </w:r>
      <w:r w:rsidR="00947775" w:rsidRPr="00AC292D">
        <w:rPr>
          <w:bCs/>
        </w:rPr>
        <w:t xml:space="preserve">In this case the Athenian identity </w:t>
      </w:r>
      <w:r w:rsidR="007A249D" w:rsidRPr="00AC292D">
        <w:rPr>
          <w:bCs/>
        </w:rPr>
        <w:t>can be used to separate the people of Athens from the rest of Greece</w:t>
      </w:r>
      <w:r w:rsidR="00F0348B" w:rsidRPr="00AC292D">
        <w:rPr>
          <w:bCs/>
        </w:rPr>
        <w:t xml:space="preserve">. </w:t>
      </w:r>
    </w:p>
    <w:p w14:paraId="52E9BF32" w14:textId="77777777" w:rsidR="007F2B5A" w:rsidRPr="007F2B5A" w:rsidRDefault="007F2B5A" w:rsidP="007F2B5A">
      <w:pPr>
        <w:rPr>
          <w:b/>
        </w:rPr>
      </w:pPr>
    </w:p>
    <w:p w14:paraId="264F32A9" w14:textId="4F0B76A0" w:rsidR="007E6EA8" w:rsidRDefault="00003E8A">
      <w:r w:rsidRPr="00A5794D">
        <w:rPr>
          <w:bCs/>
        </w:rPr>
        <w:t xml:space="preserve">The foundation myth of Athens is not seen as one thing but is </w:t>
      </w:r>
      <w:r w:rsidR="00E72073" w:rsidRPr="00A5794D">
        <w:rPr>
          <w:bCs/>
        </w:rPr>
        <w:t>multi-layered</w:t>
      </w:r>
      <w:r w:rsidRPr="00A5794D">
        <w:rPr>
          <w:bCs/>
        </w:rPr>
        <w:t xml:space="preserve"> and textured made up from the many versions and retellings over time.</w:t>
      </w:r>
      <w:r>
        <w:rPr>
          <w:b/>
        </w:rPr>
        <w:t xml:space="preserve"> </w:t>
      </w:r>
      <w:r>
        <w:t>Myths can be suited to fit a particular purpose. This can be seen, for instance, in foundation myths when a nat</w:t>
      </w:r>
      <w:r>
        <w:t>ion founded by migration wants to contest use of land. Berman suggests that when a people travel to a new land and try to claim it, as in the case of Thebes, an origin myth can help validate the settlement</w:t>
      </w:r>
      <w:r>
        <w:t>.</w:t>
      </w:r>
      <w:r w:rsidR="00ED399D">
        <w:rPr>
          <w:rStyle w:val="FootnoteReference"/>
        </w:rPr>
        <w:footnoteReference w:id="13"/>
      </w:r>
      <w:r>
        <w:t xml:space="preserve"> If the land had previous </w:t>
      </w:r>
      <w:r w:rsidR="003F3D32">
        <w:t>occupants,</w:t>
      </w:r>
      <w:r>
        <w:t xml:space="preserve"> this may</w:t>
      </w:r>
      <w:r>
        <w:t xml:space="preserve"> be disputed. However this is not the case for  Athens which claims not to be descended from the migration of people to the region but instead claims autochthony, meaning the people have always lived on the land that became Athens.</w:t>
      </w:r>
      <w:r>
        <w:rPr>
          <w:vertAlign w:val="superscript"/>
        </w:rPr>
        <w:footnoteReference w:id="14"/>
      </w:r>
      <w:r>
        <w:t xml:space="preserve"> Citizenship of Athens is connected to being rooted in that place and this means that migrants cannot easily become Athenians themselves. To be an Athenian is to be of Athens. In connection with the Athenian autochthony belief, the founding of Athens’ name</w:t>
      </w:r>
      <w:r>
        <w:t xml:space="preserve"> is very important. However, much like any other myth, there are various differentiations of the foundation myth. In some versions of the myth there is the presence of </w:t>
      </w:r>
      <w:proofErr w:type="spellStart"/>
      <w:r>
        <w:t>Cecrops</w:t>
      </w:r>
      <w:proofErr w:type="spellEnd"/>
      <w:r>
        <w:t xml:space="preserve"> who was considered the first Athenian king.</w:t>
      </w:r>
      <w:r>
        <w:rPr>
          <w:vertAlign w:val="superscript"/>
        </w:rPr>
        <w:footnoteReference w:id="15"/>
      </w:r>
      <w:r>
        <w:t xml:space="preserve"> However,</w:t>
      </w:r>
      <w:r w:rsidR="003F3D32">
        <w:t xml:space="preserve"> </w:t>
      </w:r>
      <w:r>
        <w:t>if he was present at the r</w:t>
      </w:r>
      <w:r>
        <w:t>ace that would conflict the entire myth as he could not be an Athenian king if Athens did not exist until the end of the quarrel between Athena and Poseidon, when Athena is crowned victorious. Despite this, the belief of the king's existence can perhaps ar</w:t>
      </w:r>
      <w:r>
        <w:t>gue that there was a kind of patriarchal system in the land before the quarrel and before Athens got its name. So</w:t>
      </w:r>
      <w:r w:rsidR="003F3D32">
        <w:t>,</w:t>
      </w:r>
      <w:r>
        <w:t xml:space="preserve"> using the myth as evidence it can be argued that Athens has autochthony status, as the people of Athens were there even before it was given it</w:t>
      </w:r>
      <w:r>
        <w:t>s name and had a patron god or goddess in this case.</w:t>
      </w:r>
    </w:p>
    <w:p w14:paraId="264F32AA" w14:textId="77777777" w:rsidR="007E6EA8" w:rsidRDefault="007E6EA8">
      <w:pPr>
        <w:rPr>
          <w:b/>
        </w:rPr>
      </w:pPr>
    </w:p>
    <w:p w14:paraId="264F32AB" w14:textId="37E15BAC" w:rsidR="007E6EA8" w:rsidRDefault="00003E8A">
      <w:r w:rsidRPr="00A5794D">
        <w:rPr>
          <w:bCs/>
        </w:rPr>
        <w:lastRenderedPageBreak/>
        <w:t>Foundation and pre-foundation myths can be linked to defining features that impact the culture of Athens.</w:t>
      </w:r>
      <w:r>
        <w:rPr>
          <w:b/>
        </w:rPr>
        <w:t xml:space="preserve"> </w:t>
      </w:r>
      <w:r>
        <w:t>Through the pre foundation myth, Berman argues, the site and features of Athens are connected to</w:t>
      </w:r>
      <w:r>
        <w:t xml:space="preserve"> Athena and Poseidon and their actions. The divine origins of the city connect the gods, the </w:t>
      </w:r>
      <w:r w:rsidR="00E312EC">
        <w:t>land,</w:t>
      </w:r>
      <w:r>
        <w:t xml:space="preserve"> and the people of Athens together. A geographical site that is very important to the Athenian identity is the Acropolis. Berman includes this in his work by s</w:t>
      </w:r>
      <w:r>
        <w:t>tating that '... the Athenian acropolis was the object of a quarrel between Athena and Poseidon, the results of which gave the city its name and permanently marked its topography.'</w:t>
      </w:r>
      <w:r>
        <w:rPr>
          <w:vertAlign w:val="superscript"/>
        </w:rPr>
        <w:footnoteReference w:id="16"/>
      </w:r>
      <w:r>
        <w:t xml:space="preserve"> This would connect the foundation myth with the topographical feature of </w:t>
      </w:r>
      <w:r>
        <w:t xml:space="preserve">the Acropolis along with the sacred olive tree and salt water lake. Berman writes </w:t>
      </w:r>
      <w:r>
        <w:rPr>
          <w:color w:val="000000"/>
        </w:rPr>
        <w:t>'...the quarrel serves to mark two important topographical and cultic features on the Acropolis: the salt pool, on a spot which Poseidon struck with his trident, and the sacr</w:t>
      </w:r>
      <w:r>
        <w:rPr>
          <w:color w:val="000000"/>
        </w:rPr>
        <w:t>ed olive tree, caused to grow by Athena...'</w:t>
      </w:r>
      <w:r w:rsidR="00A217BF">
        <w:rPr>
          <w:rStyle w:val="FootnoteReference"/>
          <w:color w:val="000000"/>
        </w:rPr>
        <w:footnoteReference w:id="17"/>
      </w:r>
      <w:r>
        <w:rPr>
          <w:color w:val="000000"/>
        </w:rPr>
        <w:t xml:space="preserve"> It is perhaps not </w:t>
      </w:r>
      <w:r>
        <w:t xml:space="preserve">surprising that the dramatic mound of the Acropolis and the strange inland </w:t>
      </w:r>
      <w:r w:rsidR="00BE6CFF">
        <w:t>saltwater</w:t>
      </w:r>
      <w:r>
        <w:t xml:space="preserve"> pool found their way into the myth as they would both appear to require some sort of explanation.</w:t>
      </w:r>
      <w:r>
        <w:t xml:space="preserve"> </w:t>
      </w:r>
    </w:p>
    <w:p w14:paraId="7B6C6EB1" w14:textId="77777777" w:rsidR="00981399" w:rsidRDefault="00981399" w:rsidP="00981399"/>
    <w:p w14:paraId="3473624F" w14:textId="6187158E" w:rsidR="00B9001E" w:rsidRDefault="007C459C" w:rsidP="0036215B">
      <w:r>
        <w:rPr>
          <w:bCs/>
        </w:rPr>
        <w:t xml:space="preserve">The olive tree </w:t>
      </w:r>
      <w:r w:rsidR="00CB2376">
        <w:rPr>
          <w:bCs/>
        </w:rPr>
        <w:t xml:space="preserve">had </w:t>
      </w:r>
      <w:r w:rsidR="001F29C9">
        <w:rPr>
          <w:bCs/>
        </w:rPr>
        <w:t xml:space="preserve">ways in which it had </w:t>
      </w:r>
      <w:r w:rsidR="00CB2376">
        <w:rPr>
          <w:bCs/>
        </w:rPr>
        <w:t xml:space="preserve">symbolic value to the Athenians. </w:t>
      </w:r>
      <w:r w:rsidR="00003E8A" w:rsidRPr="00B9001E">
        <w:rPr>
          <w:bCs/>
        </w:rPr>
        <w:t>The rel</w:t>
      </w:r>
      <w:r w:rsidR="00003E8A" w:rsidRPr="00B9001E">
        <w:rPr>
          <w:bCs/>
        </w:rPr>
        <w:t>igious rituals honouring Athena Polias were linked to the fertility of the people and crops, including the olive crop.</w:t>
      </w:r>
      <w:r w:rsidR="00003E8A">
        <w:rPr>
          <w:b/>
        </w:rPr>
        <w:t xml:space="preserve"> </w:t>
      </w:r>
      <w:r w:rsidR="00003E8A">
        <w:t>The cult statue of Athena housed at the Erechtheion was made of olive wood and honoured yearly at the Panathenaic festival.</w:t>
      </w:r>
      <w:r w:rsidR="00102597">
        <w:t xml:space="preserve"> Evidence of this festival can be seen </w:t>
      </w:r>
      <w:r w:rsidR="00151F6D">
        <w:t xml:space="preserve">on a </w:t>
      </w:r>
      <w:r w:rsidR="0008516D">
        <w:t>frieze</w:t>
      </w:r>
      <w:r w:rsidR="00151F6D">
        <w:t xml:space="preserve"> on the great Greek monument the Parth</w:t>
      </w:r>
      <w:r w:rsidR="003A0204">
        <w:t>enon.</w:t>
      </w:r>
      <w:r w:rsidR="00003E8A">
        <w:t xml:space="preserve"> </w:t>
      </w:r>
      <w:r w:rsidR="0008516D">
        <w:t>In the ancient Greek times when</w:t>
      </w:r>
      <w:r w:rsidR="003C3F4D">
        <w:t xml:space="preserve"> this</w:t>
      </w:r>
      <w:r w:rsidR="0008516D">
        <w:t xml:space="preserve"> </w:t>
      </w:r>
      <w:r w:rsidR="003C0352">
        <w:t>religious</w:t>
      </w:r>
      <w:r w:rsidR="0008516D">
        <w:t xml:space="preserve"> festival </w:t>
      </w:r>
      <w:r w:rsidR="006C603E">
        <w:t>was practiced, y</w:t>
      </w:r>
      <w:r w:rsidR="00003E8A">
        <w:t>oung girls a</w:t>
      </w:r>
      <w:r w:rsidR="00003E8A">
        <w:t xml:space="preserve">nd women had important roles in the rites which occurred at significant stages of the agricultural calendar. The connection between the fertility of the olive crop and the fertility of Athenians is made by Evy Johanne </w:t>
      </w:r>
      <w:proofErr w:type="spellStart"/>
      <w:r w:rsidR="00003E8A">
        <w:t>Haland</w:t>
      </w:r>
      <w:proofErr w:type="spellEnd"/>
      <w:r w:rsidR="00003E8A">
        <w:t xml:space="preserve"> in </w:t>
      </w:r>
      <w:r w:rsidR="00F55168">
        <w:t>‘</w:t>
      </w:r>
      <w:r w:rsidR="00003E8A">
        <w:rPr>
          <w:i/>
        </w:rPr>
        <w:t>The Ritual Year of Athena: T</w:t>
      </w:r>
      <w:r w:rsidR="00003E8A">
        <w:rPr>
          <w:i/>
        </w:rPr>
        <w:t>he Agricultural Cycle of the Olive, Girls’ Rites of Passage, and Official Ideology</w:t>
      </w:r>
      <w:r w:rsidR="00F55168">
        <w:rPr>
          <w:i/>
        </w:rPr>
        <w:t>’.</w:t>
      </w:r>
      <w:r w:rsidR="0052236D">
        <w:rPr>
          <w:rStyle w:val="FootnoteReference"/>
          <w:i/>
        </w:rPr>
        <w:footnoteReference w:id="18"/>
      </w:r>
      <w:r w:rsidR="00003E8A">
        <w:t xml:space="preserve"> </w:t>
      </w:r>
      <w:r w:rsidR="00FD5AAC">
        <w:t xml:space="preserve">In this </w:t>
      </w:r>
      <w:r w:rsidR="00B30DEB">
        <w:t xml:space="preserve">the author </w:t>
      </w:r>
      <w:r w:rsidR="00A97FEE">
        <w:t>is making the connection between the gift of the olive tree from Athenian and the growth of the Athenian people</w:t>
      </w:r>
      <w:r w:rsidR="00876D15">
        <w:t xml:space="preserve">, which can be argued to be a symbolic </w:t>
      </w:r>
      <w:r w:rsidR="00B9001E">
        <w:t>value of the olive tree.</w:t>
      </w:r>
      <w:r w:rsidR="001F29C9">
        <w:t xml:space="preserve"> The olive oil also</w:t>
      </w:r>
      <w:r w:rsidR="001F29C9" w:rsidRPr="000E59FF">
        <w:rPr>
          <w:bCs/>
        </w:rPr>
        <w:t xml:space="preserve"> </w:t>
      </w:r>
      <w:r w:rsidR="00B9001E" w:rsidRPr="000E59FF">
        <w:rPr>
          <w:bCs/>
        </w:rPr>
        <w:t>had symbolic value to the Athenians as well as monetary value.</w:t>
      </w:r>
      <w:r w:rsidR="009A67EA" w:rsidRPr="000E59FF">
        <w:rPr>
          <w:bCs/>
        </w:rPr>
        <w:t xml:space="preserve"> The olive oil that was made from the olives </w:t>
      </w:r>
      <w:r w:rsidR="00981399" w:rsidRPr="000E59FF">
        <w:rPr>
          <w:bCs/>
        </w:rPr>
        <w:t>from the olive tree</w:t>
      </w:r>
      <w:r w:rsidR="00F854EF" w:rsidRPr="000E59FF">
        <w:rPr>
          <w:bCs/>
        </w:rPr>
        <w:t>,</w:t>
      </w:r>
      <w:r w:rsidR="0009424B" w:rsidRPr="000E59FF">
        <w:rPr>
          <w:bCs/>
        </w:rPr>
        <w:t xml:space="preserve"> can be argued to</w:t>
      </w:r>
      <w:r w:rsidR="00F854EF" w:rsidRPr="000E59FF">
        <w:rPr>
          <w:bCs/>
        </w:rPr>
        <w:t xml:space="preserve"> have </w:t>
      </w:r>
      <w:r w:rsidR="0009424B" w:rsidRPr="000E59FF">
        <w:rPr>
          <w:bCs/>
        </w:rPr>
        <w:t xml:space="preserve">had </w:t>
      </w:r>
      <w:r w:rsidR="00F854EF" w:rsidRPr="000E59FF">
        <w:rPr>
          <w:bCs/>
        </w:rPr>
        <w:t>received the</w:t>
      </w:r>
      <w:r w:rsidR="0009424B" w:rsidRPr="000E59FF">
        <w:rPr>
          <w:bCs/>
        </w:rPr>
        <w:t xml:space="preserve"> same</w:t>
      </w:r>
      <w:r w:rsidR="00F854EF" w:rsidRPr="000E59FF">
        <w:rPr>
          <w:bCs/>
        </w:rPr>
        <w:t xml:space="preserve"> </w:t>
      </w:r>
      <w:r w:rsidR="00981399">
        <w:t>symbolic blessing of Athena</w:t>
      </w:r>
      <w:r w:rsidR="002205E5">
        <w:t xml:space="preserve"> as they came from the sacred olive tree gift. </w:t>
      </w:r>
      <w:r w:rsidR="0036215B">
        <w:t xml:space="preserve">This may be a reason why olive oil was </w:t>
      </w:r>
      <w:r w:rsidR="00B9001E">
        <w:t>given as a prize in the Panathenaic games in expensive attic vases</w:t>
      </w:r>
      <w:r w:rsidR="00B522A2">
        <w:t>.</w:t>
      </w:r>
      <w:r w:rsidR="00B9001E">
        <w:t xml:space="preserve"> </w:t>
      </w:r>
    </w:p>
    <w:p w14:paraId="264F32B1" w14:textId="77777777" w:rsidR="007E6EA8" w:rsidRDefault="007E6EA8">
      <w:pPr>
        <w:rPr>
          <w:b/>
        </w:rPr>
      </w:pPr>
    </w:p>
    <w:p w14:paraId="4184E562" w14:textId="6429D8B7" w:rsidR="007A5909" w:rsidRPr="0092262D" w:rsidRDefault="00003E8A" w:rsidP="0092262D">
      <w:pPr>
        <w:rPr>
          <w:bCs/>
        </w:rPr>
      </w:pPr>
      <w:r w:rsidRPr="0092262D">
        <w:rPr>
          <w:bCs/>
        </w:rPr>
        <w:lastRenderedPageBreak/>
        <w:t>The Olive tree</w:t>
      </w:r>
      <w:r w:rsidRPr="0092262D">
        <w:rPr>
          <w:bCs/>
        </w:rPr>
        <w:t xml:space="preserve"> as a commodity was important in many aspects of life in the Greek cities including Athens, where the myth places the first olive tree. </w:t>
      </w:r>
      <w:r w:rsidRPr="0092262D">
        <w:rPr>
          <w:bCs/>
        </w:rPr>
        <w:t>Therefore the Olive tree was often referred to as, ‘the first of all trees’, by Columella (RR 5.8.1).</w:t>
      </w:r>
      <w:r w:rsidRPr="0092262D">
        <w:rPr>
          <w:bCs/>
          <w:vertAlign w:val="superscript"/>
        </w:rPr>
        <w:footnoteReference w:id="19"/>
      </w:r>
      <w:r w:rsidRPr="0092262D">
        <w:rPr>
          <w:bCs/>
        </w:rPr>
        <w:t xml:space="preserve"> One of the key f</w:t>
      </w:r>
      <w:r w:rsidRPr="0092262D">
        <w:rPr>
          <w:bCs/>
        </w:rPr>
        <w:t>eatures of the olive tree is that it can continue to grow in many different agricultural conditions, as well as different climates.</w:t>
      </w:r>
      <w:r w:rsidR="007D342A" w:rsidRPr="0092262D">
        <w:rPr>
          <w:rStyle w:val="FootnoteReference"/>
          <w:bCs/>
        </w:rPr>
        <w:footnoteReference w:id="20"/>
      </w:r>
      <w:r w:rsidRPr="0092262D">
        <w:rPr>
          <w:bCs/>
        </w:rPr>
        <w:t xml:space="preserve"> </w:t>
      </w:r>
      <w:r w:rsidR="004A042E" w:rsidRPr="0092262D">
        <w:rPr>
          <w:bCs/>
        </w:rPr>
        <w:t>Much like the modern day the</w:t>
      </w:r>
      <w:r w:rsidRPr="0092262D">
        <w:rPr>
          <w:bCs/>
        </w:rPr>
        <w:t xml:space="preserve"> fruit of the olive tree, olives, </w:t>
      </w:r>
      <w:r w:rsidR="004A042E" w:rsidRPr="0092262D">
        <w:rPr>
          <w:bCs/>
        </w:rPr>
        <w:t xml:space="preserve">would have </w:t>
      </w:r>
      <w:r w:rsidRPr="0092262D">
        <w:rPr>
          <w:bCs/>
        </w:rPr>
        <w:t>provide</w:t>
      </w:r>
      <w:r w:rsidR="004A042E" w:rsidRPr="0092262D">
        <w:rPr>
          <w:bCs/>
        </w:rPr>
        <w:t>d</w:t>
      </w:r>
      <w:r w:rsidRPr="0092262D">
        <w:rPr>
          <w:bCs/>
        </w:rPr>
        <w:t xml:space="preserve"> </w:t>
      </w:r>
      <w:r w:rsidRPr="0092262D">
        <w:rPr>
          <w:bCs/>
        </w:rPr>
        <w:t>olive oil</w:t>
      </w:r>
      <w:r w:rsidR="005E5C45" w:rsidRPr="0092262D">
        <w:rPr>
          <w:bCs/>
        </w:rPr>
        <w:t xml:space="preserve"> for</w:t>
      </w:r>
      <w:r w:rsidRPr="0092262D">
        <w:rPr>
          <w:bCs/>
        </w:rPr>
        <w:t>, skin care, medicine and</w:t>
      </w:r>
      <w:r w:rsidR="005E5C45" w:rsidRPr="0092262D">
        <w:rPr>
          <w:bCs/>
        </w:rPr>
        <w:t xml:space="preserve"> the olives </w:t>
      </w:r>
      <w:r w:rsidR="00373356" w:rsidRPr="0092262D">
        <w:rPr>
          <w:bCs/>
        </w:rPr>
        <w:t>themselves could be used as</w:t>
      </w:r>
      <w:r w:rsidRPr="0092262D">
        <w:rPr>
          <w:bCs/>
        </w:rPr>
        <w:t xml:space="preserve"> food for both humans and animals. Olive oil </w:t>
      </w:r>
      <w:r w:rsidR="00373356" w:rsidRPr="0092262D">
        <w:rPr>
          <w:bCs/>
        </w:rPr>
        <w:t>would also have been</w:t>
      </w:r>
      <w:r w:rsidRPr="0092262D">
        <w:rPr>
          <w:bCs/>
        </w:rPr>
        <w:t xml:space="preserve"> a</w:t>
      </w:r>
      <w:r w:rsidRPr="0092262D">
        <w:rPr>
          <w:bCs/>
        </w:rPr>
        <w:t xml:space="preserve"> trade item for the ancient Athenians. The tree itself was used as wood that could be used to make a variety of tools and implements. The cult statue of Athena that stood in the Erechtheion was crafted out of olive wood. </w:t>
      </w:r>
      <w:r w:rsidR="00166340" w:rsidRPr="0092262D">
        <w:rPr>
          <w:bCs/>
        </w:rPr>
        <w:t xml:space="preserve">Another was the olive tree could have been used for is </w:t>
      </w:r>
      <w:r w:rsidR="005B34F7" w:rsidRPr="0092262D">
        <w:rPr>
          <w:bCs/>
        </w:rPr>
        <w:t xml:space="preserve">as creating </w:t>
      </w:r>
      <w:r w:rsidR="00CA2DCB" w:rsidRPr="0092262D">
        <w:rPr>
          <w:bCs/>
        </w:rPr>
        <w:t>wreaths that are depicted on</w:t>
      </w:r>
      <w:r w:rsidRPr="0092262D">
        <w:rPr>
          <w:bCs/>
        </w:rPr>
        <w:t xml:space="preserve"> </w:t>
      </w:r>
      <w:r w:rsidR="00DB656D" w:rsidRPr="0092262D">
        <w:rPr>
          <w:bCs/>
          <w:color w:val="000000"/>
        </w:rPr>
        <w:t>Greek vase</w:t>
      </w:r>
      <w:r w:rsidR="00CA2DCB" w:rsidRPr="0092262D">
        <w:rPr>
          <w:bCs/>
          <w:color w:val="000000"/>
        </w:rPr>
        <w:t xml:space="preserve"> as being </w:t>
      </w:r>
      <w:r w:rsidR="00316963" w:rsidRPr="0092262D">
        <w:rPr>
          <w:bCs/>
          <w:color w:val="000000"/>
        </w:rPr>
        <w:t xml:space="preserve">used in the </w:t>
      </w:r>
      <w:r w:rsidR="00DB656D" w:rsidRPr="0092262D">
        <w:rPr>
          <w:bCs/>
          <w:color w:val="000000"/>
        </w:rPr>
        <w:t>crowning</w:t>
      </w:r>
      <w:r w:rsidR="00316963" w:rsidRPr="0092262D">
        <w:rPr>
          <w:bCs/>
          <w:color w:val="000000"/>
        </w:rPr>
        <w:t xml:space="preserve"> of</w:t>
      </w:r>
      <w:r w:rsidR="00DB656D" w:rsidRPr="0092262D">
        <w:rPr>
          <w:bCs/>
          <w:color w:val="000000"/>
        </w:rPr>
        <w:t xml:space="preserve"> </w:t>
      </w:r>
      <w:r w:rsidR="00316963" w:rsidRPr="0092262D">
        <w:rPr>
          <w:bCs/>
          <w:color w:val="000000"/>
        </w:rPr>
        <w:t xml:space="preserve">the </w:t>
      </w:r>
      <w:r w:rsidR="00DB656D" w:rsidRPr="0092262D">
        <w:rPr>
          <w:bCs/>
          <w:color w:val="000000"/>
        </w:rPr>
        <w:t xml:space="preserve">winner of Olympics </w:t>
      </w:r>
      <w:r w:rsidR="00316963" w:rsidRPr="0092262D">
        <w:rPr>
          <w:bCs/>
          <w:color w:val="000000"/>
        </w:rPr>
        <w:t xml:space="preserve">by </w:t>
      </w:r>
      <w:r w:rsidR="00904D1A" w:rsidRPr="0092262D">
        <w:rPr>
          <w:bCs/>
          <w:color w:val="000000"/>
        </w:rPr>
        <w:t>winged victory</w:t>
      </w:r>
      <w:r w:rsidR="00316963" w:rsidRPr="0092262D">
        <w:rPr>
          <w:bCs/>
          <w:color w:val="000000"/>
        </w:rPr>
        <w:t>.</w:t>
      </w:r>
      <w:r w:rsidR="00904D1A" w:rsidRPr="0092262D">
        <w:rPr>
          <w:bCs/>
          <w:color w:val="000000"/>
        </w:rPr>
        <w:t xml:space="preserve"> </w:t>
      </w:r>
      <w:r w:rsidR="0092262D" w:rsidRPr="0092262D">
        <w:rPr>
          <w:bCs/>
          <w:color w:val="000000"/>
        </w:rPr>
        <w:t>Therefore</w:t>
      </w:r>
      <w:r w:rsidR="00E5048E">
        <w:rPr>
          <w:bCs/>
          <w:color w:val="000000"/>
        </w:rPr>
        <w:t>,</w:t>
      </w:r>
      <w:r w:rsidR="0092262D" w:rsidRPr="0092262D">
        <w:rPr>
          <w:bCs/>
          <w:color w:val="000000"/>
        </w:rPr>
        <w:t xml:space="preserve"> it can be argued that the</w:t>
      </w:r>
      <w:r w:rsidR="0092262D" w:rsidRPr="0092262D">
        <w:rPr>
          <w:bCs/>
        </w:rPr>
        <w:t xml:space="preserve"> </w:t>
      </w:r>
      <w:r w:rsidR="007A5909" w:rsidRPr="0092262D">
        <w:rPr>
          <w:bCs/>
        </w:rPr>
        <w:t>cultivation of the olive tree was important for the economic development of Athens.</w:t>
      </w:r>
    </w:p>
    <w:p w14:paraId="264F32BF" w14:textId="6909615B" w:rsidR="007E6EA8" w:rsidRPr="009E14DD" w:rsidRDefault="007E6EA8" w:rsidP="009E14DD">
      <w:pPr>
        <w:pBdr>
          <w:top w:val="nil"/>
          <w:left w:val="nil"/>
          <w:bottom w:val="nil"/>
          <w:right w:val="nil"/>
          <w:between w:val="nil"/>
        </w:pBdr>
        <w:rPr>
          <w:b/>
        </w:rPr>
      </w:pPr>
    </w:p>
    <w:p w14:paraId="264F32C0" w14:textId="440EE97E" w:rsidR="007E6EA8" w:rsidRDefault="00003E8A">
      <w:r>
        <w:t>Foundation myths can</w:t>
      </w:r>
      <w:r>
        <w:t xml:space="preserve"> be connected to the idea of Greek identity and even link to cultural significance of objects. In the case of Athens, the pre-foundational myth that reveals the origin of the name, Athens, can be to show Ath</w:t>
      </w:r>
      <w:r>
        <w:t xml:space="preserve">enian identity as well as the cultural significance of the Olive Tree gifted to them by Athena. </w:t>
      </w:r>
      <w:r w:rsidR="00A83673">
        <w:t>The olive tree gains its significance to the Greek culture as</w:t>
      </w:r>
      <w:r w:rsidR="00B2555B">
        <w:t xml:space="preserve"> in the foundation of Athens it was a gift from a goddess which put a high value on the</w:t>
      </w:r>
      <w:r w:rsidR="00CF2E6E">
        <w:t xml:space="preserve"> object as well as gaining a mythical </w:t>
      </w:r>
      <w:r w:rsidR="00FE1AE8">
        <w:t xml:space="preserve">claim to the land. </w:t>
      </w:r>
      <w:r w:rsidR="002F5506">
        <w:t>Overall to conclude there is much evidence in foundation myths of the sacred olive tree gifted to the Athenians by Athena which shows that the olive tree was and arguable still is a very important object for the Greeks.</w:t>
      </w:r>
    </w:p>
    <w:p w14:paraId="7298A2FE" w14:textId="77777777" w:rsidR="00B94155" w:rsidRDefault="00B94155"/>
    <w:p w14:paraId="0B206077" w14:textId="576C58D4" w:rsidR="001F7C9F" w:rsidRPr="00B94155" w:rsidRDefault="00B94155">
      <w:pPr>
        <w:rPr>
          <w:u w:val="single"/>
        </w:rPr>
      </w:pPr>
      <w:r w:rsidRPr="00B94155">
        <w:rPr>
          <w:u w:val="single"/>
        </w:rPr>
        <w:t xml:space="preserve">Bibliography </w:t>
      </w:r>
    </w:p>
    <w:p w14:paraId="24D76146" w14:textId="77777777" w:rsidR="00CC155E" w:rsidRDefault="00CC155E" w:rsidP="00CC155E">
      <w:pPr>
        <w:pBdr>
          <w:top w:val="nil"/>
          <w:left w:val="nil"/>
          <w:bottom w:val="nil"/>
          <w:right w:val="nil"/>
          <w:between w:val="nil"/>
        </w:pBdr>
        <w:spacing w:after="240" w:line="240" w:lineRule="auto"/>
        <w:ind w:left="720" w:hanging="720"/>
        <w:rPr>
          <w:color w:val="000000"/>
        </w:rPr>
      </w:pPr>
      <w:r>
        <w:rPr>
          <w:color w:val="000000"/>
        </w:rPr>
        <w:t xml:space="preserve">Berman, D. W. (2017) Publication Title: Myths on the Map. </w:t>
      </w:r>
      <w:r>
        <w:rPr>
          <w:i/>
          <w:color w:val="000000"/>
        </w:rPr>
        <w:t>Cities-Before-Cities: ‘</w:t>
      </w:r>
      <w:proofErr w:type="spellStart"/>
      <w:r>
        <w:rPr>
          <w:i/>
          <w:color w:val="000000"/>
        </w:rPr>
        <w:t>Prefoundational</w:t>
      </w:r>
      <w:proofErr w:type="spellEnd"/>
      <w:r>
        <w:rPr>
          <w:i/>
          <w:color w:val="000000"/>
        </w:rPr>
        <w:t>’ Myth and the Construction of Greek Civic Space</w:t>
      </w:r>
      <w:r>
        <w:rPr>
          <w:color w:val="000000"/>
        </w:rPr>
        <w:t>. Oxford University Press. [online]. Available from: https://www-oxfordscholarship-com.ezproxy.uwtsd.ac.uk/view/10.1093/oso/9780198744771.001.0001/oso-9780198744771-chapter-3 (Accessed 30 March 2020).</w:t>
      </w:r>
    </w:p>
    <w:p w14:paraId="75BB9264" w14:textId="77777777" w:rsidR="00CC155E" w:rsidRDefault="00CC155E" w:rsidP="00CC155E">
      <w:pPr>
        <w:pBdr>
          <w:top w:val="nil"/>
          <w:left w:val="nil"/>
          <w:bottom w:val="nil"/>
          <w:right w:val="nil"/>
          <w:between w:val="nil"/>
        </w:pBdr>
        <w:spacing w:after="240" w:line="240" w:lineRule="auto"/>
        <w:ind w:left="720" w:hanging="720"/>
        <w:rPr>
          <w:color w:val="000000"/>
        </w:rPr>
      </w:pPr>
      <w:r>
        <w:rPr>
          <w:color w:val="000000"/>
        </w:rPr>
        <w:t xml:space="preserve">Blackwell, W. (2014) </w:t>
      </w:r>
      <w:r>
        <w:rPr>
          <w:i/>
          <w:color w:val="000000"/>
        </w:rPr>
        <w:t>A Companion to Ethnicity in the Ancient Mediterranean</w:t>
      </w:r>
      <w:r>
        <w:rPr>
          <w:color w:val="000000"/>
        </w:rPr>
        <w:t xml:space="preserve"> [online]. Available from: https://www-dawsonera-com.ezproxy.uwtsd.ac.uk/readonline/9781118834138 (Accessed 30 March 2020).</w:t>
      </w:r>
    </w:p>
    <w:p w14:paraId="37EC0FF9" w14:textId="77777777" w:rsidR="00CC155E" w:rsidRDefault="00CC155E" w:rsidP="00CC155E">
      <w:pPr>
        <w:pBdr>
          <w:top w:val="nil"/>
          <w:left w:val="nil"/>
          <w:bottom w:val="nil"/>
          <w:right w:val="nil"/>
          <w:between w:val="nil"/>
        </w:pBdr>
        <w:spacing w:after="240" w:line="240" w:lineRule="auto"/>
        <w:ind w:left="720" w:hanging="720"/>
        <w:rPr>
          <w:color w:val="000000"/>
        </w:rPr>
      </w:pPr>
      <w:r>
        <w:rPr>
          <w:color w:val="000000"/>
        </w:rPr>
        <w:lastRenderedPageBreak/>
        <w:t xml:space="preserve">Foxhall, L. (2007) </w:t>
      </w:r>
      <w:r>
        <w:rPr>
          <w:i/>
          <w:color w:val="000000"/>
        </w:rPr>
        <w:t xml:space="preserve">Olive Cultivation in Ancient </w:t>
      </w:r>
      <w:proofErr w:type="gramStart"/>
      <w:r>
        <w:rPr>
          <w:i/>
          <w:color w:val="000000"/>
        </w:rPr>
        <w:t>Greece :</w:t>
      </w:r>
      <w:proofErr w:type="gramEnd"/>
      <w:r>
        <w:rPr>
          <w:i/>
          <w:color w:val="000000"/>
        </w:rPr>
        <w:t xml:space="preserve"> Seeking the Ancient Economy</w:t>
      </w:r>
      <w:r>
        <w:rPr>
          <w:color w:val="000000"/>
        </w:rPr>
        <w:t>. Oxford: OUP Oxford. [online]. Available from: https://ezproxy.uwtsd.ac.uk/login?url=https://search.ebscohost.com/login.aspx?direct=true&amp;db=nlebk&amp;AN=209658&amp;site=ehost-live (Accessed 27 March 2020).</w:t>
      </w:r>
    </w:p>
    <w:p w14:paraId="762D90DB" w14:textId="77777777" w:rsidR="00CC155E" w:rsidRPr="00AB65A5" w:rsidRDefault="00CC155E" w:rsidP="00CC155E">
      <w:pPr>
        <w:pStyle w:val="Bibliography"/>
      </w:pPr>
      <w:proofErr w:type="spellStart"/>
      <w:r w:rsidRPr="00AB65A5">
        <w:t>Ganter</w:t>
      </w:r>
      <w:proofErr w:type="spellEnd"/>
      <w:r w:rsidRPr="00AB65A5">
        <w:t xml:space="preserve">, A. (2014) ‘Ethnicity and Local Myth’, in </w:t>
      </w:r>
      <w:r w:rsidRPr="00AB65A5">
        <w:rPr>
          <w:i/>
          <w:iCs/>
        </w:rPr>
        <w:t>A Companion to Ethnicity in the Ancient Mediterranean</w:t>
      </w:r>
      <w:r w:rsidRPr="00AB65A5">
        <w:t>. pp. 228–240.</w:t>
      </w:r>
    </w:p>
    <w:p w14:paraId="4D1B13C0" w14:textId="77777777" w:rsidR="00CC155E" w:rsidRPr="00C10A85" w:rsidRDefault="00CC155E" w:rsidP="00CC155E">
      <w:pPr>
        <w:pStyle w:val="Bibliography"/>
      </w:pPr>
      <w:proofErr w:type="spellStart"/>
      <w:r w:rsidRPr="002B2844">
        <w:t>Håland</w:t>
      </w:r>
      <w:proofErr w:type="spellEnd"/>
      <w:r w:rsidRPr="002B2844">
        <w:t xml:space="preserve">, E. J. (2012) The Ritual Year of Athena: The Agricultural Cycle of the Olive, Girls’ Rites of Passage, and Official Ideology. </w:t>
      </w:r>
      <w:r w:rsidRPr="002B2844">
        <w:rPr>
          <w:i/>
          <w:iCs/>
        </w:rPr>
        <w:t>Journal of Religious History</w:t>
      </w:r>
      <w:r w:rsidRPr="002B2844">
        <w:t>. [Online] 36 (2), 256–284.</w:t>
      </w:r>
    </w:p>
    <w:p w14:paraId="22D17FB3" w14:textId="77777777" w:rsidR="00CC155E" w:rsidRPr="00AB65A5" w:rsidRDefault="00CC155E" w:rsidP="00CC155E">
      <w:pPr>
        <w:pStyle w:val="Bibliography"/>
      </w:pPr>
      <w:r w:rsidRPr="00AB65A5">
        <w:t>Roy, J. (2014) ‘</w:t>
      </w:r>
      <w:proofErr w:type="spellStart"/>
      <w:r w:rsidRPr="00AB65A5">
        <w:t>Authochthony</w:t>
      </w:r>
      <w:proofErr w:type="spellEnd"/>
      <w:r w:rsidRPr="00AB65A5">
        <w:t xml:space="preserve"> in Ancient Greece’, in </w:t>
      </w:r>
      <w:r w:rsidRPr="00AB65A5">
        <w:rPr>
          <w:i/>
          <w:iCs/>
        </w:rPr>
        <w:t>A Companion to Ethnicity in the Ancient Mediterranean</w:t>
      </w:r>
      <w:r w:rsidRPr="00AB65A5">
        <w:t>. pp. 241–255.</w:t>
      </w:r>
    </w:p>
    <w:p w14:paraId="5A1CAC6D" w14:textId="77777777" w:rsidR="00CC155E" w:rsidRPr="00840B27" w:rsidRDefault="00CC155E" w:rsidP="00CC155E">
      <w:pPr>
        <w:pStyle w:val="Bibliography"/>
      </w:pPr>
      <w:r w:rsidRPr="00840B27">
        <w:t xml:space="preserve">Shear, J. L. (2003) Prizes from Athens: The List of Panathenaic Prizes and the Sacred Oil. </w:t>
      </w:r>
      <w:proofErr w:type="spellStart"/>
      <w:r w:rsidRPr="00840B27">
        <w:rPr>
          <w:i/>
          <w:iCs/>
        </w:rPr>
        <w:t>Zeitschrift</w:t>
      </w:r>
      <w:proofErr w:type="spellEnd"/>
      <w:r w:rsidRPr="00840B27">
        <w:rPr>
          <w:i/>
          <w:iCs/>
        </w:rPr>
        <w:t xml:space="preserve"> </w:t>
      </w:r>
      <w:proofErr w:type="spellStart"/>
      <w:r w:rsidRPr="00840B27">
        <w:rPr>
          <w:i/>
          <w:iCs/>
        </w:rPr>
        <w:t>für</w:t>
      </w:r>
      <w:proofErr w:type="spellEnd"/>
      <w:r w:rsidRPr="00840B27">
        <w:rPr>
          <w:i/>
          <w:iCs/>
        </w:rPr>
        <w:t xml:space="preserve"> </w:t>
      </w:r>
      <w:proofErr w:type="spellStart"/>
      <w:r w:rsidRPr="00840B27">
        <w:rPr>
          <w:i/>
          <w:iCs/>
        </w:rPr>
        <w:t>Papyrologie</w:t>
      </w:r>
      <w:proofErr w:type="spellEnd"/>
      <w:r w:rsidRPr="00840B27">
        <w:rPr>
          <w:i/>
          <w:iCs/>
        </w:rPr>
        <w:t xml:space="preserve"> und </w:t>
      </w:r>
      <w:proofErr w:type="spellStart"/>
      <w:r w:rsidRPr="00840B27">
        <w:rPr>
          <w:i/>
          <w:iCs/>
        </w:rPr>
        <w:t>Epigraphik</w:t>
      </w:r>
      <w:proofErr w:type="spellEnd"/>
      <w:r w:rsidRPr="00840B27">
        <w:t>. 14287–108.</w:t>
      </w:r>
    </w:p>
    <w:p w14:paraId="432A7D5D" w14:textId="77777777" w:rsidR="001F7C9F" w:rsidRDefault="001F7C9F"/>
    <w:p w14:paraId="264F32C1" w14:textId="17829514" w:rsidR="007E6EA8" w:rsidRDefault="00B94155">
      <w:pPr>
        <w:rPr>
          <w:u w:val="single"/>
        </w:rPr>
      </w:pPr>
      <w:r>
        <w:rPr>
          <w:u w:val="single"/>
        </w:rPr>
        <w:t xml:space="preserve">Ancient </w:t>
      </w:r>
      <w:r w:rsidR="001265E7">
        <w:rPr>
          <w:u w:val="single"/>
        </w:rPr>
        <w:t>works</w:t>
      </w:r>
    </w:p>
    <w:p w14:paraId="3DE983A3" w14:textId="77777777" w:rsidR="00E65348" w:rsidRDefault="00E65348" w:rsidP="00E65348">
      <w:proofErr w:type="spellStart"/>
      <w:r>
        <w:t>Apollodorus</w:t>
      </w:r>
      <w:proofErr w:type="spellEnd"/>
      <w:r>
        <w:t xml:space="preserve"> 3.14</w:t>
      </w:r>
    </w:p>
    <w:p w14:paraId="78A67A43" w14:textId="77777777" w:rsidR="00E65348" w:rsidRDefault="00E65348" w:rsidP="00E65348">
      <w:r>
        <w:t>Herodotus. 8.55</w:t>
      </w:r>
    </w:p>
    <w:p w14:paraId="079DCCB4" w14:textId="25AD5F2B" w:rsidR="001265E7" w:rsidRDefault="00E65348" w:rsidP="00E65348">
      <w:r>
        <w:t xml:space="preserve">Plutarch. </w:t>
      </w:r>
      <w:r w:rsidRPr="00E65348">
        <w:rPr>
          <w:i/>
          <w:iCs/>
        </w:rPr>
        <w:t>Them</w:t>
      </w:r>
      <w:r>
        <w:t>. 19.3</w:t>
      </w:r>
    </w:p>
    <w:p w14:paraId="571A87BD" w14:textId="618197D7" w:rsidR="00A05F8E" w:rsidRDefault="00A05F8E" w:rsidP="00E65348">
      <w:pPr>
        <w:rPr>
          <w:u w:val="single"/>
        </w:rPr>
      </w:pPr>
    </w:p>
    <w:p w14:paraId="401DD3B8" w14:textId="75886BC3" w:rsidR="00A05F8E" w:rsidRPr="00A05F8E" w:rsidRDefault="00A05F8E" w:rsidP="00E65348">
      <w:pPr>
        <w:rPr>
          <w:u w:val="single"/>
        </w:rPr>
      </w:pPr>
      <w:r>
        <w:rPr>
          <w:u w:val="single"/>
        </w:rPr>
        <w:t xml:space="preserve">Figure 1 </w:t>
      </w:r>
      <w:r w:rsidR="00CD536D">
        <w:rPr>
          <w:u w:val="single"/>
        </w:rPr>
        <w:t xml:space="preserve">full </w:t>
      </w:r>
      <w:r>
        <w:rPr>
          <w:u w:val="single"/>
        </w:rPr>
        <w:t xml:space="preserve">reference </w:t>
      </w:r>
    </w:p>
    <w:p w14:paraId="447D2DAC" w14:textId="094CECF9" w:rsidR="00365C40" w:rsidRPr="00365C40" w:rsidRDefault="00365C40" w:rsidP="00365C40">
      <w:pPr>
        <w:pStyle w:val="Bibliography"/>
      </w:pPr>
      <w:proofErr w:type="spellStart"/>
      <w:r w:rsidRPr="00365C40">
        <w:t>Efthimiadis</w:t>
      </w:r>
      <w:proofErr w:type="spellEnd"/>
      <w:r w:rsidRPr="00365C40">
        <w:t xml:space="preserve">, T. (2014) </w:t>
      </w:r>
      <w:r w:rsidRPr="00365C40">
        <w:rPr>
          <w:i/>
          <w:iCs/>
        </w:rPr>
        <w:t xml:space="preserve">West Pediment of the Parthenon (Reconstruction) (Illustration) - Ancient History </w:t>
      </w:r>
      <w:proofErr w:type="spellStart"/>
      <w:r w:rsidRPr="00365C40">
        <w:rPr>
          <w:i/>
          <w:iCs/>
        </w:rPr>
        <w:t>Encyclopedia</w:t>
      </w:r>
      <w:proofErr w:type="spellEnd"/>
      <w:r w:rsidRPr="00365C40">
        <w:t xml:space="preserve"> [online]. Available from: https://www.ancient.eu/image/3302/west-pediment-of-the-parthenon-reconstruction/ (Accessed 28 April 2020).</w:t>
      </w:r>
    </w:p>
    <w:p w14:paraId="264F32D3" w14:textId="3EF99EC6" w:rsidR="007E6EA8" w:rsidRDefault="007E6EA8"/>
    <w:sectPr w:rsidR="007E6EA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75B4F0" w14:textId="77777777" w:rsidR="00003E8A" w:rsidRDefault="00003E8A">
      <w:pPr>
        <w:spacing w:after="0" w:line="240" w:lineRule="auto"/>
      </w:pPr>
      <w:r>
        <w:separator/>
      </w:r>
    </w:p>
  </w:endnote>
  <w:endnote w:type="continuationSeparator" w:id="0">
    <w:p w14:paraId="2C067236" w14:textId="77777777" w:rsidR="00003E8A" w:rsidRDefault="00003E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C1E55" w14:textId="77777777" w:rsidR="00003E8A" w:rsidRDefault="00003E8A">
      <w:pPr>
        <w:spacing w:after="0" w:line="240" w:lineRule="auto"/>
      </w:pPr>
      <w:r>
        <w:separator/>
      </w:r>
    </w:p>
  </w:footnote>
  <w:footnote w:type="continuationSeparator" w:id="0">
    <w:p w14:paraId="749E338C" w14:textId="77777777" w:rsidR="00003E8A" w:rsidRDefault="00003E8A">
      <w:pPr>
        <w:spacing w:after="0" w:line="240" w:lineRule="auto"/>
      </w:pPr>
      <w:r>
        <w:continuationSeparator/>
      </w:r>
    </w:p>
  </w:footnote>
  <w:footnote w:id="1">
    <w:p w14:paraId="264F32D4" w14:textId="77777777" w:rsidR="007E6EA8" w:rsidRDefault="00003E8A">
      <w:pPr>
        <w:spacing w:after="0" w:line="240" w:lineRule="auto"/>
        <w:rPr>
          <w:sz w:val="20"/>
          <w:szCs w:val="20"/>
        </w:rPr>
      </w:pPr>
      <w:r>
        <w:rPr>
          <w:vertAlign w:val="superscript"/>
        </w:rPr>
        <w:footnoteRef/>
      </w:r>
      <w:r>
        <w:rPr>
          <w:sz w:val="20"/>
          <w:szCs w:val="20"/>
        </w:rPr>
        <w:t xml:space="preserve"> </w:t>
      </w:r>
      <w:proofErr w:type="gramStart"/>
      <w:r>
        <w:rPr>
          <w:sz w:val="20"/>
          <w:szCs w:val="20"/>
        </w:rPr>
        <w:t>Berman,D.W.</w:t>
      </w:r>
      <w:proofErr w:type="gramEnd"/>
      <w:r>
        <w:rPr>
          <w:sz w:val="20"/>
          <w:szCs w:val="20"/>
        </w:rPr>
        <w:t xml:space="preserve"> 2017. In the Abstract. </w:t>
      </w:r>
    </w:p>
  </w:footnote>
  <w:footnote w:id="2">
    <w:p w14:paraId="4330A0F1" w14:textId="775418FE" w:rsidR="008D1DBE" w:rsidRDefault="008D1DBE">
      <w:pPr>
        <w:pStyle w:val="FootnoteText"/>
      </w:pPr>
      <w:r>
        <w:rPr>
          <w:rStyle w:val="FootnoteReference"/>
        </w:rPr>
        <w:footnoteRef/>
      </w:r>
      <w:r>
        <w:t xml:space="preserve"> </w:t>
      </w:r>
      <w:r>
        <w:t xml:space="preserve">Berman, </w:t>
      </w:r>
      <w:proofErr w:type="spellStart"/>
      <w:r>
        <w:t>Daniel.W</w:t>
      </w:r>
      <w:proofErr w:type="spellEnd"/>
      <w:r>
        <w:t>. 2017.</w:t>
      </w:r>
    </w:p>
  </w:footnote>
  <w:footnote w:id="3">
    <w:p w14:paraId="700C0775" w14:textId="34C1AC64" w:rsidR="00EB3144" w:rsidRDefault="00EB3144">
      <w:pPr>
        <w:pStyle w:val="FootnoteText"/>
      </w:pPr>
      <w:r>
        <w:rPr>
          <w:rStyle w:val="FootnoteReference"/>
        </w:rPr>
        <w:footnoteRef/>
      </w:r>
      <w:r>
        <w:t xml:space="preserve"> Herodotus. 8.55</w:t>
      </w:r>
    </w:p>
  </w:footnote>
  <w:footnote w:id="4">
    <w:p w14:paraId="7D328F82" w14:textId="54D1D1F2" w:rsidR="009C6549" w:rsidRDefault="009C6549">
      <w:pPr>
        <w:pStyle w:val="FootnoteText"/>
      </w:pPr>
      <w:r>
        <w:rPr>
          <w:rStyle w:val="FootnoteReference"/>
        </w:rPr>
        <w:footnoteRef/>
      </w:r>
      <w:r>
        <w:t xml:space="preserve"> </w:t>
      </w:r>
      <w:proofErr w:type="spellStart"/>
      <w:r w:rsidRPr="009C6549">
        <w:t>Apollodorus</w:t>
      </w:r>
      <w:proofErr w:type="spellEnd"/>
      <w:r w:rsidRPr="009C6549">
        <w:t xml:space="preserve"> 3.14</w:t>
      </w:r>
    </w:p>
  </w:footnote>
  <w:footnote w:id="5">
    <w:p w14:paraId="239C65B9" w14:textId="0FCB9689" w:rsidR="006C7BCC" w:rsidRDefault="006C7BCC">
      <w:pPr>
        <w:pStyle w:val="FootnoteText"/>
      </w:pPr>
      <w:r>
        <w:rPr>
          <w:rStyle w:val="FootnoteReference"/>
        </w:rPr>
        <w:footnoteRef/>
      </w:r>
      <w:r>
        <w:t xml:space="preserve"> </w:t>
      </w:r>
      <w:r w:rsidRPr="006C7BCC">
        <w:t>Plutarch. Them. 19.3</w:t>
      </w:r>
    </w:p>
  </w:footnote>
  <w:footnote w:id="6">
    <w:p w14:paraId="7E3D605E" w14:textId="247D3096" w:rsidR="00595EBF" w:rsidRDefault="00595EBF">
      <w:pPr>
        <w:pStyle w:val="FootnoteText"/>
      </w:pPr>
      <w:r>
        <w:rPr>
          <w:rStyle w:val="FootnoteReference"/>
        </w:rPr>
        <w:footnoteRef/>
      </w:r>
      <w:r>
        <w:t xml:space="preserve"> </w:t>
      </w:r>
      <w:r w:rsidR="00EA6F46" w:rsidRPr="00EA6F46">
        <w:t xml:space="preserve">Berman, </w:t>
      </w:r>
      <w:proofErr w:type="spellStart"/>
      <w:r w:rsidR="00EA6F46" w:rsidRPr="00EA6F46">
        <w:t>Daniel.W</w:t>
      </w:r>
      <w:proofErr w:type="spellEnd"/>
      <w:r w:rsidR="00EA6F46" w:rsidRPr="00EA6F46">
        <w:t>. 2017.</w:t>
      </w:r>
    </w:p>
  </w:footnote>
  <w:footnote w:id="7">
    <w:p w14:paraId="34BA5FE2" w14:textId="10E18F9F" w:rsidR="004635E9" w:rsidRDefault="004635E9">
      <w:pPr>
        <w:pStyle w:val="FootnoteText"/>
      </w:pPr>
      <w:r>
        <w:rPr>
          <w:rStyle w:val="FootnoteReference"/>
        </w:rPr>
        <w:footnoteRef/>
      </w:r>
      <w:r>
        <w:t xml:space="preserve"> </w:t>
      </w:r>
      <w:r w:rsidR="005C67DD">
        <w:t>Blackwell</w:t>
      </w:r>
      <w:r w:rsidR="003D62A0">
        <w:t>, W. 2014.</w:t>
      </w:r>
    </w:p>
  </w:footnote>
  <w:footnote w:id="8">
    <w:p w14:paraId="56D9CB8C" w14:textId="77777777" w:rsidR="00D45E55" w:rsidRDefault="00D45E55" w:rsidP="00D45E55">
      <w:pPr>
        <w:pStyle w:val="FootnoteText"/>
      </w:pPr>
      <w:r>
        <w:rPr>
          <w:rStyle w:val="FootnoteReference"/>
        </w:rPr>
        <w:footnoteRef/>
      </w:r>
      <w:r>
        <w:t xml:space="preserve"> </w:t>
      </w:r>
      <w:proofErr w:type="spellStart"/>
      <w:r>
        <w:t>Ganter</w:t>
      </w:r>
      <w:proofErr w:type="spellEnd"/>
      <w:r>
        <w:t>, Angela. 2014. P228.</w:t>
      </w:r>
    </w:p>
  </w:footnote>
  <w:footnote w:id="9">
    <w:p w14:paraId="3C1A4BA0" w14:textId="77777777" w:rsidR="00E12833" w:rsidRDefault="00E12833" w:rsidP="00E12833">
      <w:pPr>
        <w:pStyle w:val="FootnoteText"/>
      </w:pPr>
      <w:r>
        <w:rPr>
          <w:rStyle w:val="FootnoteReference"/>
        </w:rPr>
        <w:footnoteRef/>
      </w:r>
      <w:r>
        <w:t xml:space="preserve"> </w:t>
      </w:r>
      <w:proofErr w:type="spellStart"/>
      <w:r>
        <w:t>Ganter</w:t>
      </w:r>
      <w:proofErr w:type="spellEnd"/>
      <w:r>
        <w:t>, Angela. 2014. P228.</w:t>
      </w:r>
    </w:p>
  </w:footnote>
  <w:footnote w:id="10">
    <w:p w14:paraId="58ED3444" w14:textId="77777777" w:rsidR="002D33F0" w:rsidRDefault="002D33F0" w:rsidP="002D33F0">
      <w:pPr>
        <w:pStyle w:val="FootnoteText"/>
      </w:pPr>
      <w:r>
        <w:rPr>
          <w:rStyle w:val="FootnoteReference"/>
        </w:rPr>
        <w:footnoteRef/>
      </w:r>
      <w:r>
        <w:t xml:space="preserve"> James, Roy. 2014. P241.</w:t>
      </w:r>
    </w:p>
  </w:footnote>
  <w:footnote w:id="11">
    <w:p w14:paraId="2134A927" w14:textId="77777777" w:rsidR="002D33F0" w:rsidRDefault="002D33F0" w:rsidP="002D33F0">
      <w:pPr>
        <w:pStyle w:val="FootnoteText"/>
      </w:pPr>
      <w:r>
        <w:rPr>
          <w:rStyle w:val="FootnoteReference"/>
        </w:rPr>
        <w:footnoteRef/>
      </w:r>
      <w:r>
        <w:t xml:space="preserve"> </w:t>
      </w:r>
      <w:proofErr w:type="spellStart"/>
      <w:r>
        <w:t>Ganter</w:t>
      </w:r>
      <w:proofErr w:type="spellEnd"/>
      <w:r>
        <w:t>, Angela. 2014. P228.</w:t>
      </w:r>
    </w:p>
  </w:footnote>
  <w:footnote w:id="12">
    <w:p w14:paraId="74EBDA73" w14:textId="77777777" w:rsidR="00445C99" w:rsidRDefault="00445C99" w:rsidP="00445C99">
      <w:pPr>
        <w:pStyle w:val="FootnoteText"/>
      </w:pPr>
      <w:r>
        <w:rPr>
          <w:rStyle w:val="FootnoteReference"/>
        </w:rPr>
        <w:footnoteRef/>
      </w:r>
      <w:r>
        <w:t xml:space="preserve"> </w:t>
      </w:r>
      <w:bookmarkStart w:id="2" w:name="_Hlk38982211"/>
      <w:r>
        <w:t>James, Roy. 2014. P241</w:t>
      </w:r>
      <w:bookmarkEnd w:id="2"/>
      <w:r>
        <w:t>.</w:t>
      </w:r>
    </w:p>
  </w:footnote>
  <w:footnote w:id="13">
    <w:p w14:paraId="05D2B3FE" w14:textId="573FB644" w:rsidR="00ED399D" w:rsidRDefault="00ED399D">
      <w:pPr>
        <w:pStyle w:val="FootnoteText"/>
      </w:pPr>
      <w:r>
        <w:rPr>
          <w:rStyle w:val="FootnoteReference"/>
        </w:rPr>
        <w:footnoteRef/>
      </w:r>
      <w:r>
        <w:t xml:space="preserve"> </w:t>
      </w:r>
      <w:r w:rsidR="003D725C">
        <w:t xml:space="preserve">Berman, </w:t>
      </w:r>
      <w:proofErr w:type="spellStart"/>
      <w:r w:rsidR="003D725C">
        <w:t>Daniel.</w:t>
      </w:r>
      <w:r w:rsidR="007B68CA">
        <w:t>W</w:t>
      </w:r>
      <w:proofErr w:type="spellEnd"/>
      <w:r w:rsidR="007B68CA">
        <w:t>.</w:t>
      </w:r>
      <w:r w:rsidR="00F810A8">
        <w:t xml:space="preserve"> 2017. </w:t>
      </w:r>
    </w:p>
  </w:footnote>
  <w:footnote w:id="14">
    <w:p w14:paraId="264F32D5" w14:textId="044D4136" w:rsidR="007E6EA8" w:rsidRDefault="00003E8A">
      <w:pPr>
        <w:spacing w:after="0" w:line="240" w:lineRule="auto"/>
        <w:rPr>
          <w:sz w:val="20"/>
          <w:szCs w:val="20"/>
        </w:rPr>
      </w:pPr>
      <w:r>
        <w:rPr>
          <w:vertAlign w:val="superscript"/>
        </w:rPr>
        <w:footnoteRef/>
      </w:r>
      <w:r>
        <w:rPr>
          <w:sz w:val="20"/>
          <w:szCs w:val="20"/>
        </w:rPr>
        <w:t xml:space="preserve"> Berman,</w:t>
      </w:r>
      <w:r w:rsidR="003D725C">
        <w:rPr>
          <w:sz w:val="20"/>
          <w:szCs w:val="20"/>
        </w:rPr>
        <w:t xml:space="preserve"> </w:t>
      </w:r>
      <w:proofErr w:type="spellStart"/>
      <w:r>
        <w:rPr>
          <w:sz w:val="20"/>
          <w:szCs w:val="20"/>
        </w:rPr>
        <w:t>D</w:t>
      </w:r>
      <w:r w:rsidR="003D725C">
        <w:rPr>
          <w:sz w:val="20"/>
          <w:szCs w:val="20"/>
        </w:rPr>
        <w:t>aniel</w:t>
      </w:r>
      <w:r>
        <w:rPr>
          <w:sz w:val="20"/>
          <w:szCs w:val="20"/>
        </w:rPr>
        <w:t>.W</w:t>
      </w:r>
      <w:proofErr w:type="spellEnd"/>
      <w:r>
        <w:rPr>
          <w:sz w:val="20"/>
          <w:szCs w:val="20"/>
        </w:rPr>
        <w:t>. 2017. The Contest of Athens section.</w:t>
      </w:r>
    </w:p>
  </w:footnote>
  <w:footnote w:id="15">
    <w:p w14:paraId="264F32D6" w14:textId="41F09743" w:rsidR="007E6EA8" w:rsidRDefault="00003E8A">
      <w:pPr>
        <w:spacing w:after="0" w:line="240" w:lineRule="auto"/>
        <w:rPr>
          <w:sz w:val="20"/>
          <w:szCs w:val="20"/>
        </w:rPr>
      </w:pPr>
      <w:r>
        <w:rPr>
          <w:vertAlign w:val="superscript"/>
        </w:rPr>
        <w:footnoteRef/>
      </w:r>
      <w:r>
        <w:rPr>
          <w:sz w:val="20"/>
          <w:szCs w:val="20"/>
        </w:rPr>
        <w:t xml:space="preserve"> </w:t>
      </w:r>
      <w:bookmarkStart w:id="3" w:name="_Hlk38982617"/>
      <w:r>
        <w:rPr>
          <w:sz w:val="20"/>
          <w:szCs w:val="20"/>
        </w:rPr>
        <w:t>Berman,</w:t>
      </w:r>
      <w:r w:rsidR="004F6957">
        <w:rPr>
          <w:sz w:val="20"/>
          <w:szCs w:val="20"/>
        </w:rPr>
        <w:t xml:space="preserve"> </w:t>
      </w:r>
      <w:proofErr w:type="spellStart"/>
      <w:r>
        <w:rPr>
          <w:sz w:val="20"/>
          <w:szCs w:val="20"/>
        </w:rPr>
        <w:t>D</w:t>
      </w:r>
      <w:r w:rsidR="004F6957">
        <w:rPr>
          <w:sz w:val="20"/>
          <w:szCs w:val="20"/>
        </w:rPr>
        <w:t>aniel</w:t>
      </w:r>
      <w:r>
        <w:rPr>
          <w:sz w:val="20"/>
          <w:szCs w:val="20"/>
        </w:rPr>
        <w:t>.W</w:t>
      </w:r>
      <w:proofErr w:type="spellEnd"/>
      <w:r>
        <w:rPr>
          <w:sz w:val="20"/>
          <w:szCs w:val="20"/>
        </w:rPr>
        <w:t>. 2017. The Contest of Athens section.</w:t>
      </w:r>
    </w:p>
    <w:bookmarkEnd w:id="3"/>
  </w:footnote>
  <w:footnote w:id="16">
    <w:p w14:paraId="264F32D7" w14:textId="41A3B431" w:rsidR="007E6EA8" w:rsidRDefault="00003E8A">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Berman,</w:t>
      </w:r>
      <w:r w:rsidR="00C9633F">
        <w:rPr>
          <w:color w:val="000000"/>
          <w:sz w:val="20"/>
          <w:szCs w:val="20"/>
        </w:rPr>
        <w:t xml:space="preserve"> </w:t>
      </w:r>
      <w:proofErr w:type="spellStart"/>
      <w:r>
        <w:rPr>
          <w:color w:val="000000"/>
          <w:sz w:val="20"/>
          <w:szCs w:val="20"/>
        </w:rPr>
        <w:t>D</w:t>
      </w:r>
      <w:r w:rsidR="00C9633F">
        <w:rPr>
          <w:color w:val="000000"/>
          <w:sz w:val="20"/>
          <w:szCs w:val="20"/>
        </w:rPr>
        <w:t>aniel</w:t>
      </w:r>
      <w:r>
        <w:rPr>
          <w:color w:val="000000"/>
          <w:sz w:val="20"/>
          <w:szCs w:val="20"/>
        </w:rPr>
        <w:t>.W</w:t>
      </w:r>
      <w:proofErr w:type="spellEnd"/>
      <w:r>
        <w:rPr>
          <w:color w:val="000000"/>
          <w:sz w:val="20"/>
          <w:szCs w:val="20"/>
        </w:rPr>
        <w:t xml:space="preserve">. 2017. In the abstract. </w:t>
      </w:r>
    </w:p>
  </w:footnote>
  <w:footnote w:id="17">
    <w:p w14:paraId="5B86A4E8" w14:textId="752B216C" w:rsidR="00A217BF" w:rsidRPr="00C9633F" w:rsidRDefault="00A217BF" w:rsidP="00C9633F">
      <w:pPr>
        <w:spacing w:after="0" w:line="240" w:lineRule="auto"/>
        <w:rPr>
          <w:sz w:val="20"/>
          <w:szCs w:val="20"/>
        </w:rPr>
      </w:pPr>
      <w:r>
        <w:rPr>
          <w:rStyle w:val="FootnoteReference"/>
        </w:rPr>
        <w:footnoteRef/>
      </w:r>
      <w:r>
        <w:t xml:space="preserve"> </w:t>
      </w:r>
      <w:r w:rsidR="00C9633F">
        <w:rPr>
          <w:sz w:val="20"/>
          <w:szCs w:val="20"/>
        </w:rPr>
        <w:t xml:space="preserve">Berman, </w:t>
      </w:r>
      <w:proofErr w:type="spellStart"/>
      <w:r w:rsidR="00C9633F">
        <w:rPr>
          <w:sz w:val="20"/>
          <w:szCs w:val="20"/>
        </w:rPr>
        <w:t>Daniel.W</w:t>
      </w:r>
      <w:proofErr w:type="spellEnd"/>
      <w:r w:rsidR="00C9633F">
        <w:rPr>
          <w:sz w:val="20"/>
          <w:szCs w:val="20"/>
        </w:rPr>
        <w:t>. 2017. The Contest of Athens section.</w:t>
      </w:r>
    </w:p>
  </w:footnote>
  <w:footnote w:id="18">
    <w:p w14:paraId="633E1C99" w14:textId="216C472F" w:rsidR="0052236D" w:rsidRDefault="0052236D">
      <w:pPr>
        <w:pStyle w:val="FootnoteText"/>
      </w:pPr>
      <w:r>
        <w:rPr>
          <w:rStyle w:val="FootnoteReference"/>
        </w:rPr>
        <w:footnoteRef/>
      </w:r>
      <w:r>
        <w:t xml:space="preserve"> </w:t>
      </w:r>
      <w:proofErr w:type="spellStart"/>
      <w:r w:rsidR="00930590">
        <w:t>Haland</w:t>
      </w:r>
      <w:proofErr w:type="spellEnd"/>
      <w:r w:rsidR="00930590">
        <w:t>, Evy Johanne. 2012.</w:t>
      </w:r>
    </w:p>
  </w:footnote>
  <w:footnote w:id="19">
    <w:p w14:paraId="264F32D8" w14:textId="77777777" w:rsidR="007E6EA8" w:rsidRDefault="00003E8A">
      <w:pPr>
        <w:spacing w:after="0" w:line="240" w:lineRule="auto"/>
        <w:rPr>
          <w:sz w:val="20"/>
          <w:szCs w:val="20"/>
        </w:rPr>
      </w:pPr>
      <w:r>
        <w:rPr>
          <w:vertAlign w:val="superscript"/>
        </w:rPr>
        <w:footnoteRef/>
      </w:r>
      <w:r>
        <w:rPr>
          <w:sz w:val="20"/>
          <w:szCs w:val="20"/>
        </w:rPr>
        <w:t xml:space="preserve"> </w:t>
      </w:r>
      <w:bookmarkStart w:id="4" w:name="_Hlk39003554"/>
      <w:r>
        <w:rPr>
          <w:sz w:val="20"/>
          <w:szCs w:val="20"/>
        </w:rPr>
        <w:t>Foxhall, Lin. 2007. P1</w:t>
      </w:r>
      <w:bookmarkEnd w:id="4"/>
    </w:p>
  </w:footnote>
  <w:footnote w:id="20">
    <w:p w14:paraId="5EDE9EEA" w14:textId="1094341A" w:rsidR="007D342A" w:rsidRDefault="007D342A">
      <w:pPr>
        <w:pStyle w:val="FootnoteText"/>
      </w:pPr>
      <w:r>
        <w:rPr>
          <w:rStyle w:val="FootnoteReference"/>
        </w:rPr>
        <w:footnoteRef/>
      </w:r>
      <w:r>
        <w:t xml:space="preserve"> </w:t>
      </w:r>
      <w:r w:rsidRPr="007D342A">
        <w:t>Foxhall, Lin. 2007. P1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3F222B"/>
    <w:multiLevelType w:val="multilevel"/>
    <w:tmpl w:val="FE60731E"/>
    <w:lvl w:ilvl="0">
      <w:start w:val="2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C50D9F"/>
    <w:multiLevelType w:val="multilevel"/>
    <w:tmpl w:val="85FA26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5D185C"/>
    <w:multiLevelType w:val="multilevel"/>
    <w:tmpl w:val="627EE1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7513BBB"/>
    <w:multiLevelType w:val="multilevel"/>
    <w:tmpl w:val="4DEA7B86"/>
    <w:lvl w:ilvl="0">
      <w:start w:val="23"/>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FE83AAD"/>
    <w:multiLevelType w:val="multilevel"/>
    <w:tmpl w:val="666A6B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83956B6"/>
    <w:multiLevelType w:val="multilevel"/>
    <w:tmpl w:val="86BEB14C"/>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0"/>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EA8"/>
    <w:rsid w:val="00001106"/>
    <w:rsid w:val="00003E8A"/>
    <w:rsid w:val="000049EF"/>
    <w:rsid w:val="00017CA2"/>
    <w:rsid w:val="00035509"/>
    <w:rsid w:val="00077BE1"/>
    <w:rsid w:val="0008516D"/>
    <w:rsid w:val="0009424B"/>
    <w:rsid w:val="00095B48"/>
    <w:rsid w:val="000B0FAD"/>
    <w:rsid w:val="000B3111"/>
    <w:rsid w:val="000B672C"/>
    <w:rsid w:val="000D2661"/>
    <w:rsid w:val="000D59DA"/>
    <w:rsid w:val="000E59FF"/>
    <w:rsid w:val="000F094C"/>
    <w:rsid w:val="001010E7"/>
    <w:rsid w:val="00102597"/>
    <w:rsid w:val="0010616A"/>
    <w:rsid w:val="001079B2"/>
    <w:rsid w:val="00113717"/>
    <w:rsid w:val="001265E7"/>
    <w:rsid w:val="0013109C"/>
    <w:rsid w:val="00133602"/>
    <w:rsid w:val="00151F6D"/>
    <w:rsid w:val="00152DE8"/>
    <w:rsid w:val="001579AD"/>
    <w:rsid w:val="00162B10"/>
    <w:rsid w:val="00166340"/>
    <w:rsid w:val="0017257E"/>
    <w:rsid w:val="00180B10"/>
    <w:rsid w:val="00187900"/>
    <w:rsid w:val="001A0F1B"/>
    <w:rsid w:val="001A3BCB"/>
    <w:rsid w:val="001C2453"/>
    <w:rsid w:val="001C2EC3"/>
    <w:rsid w:val="001E10E2"/>
    <w:rsid w:val="001E2AE3"/>
    <w:rsid w:val="001E5319"/>
    <w:rsid w:val="001F29C9"/>
    <w:rsid w:val="001F603D"/>
    <w:rsid w:val="001F7C9F"/>
    <w:rsid w:val="002012EF"/>
    <w:rsid w:val="0021500B"/>
    <w:rsid w:val="002205E5"/>
    <w:rsid w:val="00225BA6"/>
    <w:rsid w:val="00225FB4"/>
    <w:rsid w:val="0025653E"/>
    <w:rsid w:val="00260DA3"/>
    <w:rsid w:val="002853E1"/>
    <w:rsid w:val="00293795"/>
    <w:rsid w:val="002A29E5"/>
    <w:rsid w:val="002A532B"/>
    <w:rsid w:val="002B3EDD"/>
    <w:rsid w:val="002B6134"/>
    <w:rsid w:val="002C7E6C"/>
    <w:rsid w:val="002D33F0"/>
    <w:rsid w:val="002D4E69"/>
    <w:rsid w:val="002D6CA3"/>
    <w:rsid w:val="002F5506"/>
    <w:rsid w:val="003107AC"/>
    <w:rsid w:val="00315338"/>
    <w:rsid w:val="00316963"/>
    <w:rsid w:val="003240CD"/>
    <w:rsid w:val="0033057C"/>
    <w:rsid w:val="00342050"/>
    <w:rsid w:val="0036215B"/>
    <w:rsid w:val="00365406"/>
    <w:rsid w:val="00365C40"/>
    <w:rsid w:val="00373356"/>
    <w:rsid w:val="003877A8"/>
    <w:rsid w:val="003A0204"/>
    <w:rsid w:val="003A46A9"/>
    <w:rsid w:val="003C0352"/>
    <w:rsid w:val="003C3F4D"/>
    <w:rsid w:val="003D62A0"/>
    <w:rsid w:val="003D725C"/>
    <w:rsid w:val="003E217F"/>
    <w:rsid w:val="003F3D32"/>
    <w:rsid w:val="00402A0E"/>
    <w:rsid w:val="00416D36"/>
    <w:rsid w:val="00445C99"/>
    <w:rsid w:val="004471D8"/>
    <w:rsid w:val="004635E9"/>
    <w:rsid w:val="00496EF2"/>
    <w:rsid w:val="004A042E"/>
    <w:rsid w:val="004A3412"/>
    <w:rsid w:val="004A3589"/>
    <w:rsid w:val="004A756D"/>
    <w:rsid w:val="004F4625"/>
    <w:rsid w:val="004F6957"/>
    <w:rsid w:val="00505DC2"/>
    <w:rsid w:val="0052236D"/>
    <w:rsid w:val="005463E5"/>
    <w:rsid w:val="005527C7"/>
    <w:rsid w:val="005626A3"/>
    <w:rsid w:val="00563B16"/>
    <w:rsid w:val="0059179C"/>
    <w:rsid w:val="00595EBF"/>
    <w:rsid w:val="00597AC0"/>
    <w:rsid w:val="005B34F7"/>
    <w:rsid w:val="005C0A72"/>
    <w:rsid w:val="005C58CA"/>
    <w:rsid w:val="005C67DD"/>
    <w:rsid w:val="005D0BA1"/>
    <w:rsid w:val="005E57D8"/>
    <w:rsid w:val="005E5C45"/>
    <w:rsid w:val="0063023F"/>
    <w:rsid w:val="00653F0A"/>
    <w:rsid w:val="0068110F"/>
    <w:rsid w:val="006820FB"/>
    <w:rsid w:val="006A01DF"/>
    <w:rsid w:val="006B4CC1"/>
    <w:rsid w:val="006B5EC8"/>
    <w:rsid w:val="006C5A13"/>
    <w:rsid w:val="006C603E"/>
    <w:rsid w:val="006C7BCC"/>
    <w:rsid w:val="006E5484"/>
    <w:rsid w:val="006F7AC7"/>
    <w:rsid w:val="00706550"/>
    <w:rsid w:val="0071107F"/>
    <w:rsid w:val="00720CAD"/>
    <w:rsid w:val="0072593E"/>
    <w:rsid w:val="0073240F"/>
    <w:rsid w:val="0073789D"/>
    <w:rsid w:val="00743273"/>
    <w:rsid w:val="0075643C"/>
    <w:rsid w:val="0076342B"/>
    <w:rsid w:val="00764390"/>
    <w:rsid w:val="00770461"/>
    <w:rsid w:val="00775B94"/>
    <w:rsid w:val="007A249D"/>
    <w:rsid w:val="007A4E61"/>
    <w:rsid w:val="007A5909"/>
    <w:rsid w:val="007B68CA"/>
    <w:rsid w:val="007C0423"/>
    <w:rsid w:val="007C459C"/>
    <w:rsid w:val="007D342A"/>
    <w:rsid w:val="007D4B0C"/>
    <w:rsid w:val="007E6A72"/>
    <w:rsid w:val="007E6EA8"/>
    <w:rsid w:val="007F2B5A"/>
    <w:rsid w:val="008054DF"/>
    <w:rsid w:val="008118FF"/>
    <w:rsid w:val="008168EF"/>
    <w:rsid w:val="008375A5"/>
    <w:rsid w:val="008553F1"/>
    <w:rsid w:val="00866440"/>
    <w:rsid w:val="00876D15"/>
    <w:rsid w:val="008D1DBE"/>
    <w:rsid w:val="008D653A"/>
    <w:rsid w:val="008E7946"/>
    <w:rsid w:val="00901D8C"/>
    <w:rsid w:val="00904D1A"/>
    <w:rsid w:val="00911498"/>
    <w:rsid w:val="00921A7E"/>
    <w:rsid w:val="0092262D"/>
    <w:rsid w:val="009248FC"/>
    <w:rsid w:val="0092757C"/>
    <w:rsid w:val="00930590"/>
    <w:rsid w:val="00947775"/>
    <w:rsid w:val="00952447"/>
    <w:rsid w:val="00974E6F"/>
    <w:rsid w:val="00974FB8"/>
    <w:rsid w:val="00981399"/>
    <w:rsid w:val="009A67EA"/>
    <w:rsid w:val="009B2BCD"/>
    <w:rsid w:val="009B7F80"/>
    <w:rsid w:val="009C24E5"/>
    <w:rsid w:val="009C6549"/>
    <w:rsid w:val="009D6AD3"/>
    <w:rsid w:val="009E0412"/>
    <w:rsid w:val="009E14DD"/>
    <w:rsid w:val="00A019CA"/>
    <w:rsid w:val="00A05F8E"/>
    <w:rsid w:val="00A217BF"/>
    <w:rsid w:val="00A2487C"/>
    <w:rsid w:val="00A30A27"/>
    <w:rsid w:val="00A37D27"/>
    <w:rsid w:val="00A44E4E"/>
    <w:rsid w:val="00A5794D"/>
    <w:rsid w:val="00A65146"/>
    <w:rsid w:val="00A75F8D"/>
    <w:rsid w:val="00A83673"/>
    <w:rsid w:val="00A97AE8"/>
    <w:rsid w:val="00A97FEE"/>
    <w:rsid w:val="00AA7586"/>
    <w:rsid w:val="00AB37C4"/>
    <w:rsid w:val="00AC292D"/>
    <w:rsid w:val="00AC6D97"/>
    <w:rsid w:val="00AF01B1"/>
    <w:rsid w:val="00AF3F80"/>
    <w:rsid w:val="00B2555B"/>
    <w:rsid w:val="00B30DEB"/>
    <w:rsid w:val="00B33B83"/>
    <w:rsid w:val="00B36B61"/>
    <w:rsid w:val="00B522A2"/>
    <w:rsid w:val="00B614EE"/>
    <w:rsid w:val="00B7552B"/>
    <w:rsid w:val="00B81775"/>
    <w:rsid w:val="00B86730"/>
    <w:rsid w:val="00B9001E"/>
    <w:rsid w:val="00B935D5"/>
    <w:rsid w:val="00B94155"/>
    <w:rsid w:val="00BA6695"/>
    <w:rsid w:val="00BB2288"/>
    <w:rsid w:val="00BB5195"/>
    <w:rsid w:val="00BB5C33"/>
    <w:rsid w:val="00BD62AA"/>
    <w:rsid w:val="00BE6CFF"/>
    <w:rsid w:val="00C36E6A"/>
    <w:rsid w:val="00C41892"/>
    <w:rsid w:val="00C4422F"/>
    <w:rsid w:val="00C47AF8"/>
    <w:rsid w:val="00C56157"/>
    <w:rsid w:val="00C67DC6"/>
    <w:rsid w:val="00C92C8B"/>
    <w:rsid w:val="00C9633F"/>
    <w:rsid w:val="00CA2DCB"/>
    <w:rsid w:val="00CA6F41"/>
    <w:rsid w:val="00CB2376"/>
    <w:rsid w:val="00CC155E"/>
    <w:rsid w:val="00CD536D"/>
    <w:rsid w:val="00CF2E6E"/>
    <w:rsid w:val="00D364A3"/>
    <w:rsid w:val="00D369E4"/>
    <w:rsid w:val="00D45E55"/>
    <w:rsid w:val="00D740D6"/>
    <w:rsid w:val="00D75B30"/>
    <w:rsid w:val="00D76ADF"/>
    <w:rsid w:val="00D76CEB"/>
    <w:rsid w:val="00D8449A"/>
    <w:rsid w:val="00DA0004"/>
    <w:rsid w:val="00DB639E"/>
    <w:rsid w:val="00DB656D"/>
    <w:rsid w:val="00DD6D68"/>
    <w:rsid w:val="00DF62D6"/>
    <w:rsid w:val="00E107FA"/>
    <w:rsid w:val="00E12833"/>
    <w:rsid w:val="00E1681B"/>
    <w:rsid w:val="00E312EC"/>
    <w:rsid w:val="00E40ABC"/>
    <w:rsid w:val="00E5048E"/>
    <w:rsid w:val="00E65348"/>
    <w:rsid w:val="00E66F6C"/>
    <w:rsid w:val="00E72073"/>
    <w:rsid w:val="00E760B2"/>
    <w:rsid w:val="00E765F1"/>
    <w:rsid w:val="00E81B50"/>
    <w:rsid w:val="00E95A7D"/>
    <w:rsid w:val="00EA1261"/>
    <w:rsid w:val="00EA6F46"/>
    <w:rsid w:val="00EB12B6"/>
    <w:rsid w:val="00EB3144"/>
    <w:rsid w:val="00ED399D"/>
    <w:rsid w:val="00EE05D9"/>
    <w:rsid w:val="00EE1217"/>
    <w:rsid w:val="00F0348B"/>
    <w:rsid w:val="00F06F3F"/>
    <w:rsid w:val="00F14EFA"/>
    <w:rsid w:val="00F337E2"/>
    <w:rsid w:val="00F55168"/>
    <w:rsid w:val="00F64428"/>
    <w:rsid w:val="00F769D2"/>
    <w:rsid w:val="00F810A8"/>
    <w:rsid w:val="00F8519D"/>
    <w:rsid w:val="00F854EF"/>
    <w:rsid w:val="00F9131E"/>
    <w:rsid w:val="00F923E6"/>
    <w:rsid w:val="00F94E7E"/>
    <w:rsid w:val="00FB3C17"/>
    <w:rsid w:val="00FB6812"/>
    <w:rsid w:val="00FC28DB"/>
    <w:rsid w:val="00FC3323"/>
    <w:rsid w:val="00FD5AAC"/>
    <w:rsid w:val="00FD6C7A"/>
    <w:rsid w:val="00FE1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4F3288"/>
  <w15:docId w15:val="{B22474EF-1861-472B-8FE6-6A087725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noteText">
    <w:name w:val="footnote text"/>
    <w:basedOn w:val="Normal"/>
    <w:link w:val="FootnoteTextChar"/>
    <w:uiPriority w:val="99"/>
    <w:semiHidden/>
    <w:unhideWhenUsed/>
    <w:rsid w:val="004A75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A756D"/>
    <w:rPr>
      <w:sz w:val="20"/>
      <w:szCs w:val="20"/>
    </w:rPr>
  </w:style>
  <w:style w:type="character" w:styleId="FootnoteReference">
    <w:name w:val="footnote reference"/>
    <w:basedOn w:val="DefaultParagraphFont"/>
    <w:uiPriority w:val="99"/>
    <w:semiHidden/>
    <w:unhideWhenUsed/>
    <w:rsid w:val="004A756D"/>
    <w:rPr>
      <w:vertAlign w:val="superscript"/>
    </w:rPr>
  </w:style>
  <w:style w:type="paragraph" w:styleId="ListParagraph">
    <w:name w:val="List Paragraph"/>
    <w:basedOn w:val="Normal"/>
    <w:uiPriority w:val="34"/>
    <w:qFormat/>
    <w:rsid w:val="007A4E61"/>
    <w:pPr>
      <w:ind w:left="720"/>
      <w:contextualSpacing/>
    </w:pPr>
  </w:style>
  <w:style w:type="paragraph" w:styleId="Caption">
    <w:name w:val="caption"/>
    <w:basedOn w:val="Normal"/>
    <w:next w:val="Normal"/>
    <w:uiPriority w:val="35"/>
    <w:unhideWhenUsed/>
    <w:qFormat/>
    <w:rsid w:val="00EE1217"/>
    <w:pPr>
      <w:spacing w:after="200" w:line="240" w:lineRule="auto"/>
    </w:pPr>
    <w:rPr>
      <w:i/>
      <w:iCs/>
      <w:color w:val="1F497D" w:themeColor="text2"/>
      <w:sz w:val="18"/>
      <w:szCs w:val="18"/>
    </w:rPr>
  </w:style>
  <w:style w:type="paragraph" w:styleId="Bibliography">
    <w:name w:val="Bibliography"/>
    <w:basedOn w:val="Normal"/>
    <w:next w:val="Normal"/>
    <w:uiPriority w:val="37"/>
    <w:unhideWhenUsed/>
    <w:rsid w:val="00CC155E"/>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A1D0E5-AEF9-4EBA-9250-ECCEEA326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7</Pages>
  <Words>2577</Words>
  <Characters>13483</Characters>
  <Application>Microsoft Office Word</Application>
  <DocSecurity>0</DocSecurity>
  <Lines>254</Lines>
  <Paragraphs>97</Paragraphs>
  <ScaleCrop>false</ScaleCrop>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Carrina Tucker-hughes (1706475)</cp:lastModifiedBy>
  <cp:revision>276</cp:revision>
  <dcterms:created xsi:type="dcterms:W3CDTF">2020-04-28T13:54:00Z</dcterms:created>
  <dcterms:modified xsi:type="dcterms:W3CDTF">2020-04-28T21:28:00Z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zotero-version="5.0.85"&gt;&lt;session id="E54iP3Vp"/&gt;&lt;style id="http://www.zotero.org/styles/harvard-kings-college-london" hasBibliography="1" bibliographyStyleHasBeenSet="1"/&gt;&lt;prefs&gt;&lt;pref name="fieldType" value="Field"/&gt;&lt;/prefs&gt;&lt;/data&gt;</vt:lpwstr>
  </property>
</Properties>
</file>