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0139D" w14:textId="2399FFC9" w:rsidR="00E03813" w:rsidRPr="000363D1" w:rsidRDefault="00D30AB8">
      <w:pPr>
        <w:spacing w:before="2400"/>
        <w:rPr>
          <w:color w:val="000000" w:themeColor="text1"/>
        </w:rPr>
      </w:pPr>
      <w:r>
        <w:rPr>
          <w:noProof/>
          <w:color w:val="000000" w:themeColor="text1"/>
        </w:rPr>
        <mc:AlternateContent>
          <mc:Choice Requires="wps">
            <w:drawing>
              <wp:anchor distT="0" distB="0" distL="114300" distR="114300" simplePos="0" relativeHeight="251659264" behindDoc="0" locked="0" layoutInCell="1" allowOverlap="1" wp14:anchorId="65F69856" wp14:editId="739FE286">
                <wp:simplePos x="0" y="0"/>
                <wp:positionH relativeFrom="column">
                  <wp:posOffset>-475488</wp:posOffset>
                </wp:positionH>
                <wp:positionV relativeFrom="paragraph">
                  <wp:posOffset>-475488</wp:posOffset>
                </wp:positionV>
                <wp:extent cx="2121408" cy="1292352"/>
                <wp:effectExtent l="0" t="0" r="0" b="3175"/>
                <wp:wrapNone/>
                <wp:docPr id="68561030" name="Text Box 1"/>
                <wp:cNvGraphicFramePr/>
                <a:graphic xmlns:a="http://schemas.openxmlformats.org/drawingml/2006/main">
                  <a:graphicData uri="http://schemas.microsoft.com/office/word/2010/wordprocessingShape">
                    <wps:wsp>
                      <wps:cNvSpPr txBox="1"/>
                      <wps:spPr>
                        <a:xfrm>
                          <a:off x="0" y="0"/>
                          <a:ext cx="2121408" cy="1292352"/>
                        </a:xfrm>
                        <a:prstGeom prst="rect">
                          <a:avLst/>
                        </a:prstGeom>
                        <a:solidFill>
                          <a:schemeClr val="lt1"/>
                        </a:solidFill>
                        <a:ln w="6350">
                          <a:noFill/>
                        </a:ln>
                      </wps:spPr>
                      <wps:txbx>
                        <w:txbxContent>
                          <w:p w14:paraId="695786F6" w14:textId="47EF2F94" w:rsidR="00D30AB8" w:rsidRDefault="00D30AB8">
                            <w:r w:rsidRPr="00D30AB8">
                              <w:drawing>
                                <wp:inline distT="0" distB="0" distL="0" distR="0" wp14:anchorId="3E0115CF" wp14:editId="56DC234F">
                                  <wp:extent cx="2065468" cy="877824"/>
                                  <wp:effectExtent l="0" t="0" r="0" b="0"/>
                                  <wp:docPr id="8" name="Image 1" descr="/mnt/user-data/uploads/1783596860905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1" descr="/mnt/user-data/uploads/1783596860905_image.png"/>
                                          <pic:cNvPicPr>
                                            <a:picLocks noChangeAspect="1"/>
                                          </pic:cNvPicPr>
                                        </pic:nvPicPr>
                                        <pic:blipFill>
                                          <a:blip r:embed="rId7"/>
                                          <a:stretch>
                                            <a:fillRect/>
                                          </a:stretch>
                                        </pic:blipFill>
                                        <pic:spPr>
                                          <a:xfrm>
                                            <a:off x="0" y="0"/>
                                            <a:ext cx="2091600" cy="8889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5F69856" id="_x0000_t202" coordsize="21600,21600" o:spt="202" path="m,l,21600r21600,l21600,xe">
                <v:stroke joinstyle="miter"/>
                <v:path gradientshapeok="t" o:connecttype="rect"/>
              </v:shapetype>
              <v:shape id="Text Box 1" o:spid="_x0000_s1026" type="#_x0000_t202" style="position:absolute;margin-left:-37.45pt;margin-top:-37.45pt;width:167.05pt;height:101.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" fillcolor="white [3201]" stroked="f" strokeweight=".5pt">
                <v:textbox>
                  <w:txbxContent>
                    <w:p w14:paraId="695786F6" w14:textId="47EF2F94" w:rsidR="00D30AB8" w:rsidRDefault="00D30AB8">
                      <w:r w:rsidRPr="00D30AB8">
                        <w:drawing>
                          <wp:inline distT="0" distB="0" distL="0" distR="0" wp14:anchorId="3E0115CF" wp14:editId="56DC234F">
                            <wp:extent cx="2065468" cy="877824"/>
                            <wp:effectExtent l="0" t="0" r="0" b="0"/>
                            <wp:docPr id="8" name="Image 1" descr="/mnt/user-data/uploads/1783596860905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1" descr="/mnt/user-data/uploads/1783596860905_image.png"/>
                                    <pic:cNvPicPr>
                                      <a:picLocks noChangeAspect="1"/>
                                    </pic:cNvPicPr>
                                  </pic:nvPicPr>
                                  <pic:blipFill>
                                    <a:blip r:embed="rId7"/>
                                    <a:stretch>
                                      <a:fillRect/>
                                    </a:stretch>
                                  </pic:blipFill>
                                  <pic:spPr>
                                    <a:xfrm>
                                      <a:off x="0" y="0"/>
                                      <a:ext cx="2091600" cy="888930"/>
                                    </a:xfrm>
                                    <a:prstGeom prst="rect">
                                      <a:avLst/>
                                    </a:prstGeom>
                                  </pic:spPr>
                                </pic:pic>
                              </a:graphicData>
                            </a:graphic>
                          </wp:inline>
                        </w:drawing>
                      </w:r>
                    </w:p>
                  </w:txbxContent>
                </v:textbox>
              </v:shape>
            </w:pict>
          </mc:Fallback>
        </mc:AlternateContent>
      </w:r>
    </w:p>
    <w:p w14:paraId="691D2242" w14:textId="77777777" w:rsidR="00E03813" w:rsidRPr="000363D1" w:rsidRDefault="00000000">
      <w:pPr>
        <w:spacing w:after="600"/>
        <w:jc w:val="center"/>
        <w:rPr>
          <w:color w:val="000000" w:themeColor="text1"/>
        </w:rPr>
      </w:pPr>
      <w:r w:rsidRPr="000363D1">
        <w:rPr>
          <w:color w:val="000000" w:themeColor="text1"/>
          <w:sz w:val="36"/>
          <w:szCs w:val="36"/>
        </w:rPr>
        <w:t>The Role of a Dental Nurse in Health and Social Care:</w:t>
      </w:r>
    </w:p>
    <w:p w14:paraId="1DB82EF9" w14:textId="77777777" w:rsidR="00E03813" w:rsidRPr="000363D1" w:rsidRDefault="00000000">
      <w:pPr>
        <w:spacing w:after="1200"/>
        <w:jc w:val="center"/>
        <w:rPr>
          <w:color w:val="000000" w:themeColor="text1"/>
        </w:rPr>
      </w:pPr>
      <w:r w:rsidRPr="000363D1">
        <w:rPr>
          <w:color w:val="000000" w:themeColor="text1"/>
          <w:sz w:val="32"/>
          <w:szCs w:val="32"/>
        </w:rPr>
        <w:t>Duties, Essential Skills and Strategies for Professional Development</w:t>
      </w:r>
    </w:p>
    <w:p w14:paraId="3DEEB6A3" w14:textId="77777777" w:rsidR="00E03813" w:rsidRPr="000363D1" w:rsidRDefault="00000000">
      <w:pPr>
        <w:spacing w:after="3000"/>
        <w:jc w:val="center"/>
        <w:rPr>
          <w:color w:val="000000" w:themeColor="text1"/>
        </w:rPr>
      </w:pPr>
      <w:r w:rsidRPr="000363D1">
        <w:rPr>
          <w:i/>
          <w:iCs/>
          <w:color w:val="000000" w:themeColor="text1"/>
          <w:sz w:val="26"/>
          <w:szCs w:val="26"/>
        </w:rPr>
        <w:t>Task 3: Academic Report</w:t>
      </w:r>
    </w:p>
    <w:p w14:paraId="09E15D31" w14:textId="77777777" w:rsidR="00E03813" w:rsidRPr="000363D1" w:rsidRDefault="00000000">
      <w:pPr>
        <w:spacing w:after="100"/>
        <w:jc w:val="center"/>
        <w:rPr>
          <w:color w:val="000000" w:themeColor="text1"/>
        </w:rPr>
      </w:pPr>
      <w:r w:rsidRPr="000363D1">
        <w:rPr>
          <w:color w:val="000000" w:themeColor="text1"/>
        </w:rPr>
        <w:t xml:space="preserve">Student Name: Shadia </w:t>
      </w:r>
      <w:proofErr w:type="spellStart"/>
      <w:r w:rsidRPr="000363D1">
        <w:rPr>
          <w:color w:val="000000" w:themeColor="text1"/>
        </w:rPr>
        <w:t>Alfadeen</w:t>
      </w:r>
      <w:proofErr w:type="spellEnd"/>
      <w:r w:rsidRPr="000363D1">
        <w:rPr>
          <w:color w:val="000000" w:themeColor="text1"/>
        </w:rPr>
        <w:t xml:space="preserve"> Vassell Luyoyo</w:t>
      </w:r>
    </w:p>
    <w:p w14:paraId="25C0C957" w14:textId="77777777" w:rsidR="00E03813" w:rsidRPr="000363D1" w:rsidRDefault="00000000">
      <w:pPr>
        <w:spacing w:after="100"/>
        <w:jc w:val="center"/>
        <w:rPr>
          <w:color w:val="000000" w:themeColor="text1"/>
        </w:rPr>
      </w:pPr>
      <w:r w:rsidRPr="000363D1">
        <w:rPr>
          <w:color w:val="000000" w:themeColor="text1"/>
        </w:rPr>
        <w:t>Student ID: 2540742</w:t>
      </w:r>
    </w:p>
    <w:p w14:paraId="6FF8CC58" w14:textId="77777777" w:rsidR="00E03813" w:rsidRPr="000363D1" w:rsidRDefault="00000000">
      <w:pPr>
        <w:spacing w:after="100"/>
        <w:jc w:val="center"/>
        <w:rPr>
          <w:color w:val="000000" w:themeColor="text1"/>
        </w:rPr>
      </w:pPr>
      <w:r w:rsidRPr="000363D1">
        <w:rPr>
          <w:color w:val="000000" w:themeColor="text1"/>
        </w:rPr>
        <w:t>Module: Academic and Employability Skills</w:t>
      </w:r>
    </w:p>
    <w:p w14:paraId="36C43F96" w14:textId="77777777" w:rsidR="00E03813" w:rsidRPr="000363D1" w:rsidRDefault="00000000">
      <w:pPr>
        <w:spacing w:after="100"/>
        <w:jc w:val="center"/>
        <w:rPr>
          <w:color w:val="000000" w:themeColor="text1"/>
        </w:rPr>
      </w:pPr>
      <w:r w:rsidRPr="000363D1">
        <w:rPr>
          <w:color w:val="000000" w:themeColor="text1"/>
        </w:rPr>
        <w:t>Module Code: LCHS4001</w:t>
      </w:r>
    </w:p>
    <w:p w14:paraId="21C81B76" w14:textId="77777777" w:rsidR="00E03813" w:rsidRDefault="00000000">
      <w:pPr>
        <w:spacing w:after="100"/>
        <w:jc w:val="center"/>
        <w:rPr>
          <w:color w:val="000000" w:themeColor="text1"/>
        </w:rPr>
      </w:pPr>
      <w:r w:rsidRPr="000363D1">
        <w:rPr>
          <w:color w:val="000000" w:themeColor="text1"/>
        </w:rPr>
        <w:t>Lecturer: Oluwadamilola Tayo</w:t>
      </w:r>
    </w:p>
    <w:p w14:paraId="0501B447" w14:textId="48AFA037" w:rsidR="00D30AB8" w:rsidRPr="000363D1" w:rsidRDefault="00D30AB8">
      <w:pPr>
        <w:spacing w:after="100"/>
        <w:jc w:val="center"/>
        <w:rPr>
          <w:color w:val="000000" w:themeColor="text1"/>
        </w:rPr>
      </w:pPr>
      <w:r>
        <w:rPr>
          <w:color w:val="000000" w:themeColor="text1"/>
        </w:rPr>
        <w:t>Submission Date: 16/08/2026</w:t>
      </w:r>
    </w:p>
    <w:p w14:paraId="4CD5EA8C" w14:textId="77777777" w:rsidR="00E03813" w:rsidRDefault="00E03813">
      <w:pPr>
        <w:rPr>
          <w:color w:val="000000" w:themeColor="text1"/>
        </w:rPr>
      </w:pPr>
    </w:p>
    <w:p w14:paraId="14D239AA" w14:textId="77777777" w:rsidR="00D30AB8" w:rsidRPr="000363D1" w:rsidRDefault="00D30AB8">
      <w:pPr>
        <w:rPr>
          <w:color w:val="000000" w:themeColor="text1"/>
        </w:rPr>
        <w:sectPr w:rsidR="00D30AB8" w:rsidRPr="000363D1">
          <w:pgSz w:w="11906" w:h="16838"/>
          <w:pgMar w:top="1440" w:right="1440" w:bottom="1440" w:left="1440" w:header="708" w:footer="708" w:gutter="0"/>
          <w:cols w:space="720"/>
          <w:docGrid w:linePitch="360"/>
        </w:sectPr>
      </w:pPr>
    </w:p>
    <w:p w14:paraId="5FFAE049" w14:textId="77777777" w:rsidR="00E03813" w:rsidRPr="000363D1" w:rsidRDefault="00000000">
      <w:pPr>
        <w:pStyle w:val="Heading1"/>
        <w:spacing w:before="360" w:after="200"/>
        <w:rPr>
          <w:color w:val="000000" w:themeColor="text1"/>
        </w:rPr>
      </w:pPr>
      <w:r w:rsidRPr="000363D1">
        <w:rPr>
          <w:color w:val="000000" w:themeColor="text1"/>
          <w:sz w:val="30"/>
          <w:szCs w:val="30"/>
        </w:rPr>
        <w:lastRenderedPageBreak/>
        <w:t>Table of Contents</w:t>
      </w:r>
    </w:p>
    <w:p w14:paraId="367B2CD5" w14:textId="77777777" w:rsidR="00E03813" w:rsidRPr="000363D1" w:rsidRDefault="00000000">
      <w:pPr>
        <w:tabs>
          <w:tab w:val="right" w:leader="dot" w:pos="9350"/>
        </w:tabs>
        <w:spacing w:after="160"/>
        <w:rPr>
          <w:color w:val="000000" w:themeColor="text1"/>
        </w:rPr>
      </w:pPr>
      <w:r w:rsidRPr="000363D1">
        <w:rPr>
          <w:color w:val="000000" w:themeColor="text1"/>
        </w:rPr>
        <w:t>1. Introduction</w:t>
      </w:r>
      <w:r w:rsidRPr="000363D1">
        <w:rPr>
          <w:color w:val="000000" w:themeColor="text1"/>
        </w:rPr>
        <w:tab/>
        <w:t>3</w:t>
      </w:r>
    </w:p>
    <w:p w14:paraId="2E73B8D4" w14:textId="77777777" w:rsidR="00E03813" w:rsidRPr="000363D1" w:rsidRDefault="00000000">
      <w:pPr>
        <w:tabs>
          <w:tab w:val="right" w:leader="dot" w:pos="9350"/>
        </w:tabs>
        <w:spacing w:after="160"/>
        <w:rPr>
          <w:color w:val="000000" w:themeColor="text1"/>
        </w:rPr>
      </w:pPr>
      <w:r w:rsidRPr="000363D1">
        <w:rPr>
          <w:color w:val="000000" w:themeColor="text1"/>
        </w:rPr>
        <w:t>2. The Role of the Dental Nurse</w:t>
      </w:r>
      <w:r w:rsidRPr="000363D1">
        <w:rPr>
          <w:color w:val="000000" w:themeColor="text1"/>
        </w:rPr>
        <w:tab/>
        <w:t>3</w:t>
      </w:r>
    </w:p>
    <w:p w14:paraId="28866180" w14:textId="77777777" w:rsidR="00E03813" w:rsidRPr="000363D1" w:rsidRDefault="00000000">
      <w:pPr>
        <w:tabs>
          <w:tab w:val="right" w:leader="dot" w:pos="9350"/>
        </w:tabs>
        <w:spacing w:after="160"/>
        <w:ind w:left="360"/>
        <w:rPr>
          <w:color w:val="000000" w:themeColor="text1"/>
        </w:rPr>
      </w:pPr>
      <w:r w:rsidRPr="000363D1">
        <w:rPr>
          <w:color w:val="000000" w:themeColor="text1"/>
        </w:rPr>
        <w:t>2.1 Duties and Responsibilities</w:t>
      </w:r>
      <w:r w:rsidRPr="000363D1">
        <w:rPr>
          <w:color w:val="000000" w:themeColor="text1"/>
        </w:rPr>
        <w:tab/>
        <w:t>3</w:t>
      </w:r>
    </w:p>
    <w:p w14:paraId="46574617" w14:textId="77777777" w:rsidR="00E03813" w:rsidRPr="000363D1" w:rsidRDefault="00000000">
      <w:pPr>
        <w:tabs>
          <w:tab w:val="right" w:leader="dot" w:pos="9350"/>
        </w:tabs>
        <w:spacing w:after="160"/>
        <w:rPr>
          <w:color w:val="000000" w:themeColor="text1"/>
        </w:rPr>
      </w:pPr>
      <w:r w:rsidRPr="000363D1">
        <w:rPr>
          <w:color w:val="000000" w:themeColor="text1"/>
        </w:rPr>
        <w:t>3. Essential Skills for the Dental Nurse Role</w:t>
      </w:r>
      <w:r w:rsidRPr="000363D1">
        <w:rPr>
          <w:color w:val="000000" w:themeColor="text1"/>
        </w:rPr>
        <w:tab/>
        <w:t>4</w:t>
      </w:r>
    </w:p>
    <w:p w14:paraId="1D28AAFD" w14:textId="77777777" w:rsidR="00E03813" w:rsidRPr="000363D1" w:rsidRDefault="00000000">
      <w:pPr>
        <w:tabs>
          <w:tab w:val="right" w:leader="dot" w:pos="9350"/>
        </w:tabs>
        <w:spacing w:after="160"/>
        <w:ind w:left="360"/>
        <w:rPr>
          <w:color w:val="000000" w:themeColor="text1"/>
        </w:rPr>
      </w:pPr>
      <w:r w:rsidRPr="000363D1">
        <w:rPr>
          <w:color w:val="000000" w:themeColor="text1"/>
        </w:rPr>
        <w:t>3.1 Communication Skills</w:t>
      </w:r>
      <w:r w:rsidRPr="000363D1">
        <w:rPr>
          <w:color w:val="000000" w:themeColor="text1"/>
        </w:rPr>
        <w:tab/>
        <w:t>4</w:t>
      </w:r>
    </w:p>
    <w:p w14:paraId="3C345C17" w14:textId="77777777" w:rsidR="00E03813" w:rsidRPr="000363D1" w:rsidRDefault="00000000">
      <w:pPr>
        <w:tabs>
          <w:tab w:val="right" w:leader="dot" w:pos="9350"/>
        </w:tabs>
        <w:spacing w:after="160"/>
        <w:ind w:left="360"/>
        <w:rPr>
          <w:color w:val="000000" w:themeColor="text1"/>
        </w:rPr>
      </w:pPr>
      <w:r w:rsidRPr="000363D1">
        <w:rPr>
          <w:color w:val="000000" w:themeColor="text1"/>
        </w:rPr>
        <w:t>3.2 Attention to Detail and Infection Control Competence</w:t>
      </w:r>
      <w:r w:rsidRPr="000363D1">
        <w:rPr>
          <w:color w:val="000000" w:themeColor="text1"/>
        </w:rPr>
        <w:tab/>
        <w:t>4</w:t>
      </w:r>
    </w:p>
    <w:p w14:paraId="3FBDB054" w14:textId="77777777" w:rsidR="00E03813" w:rsidRPr="000363D1" w:rsidRDefault="00000000">
      <w:pPr>
        <w:tabs>
          <w:tab w:val="right" w:leader="dot" w:pos="9350"/>
        </w:tabs>
        <w:spacing w:after="160"/>
        <w:ind w:left="360"/>
        <w:rPr>
          <w:color w:val="000000" w:themeColor="text1"/>
        </w:rPr>
      </w:pPr>
      <w:r w:rsidRPr="000363D1">
        <w:rPr>
          <w:color w:val="000000" w:themeColor="text1"/>
        </w:rPr>
        <w:t>3.3 Teamwork</w:t>
      </w:r>
      <w:r w:rsidRPr="000363D1">
        <w:rPr>
          <w:color w:val="000000" w:themeColor="text1"/>
        </w:rPr>
        <w:tab/>
        <w:t>5</w:t>
      </w:r>
    </w:p>
    <w:p w14:paraId="6B22556A" w14:textId="77777777" w:rsidR="00E03813" w:rsidRPr="000363D1" w:rsidRDefault="00000000">
      <w:pPr>
        <w:tabs>
          <w:tab w:val="right" w:leader="dot" w:pos="9350"/>
        </w:tabs>
        <w:spacing w:after="160"/>
        <w:rPr>
          <w:color w:val="000000" w:themeColor="text1"/>
        </w:rPr>
      </w:pPr>
      <w:r w:rsidRPr="000363D1">
        <w:rPr>
          <w:color w:val="000000" w:themeColor="text1"/>
        </w:rPr>
        <w:t>4. Strategies for Skill Development</w:t>
      </w:r>
      <w:r w:rsidRPr="000363D1">
        <w:rPr>
          <w:color w:val="000000" w:themeColor="text1"/>
        </w:rPr>
        <w:tab/>
        <w:t>5</w:t>
      </w:r>
    </w:p>
    <w:p w14:paraId="1F33A79D" w14:textId="77777777" w:rsidR="00E03813" w:rsidRPr="000363D1" w:rsidRDefault="00000000">
      <w:pPr>
        <w:tabs>
          <w:tab w:val="right" w:leader="dot" w:pos="9350"/>
        </w:tabs>
        <w:spacing w:after="160"/>
        <w:ind w:left="360"/>
        <w:rPr>
          <w:color w:val="000000" w:themeColor="text1"/>
        </w:rPr>
      </w:pPr>
      <w:r w:rsidRPr="000363D1">
        <w:rPr>
          <w:color w:val="000000" w:themeColor="text1"/>
        </w:rPr>
        <w:t>4.1 Developing Communication Skills</w:t>
      </w:r>
      <w:r w:rsidRPr="000363D1">
        <w:rPr>
          <w:color w:val="000000" w:themeColor="text1"/>
        </w:rPr>
        <w:tab/>
        <w:t>5</w:t>
      </w:r>
    </w:p>
    <w:p w14:paraId="1BB1FF4A" w14:textId="77777777" w:rsidR="00E03813" w:rsidRPr="000363D1" w:rsidRDefault="00000000">
      <w:pPr>
        <w:tabs>
          <w:tab w:val="right" w:leader="dot" w:pos="9350"/>
        </w:tabs>
        <w:spacing w:after="160"/>
        <w:ind w:left="360"/>
        <w:rPr>
          <w:color w:val="000000" w:themeColor="text1"/>
        </w:rPr>
      </w:pPr>
      <w:r w:rsidRPr="000363D1">
        <w:rPr>
          <w:color w:val="000000" w:themeColor="text1"/>
        </w:rPr>
        <w:t>4.2 Developing Attention to Detail and Infection Control Competence</w:t>
      </w:r>
      <w:r w:rsidRPr="000363D1">
        <w:rPr>
          <w:color w:val="000000" w:themeColor="text1"/>
        </w:rPr>
        <w:tab/>
        <w:t>5</w:t>
      </w:r>
    </w:p>
    <w:p w14:paraId="169B77C7" w14:textId="77777777" w:rsidR="00E03813" w:rsidRPr="000363D1" w:rsidRDefault="00000000">
      <w:pPr>
        <w:tabs>
          <w:tab w:val="right" w:leader="dot" w:pos="9350"/>
        </w:tabs>
        <w:spacing w:after="160"/>
        <w:ind w:left="360"/>
        <w:rPr>
          <w:color w:val="000000" w:themeColor="text1"/>
        </w:rPr>
      </w:pPr>
      <w:r w:rsidRPr="000363D1">
        <w:rPr>
          <w:color w:val="000000" w:themeColor="text1"/>
        </w:rPr>
        <w:t>4.3 Developing Teamwork Skills</w:t>
      </w:r>
      <w:r w:rsidRPr="000363D1">
        <w:rPr>
          <w:color w:val="000000" w:themeColor="text1"/>
        </w:rPr>
        <w:tab/>
        <w:t>6</w:t>
      </w:r>
    </w:p>
    <w:p w14:paraId="654EC21E" w14:textId="77777777" w:rsidR="00E03813" w:rsidRPr="000363D1" w:rsidRDefault="00000000">
      <w:pPr>
        <w:tabs>
          <w:tab w:val="right" w:leader="dot" w:pos="9350"/>
        </w:tabs>
        <w:spacing w:after="160"/>
        <w:rPr>
          <w:color w:val="000000" w:themeColor="text1"/>
        </w:rPr>
      </w:pPr>
      <w:r w:rsidRPr="000363D1">
        <w:rPr>
          <w:color w:val="000000" w:themeColor="text1"/>
        </w:rPr>
        <w:t>5. Conclusion</w:t>
      </w:r>
      <w:r w:rsidRPr="000363D1">
        <w:rPr>
          <w:color w:val="000000" w:themeColor="text1"/>
        </w:rPr>
        <w:tab/>
        <w:t>6</w:t>
      </w:r>
    </w:p>
    <w:p w14:paraId="1979D4EA" w14:textId="77777777" w:rsidR="00E03813" w:rsidRPr="000363D1" w:rsidRDefault="00000000">
      <w:pPr>
        <w:tabs>
          <w:tab w:val="right" w:leader="dot" w:pos="9350"/>
        </w:tabs>
        <w:spacing w:after="160"/>
        <w:rPr>
          <w:color w:val="000000" w:themeColor="text1"/>
        </w:rPr>
      </w:pPr>
      <w:r w:rsidRPr="000363D1">
        <w:rPr>
          <w:color w:val="000000" w:themeColor="text1"/>
        </w:rPr>
        <w:t>Reference List</w:t>
      </w:r>
      <w:r w:rsidRPr="000363D1">
        <w:rPr>
          <w:color w:val="000000" w:themeColor="text1"/>
        </w:rPr>
        <w:tab/>
        <w:t>7</w:t>
      </w:r>
    </w:p>
    <w:p w14:paraId="71E9CA94" w14:textId="77777777" w:rsidR="00E03813" w:rsidRPr="000363D1" w:rsidRDefault="00000000">
      <w:pPr>
        <w:rPr>
          <w:color w:val="000000" w:themeColor="text1"/>
        </w:rPr>
      </w:pPr>
      <w:r w:rsidRPr="000363D1">
        <w:rPr>
          <w:color w:val="000000" w:themeColor="text1"/>
        </w:rPr>
        <w:br w:type="page"/>
      </w:r>
    </w:p>
    <w:p w14:paraId="310D8B19" w14:textId="77777777" w:rsidR="00E03813" w:rsidRPr="000363D1" w:rsidRDefault="00E03813">
      <w:pPr>
        <w:rPr>
          <w:color w:val="000000" w:themeColor="text1"/>
        </w:rPr>
        <w:sectPr w:rsidR="00E03813" w:rsidRPr="000363D1">
          <w:pgSz w:w="11906" w:h="16838"/>
          <w:pgMar w:top="1440" w:right="1440" w:bottom="1440" w:left="1440" w:header="708" w:footer="708" w:gutter="0"/>
          <w:cols w:space="720"/>
          <w:docGrid w:linePitch="360"/>
        </w:sectPr>
      </w:pPr>
    </w:p>
    <w:p w14:paraId="6F9E172B" w14:textId="77777777" w:rsidR="00E03813" w:rsidRPr="000363D1" w:rsidRDefault="00000000">
      <w:pPr>
        <w:pStyle w:val="Heading1"/>
        <w:spacing w:before="360" w:after="200"/>
        <w:rPr>
          <w:color w:val="000000" w:themeColor="text1"/>
        </w:rPr>
      </w:pPr>
      <w:r w:rsidRPr="000363D1">
        <w:rPr>
          <w:color w:val="000000" w:themeColor="text1"/>
          <w:sz w:val="30"/>
          <w:szCs w:val="30"/>
        </w:rPr>
        <w:lastRenderedPageBreak/>
        <w:t>1. Introduction</w:t>
      </w:r>
    </w:p>
    <w:p w14:paraId="1EEBCBB4" w14:textId="77777777" w:rsidR="00E03813" w:rsidRPr="000363D1" w:rsidRDefault="00000000">
      <w:pPr>
        <w:spacing w:after="200" w:line="360" w:lineRule="auto"/>
        <w:jc w:val="both"/>
        <w:rPr>
          <w:color w:val="000000" w:themeColor="text1"/>
        </w:rPr>
      </w:pPr>
      <w:r w:rsidRPr="000363D1">
        <w:rPr>
          <w:color w:val="000000" w:themeColor="text1"/>
        </w:rPr>
        <w:t>This report examines the role of the Dental Nurse within the health and social care sector, building on research undertaken for Task 1 and the reflective evaluation completed in Task 2. Dental nurses form an essential part of the dental team, providing clinical support to dentists and other dental care professionals while ensuring patients receive safe, high-quality care (NHS Health Careers, n.d.). The report begins by describing the role and its typical duties and responsibilities. It then identifies and explains three essential skills required to perform the role effectively, supported by role-specific examples. Finally, it outlines three strategies for developing each of these skills, drawing on academic and professional sources referenced using the Harvard system.</w:t>
      </w:r>
    </w:p>
    <w:p w14:paraId="56F26E43" w14:textId="77777777" w:rsidR="00E03813" w:rsidRPr="000363D1" w:rsidRDefault="00000000">
      <w:pPr>
        <w:pStyle w:val="Heading1"/>
        <w:spacing w:before="360" w:after="200"/>
        <w:rPr>
          <w:color w:val="000000" w:themeColor="text1"/>
        </w:rPr>
      </w:pPr>
      <w:r w:rsidRPr="000363D1">
        <w:rPr>
          <w:color w:val="000000" w:themeColor="text1"/>
          <w:sz w:val="30"/>
          <w:szCs w:val="30"/>
        </w:rPr>
        <w:t>2. The Role of the Dental Nurse</w:t>
      </w:r>
    </w:p>
    <w:p w14:paraId="2D7CF12F" w14:textId="77777777" w:rsidR="00E03813" w:rsidRPr="000363D1" w:rsidRDefault="00000000">
      <w:pPr>
        <w:spacing w:after="200" w:line="360" w:lineRule="auto"/>
        <w:jc w:val="both"/>
        <w:rPr>
          <w:color w:val="000000" w:themeColor="text1"/>
        </w:rPr>
      </w:pPr>
      <w:r w:rsidRPr="000363D1">
        <w:rPr>
          <w:color w:val="000000" w:themeColor="text1"/>
        </w:rPr>
        <w:t>A Dental Nurse is a registered dental care professional who works alongside dentists and other members of the dental team to deliver chairside support and direct patient care in a variety of settings, including NHS and private practices, hospitals, community clinics and the armed forces (NHS Health Careers, n.d.). Dental nurses must register with the General Dental Council (GDC) once qualified, and their conduct is guided by the GDC's Standards for the Dental Team, which sets out nine principles that all registrants must follow, including putting patients' interests first and communicating effectively (General Dental Council, 2013).</w:t>
      </w:r>
    </w:p>
    <w:p w14:paraId="2D3D60AE" w14:textId="77777777" w:rsidR="00E03813" w:rsidRPr="000363D1" w:rsidRDefault="00000000">
      <w:pPr>
        <w:pStyle w:val="Heading2"/>
        <w:spacing w:before="280" w:after="160"/>
        <w:rPr>
          <w:color w:val="000000" w:themeColor="text1"/>
        </w:rPr>
      </w:pPr>
      <w:r w:rsidRPr="000363D1">
        <w:rPr>
          <w:color w:val="000000" w:themeColor="text1"/>
        </w:rPr>
        <w:t>2.1 Duties and Responsibilities</w:t>
      </w:r>
    </w:p>
    <w:p w14:paraId="26B2CD6D" w14:textId="77777777" w:rsidR="00E03813" w:rsidRPr="000363D1" w:rsidRDefault="00000000">
      <w:pPr>
        <w:spacing w:after="200" w:line="360" w:lineRule="auto"/>
        <w:jc w:val="both"/>
        <w:rPr>
          <w:color w:val="000000" w:themeColor="text1"/>
        </w:rPr>
      </w:pPr>
      <w:r w:rsidRPr="000363D1">
        <w:rPr>
          <w:color w:val="000000" w:themeColor="text1"/>
        </w:rPr>
        <w:t>The day-to-day duties of a dental nurse are wide-ranging and combine clinical, administrative and pastoral responsibilities. Typical duties include:</w:t>
      </w:r>
    </w:p>
    <w:p w14:paraId="347F9CC0" w14:textId="77777777" w:rsidR="00E03813" w:rsidRPr="000363D1" w:rsidRDefault="00000000">
      <w:pPr>
        <w:pStyle w:val="ListParagraph"/>
        <w:numPr>
          <w:ilvl w:val="0"/>
          <w:numId w:val="1"/>
        </w:numPr>
        <w:spacing w:after="120" w:line="300" w:lineRule="auto"/>
        <w:rPr>
          <w:color w:val="000000" w:themeColor="text1"/>
        </w:rPr>
      </w:pPr>
      <w:r w:rsidRPr="000363D1">
        <w:rPr>
          <w:color w:val="000000" w:themeColor="text1"/>
        </w:rPr>
        <w:t>Preparing the surgery before each appointment, including laying out instruments and materials and ensuring the environment is clean and safe (Health Education England, n.d.).</w:t>
      </w:r>
    </w:p>
    <w:p w14:paraId="1EAD3689" w14:textId="77777777" w:rsidR="00E03813" w:rsidRPr="000363D1" w:rsidRDefault="00000000">
      <w:pPr>
        <w:pStyle w:val="ListParagraph"/>
        <w:numPr>
          <w:ilvl w:val="0"/>
          <w:numId w:val="1"/>
        </w:numPr>
        <w:spacing w:after="120" w:line="300" w:lineRule="auto"/>
        <w:rPr>
          <w:color w:val="000000" w:themeColor="text1"/>
        </w:rPr>
      </w:pPr>
      <w:r w:rsidRPr="000363D1">
        <w:rPr>
          <w:color w:val="000000" w:themeColor="text1"/>
        </w:rPr>
        <w:t>Providing chairside support during examinations and treatments, such as passing instruments, using suction and mixing dental materials.</w:t>
      </w:r>
    </w:p>
    <w:p w14:paraId="7611F5DD" w14:textId="77777777" w:rsidR="00E03813" w:rsidRPr="000363D1" w:rsidRDefault="00000000">
      <w:pPr>
        <w:pStyle w:val="ListParagraph"/>
        <w:numPr>
          <w:ilvl w:val="0"/>
          <w:numId w:val="1"/>
        </w:numPr>
        <w:spacing w:after="120" w:line="300" w:lineRule="auto"/>
        <w:rPr>
          <w:color w:val="000000" w:themeColor="text1"/>
        </w:rPr>
      </w:pPr>
      <w:r w:rsidRPr="000363D1">
        <w:rPr>
          <w:color w:val="000000" w:themeColor="text1"/>
        </w:rPr>
        <w:t>Sterilising and decontaminating instruments and equipment between patients in line with infection control procedures (Department of Health, 2013).</w:t>
      </w:r>
    </w:p>
    <w:p w14:paraId="2A122628" w14:textId="77777777" w:rsidR="00E03813" w:rsidRPr="000363D1" w:rsidRDefault="00000000">
      <w:pPr>
        <w:pStyle w:val="ListParagraph"/>
        <w:numPr>
          <w:ilvl w:val="0"/>
          <w:numId w:val="1"/>
        </w:numPr>
        <w:spacing w:after="120" w:line="300" w:lineRule="auto"/>
        <w:rPr>
          <w:color w:val="000000" w:themeColor="text1"/>
        </w:rPr>
      </w:pPr>
      <w:r w:rsidRPr="000363D1">
        <w:rPr>
          <w:color w:val="000000" w:themeColor="text1"/>
        </w:rPr>
        <w:lastRenderedPageBreak/>
        <w:t>Recording and updating patients' dental and medical histories and maintaining accurate clinical records.</w:t>
      </w:r>
    </w:p>
    <w:p w14:paraId="154EA493" w14:textId="77777777" w:rsidR="00E03813" w:rsidRPr="000363D1" w:rsidRDefault="00000000">
      <w:pPr>
        <w:pStyle w:val="ListParagraph"/>
        <w:numPr>
          <w:ilvl w:val="0"/>
          <w:numId w:val="1"/>
        </w:numPr>
        <w:spacing w:after="120" w:line="300" w:lineRule="auto"/>
        <w:rPr>
          <w:color w:val="000000" w:themeColor="text1"/>
        </w:rPr>
      </w:pPr>
      <w:r w:rsidRPr="000363D1">
        <w:rPr>
          <w:color w:val="000000" w:themeColor="text1"/>
        </w:rPr>
        <w:t>Reassuring and supporting patients, particularly those who are anxious, and providing oral health education such as advice on brushing technique and diet.</w:t>
      </w:r>
    </w:p>
    <w:p w14:paraId="050C5F4B" w14:textId="77777777" w:rsidR="00E03813" w:rsidRPr="000363D1" w:rsidRDefault="00000000">
      <w:pPr>
        <w:pStyle w:val="ListParagraph"/>
        <w:numPr>
          <w:ilvl w:val="0"/>
          <w:numId w:val="1"/>
        </w:numPr>
        <w:spacing w:after="120" w:line="300" w:lineRule="auto"/>
        <w:rPr>
          <w:color w:val="000000" w:themeColor="text1"/>
        </w:rPr>
      </w:pPr>
      <w:r w:rsidRPr="000363D1">
        <w:rPr>
          <w:color w:val="000000" w:themeColor="text1"/>
        </w:rPr>
        <w:t>Undertaking administrative tasks, including booking appointments and managing stock.</w:t>
      </w:r>
    </w:p>
    <w:p w14:paraId="46B06316" w14:textId="77777777" w:rsidR="00E03813" w:rsidRPr="000363D1" w:rsidRDefault="00000000">
      <w:pPr>
        <w:spacing w:after="200" w:line="360" w:lineRule="auto"/>
        <w:jc w:val="both"/>
        <w:rPr>
          <w:color w:val="000000" w:themeColor="text1"/>
        </w:rPr>
      </w:pPr>
      <w:r w:rsidRPr="000363D1">
        <w:rPr>
          <w:color w:val="000000" w:themeColor="text1"/>
        </w:rPr>
        <w:t>With additional post-registration qualifications, dental nurses can extend their scope of practice to include duties such as taking radiographs, applying fluoride varnish and assisting with conscious sedation (Health Education England, n.d.; Institute for Apprenticeships and Technical Education, 2021). For example, a dental nurse who has completed a radiography course may take X-rays under the direction of the dentist, directly supporting diagnosis and treatment planning.</w:t>
      </w:r>
    </w:p>
    <w:p w14:paraId="77D62E96" w14:textId="77777777" w:rsidR="00E03813" w:rsidRPr="000363D1" w:rsidRDefault="00000000">
      <w:pPr>
        <w:pStyle w:val="Heading1"/>
        <w:spacing w:before="360" w:after="200"/>
        <w:rPr>
          <w:color w:val="000000" w:themeColor="text1"/>
        </w:rPr>
      </w:pPr>
      <w:r w:rsidRPr="000363D1">
        <w:rPr>
          <w:color w:val="000000" w:themeColor="text1"/>
          <w:sz w:val="30"/>
          <w:szCs w:val="30"/>
        </w:rPr>
        <w:t>3. Essential Skills for the Dental Nurse Role</w:t>
      </w:r>
    </w:p>
    <w:p w14:paraId="6EC62A66" w14:textId="77777777" w:rsidR="00E03813" w:rsidRPr="000363D1" w:rsidRDefault="00000000">
      <w:pPr>
        <w:spacing w:after="200" w:line="360" w:lineRule="auto"/>
        <w:jc w:val="both"/>
        <w:rPr>
          <w:color w:val="000000" w:themeColor="text1"/>
        </w:rPr>
      </w:pPr>
      <w:r w:rsidRPr="000363D1">
        <w:rPr>
          <w:color w:val="000000" w:themeColor="text1"/>
        </w:rPr>
        <w:t>Although dental nurses require a broad range of clinical and interpersonal skills, three are particularly essential to safe and effective practice: communication, attention to detail (with a focus on infection control), and teamwork.</w:t>
      </w:r>
    </w:p>
    <w:p w14:paraId="43557946" w14:textId="77777777" w:rsidR="00E03813" w:rsidRPr="000363D1" w:rsidRDefault="00000000">
      <w:pPr>
        <w:pStyle w:val="Heading2"/>
        <w:spacing w:before="280" w:after="160"/>
        <w:rPr>
          <w:color w:val="000000" w:themeColor="text1"/>
        </w:rPr>
      </w:pPr>
      <w:r w:rsidRPr="000363D1">
        <w:rPr>
          <w:color w:val="000000" w:themeColor="text1"/>
        </w:rPr>
        <w:t>3.1 Communication Skills</w:t>
      </w:r>
    </w:p>
    <w:p w14:paraId="411A53C3" w14:textId="77777777" w:rsidR="00E03813" w:rsidRPr="000363D1" w:rsidRDefault="00000000">
      <w:pPr>
        <w:spacing w:after="200" w:line="360" w:lineRule="auto"/>
        <w:jc w:val="both"/>
        <w:rPr>
          <w:color w:val="000000" w:themeColor="text1"/>
        </w:rPr>
      </w:pPr>
      <w:r w:rsidRPr="000363D1">
        <w:rPr>
          <w:color w:val="000000" w:themeColor="text1"/>
        </w:rPr>
        <w:t xml:space="preserve">Communication is fundamental to the dental nurse role. Dental nurses must explain procedures to patients in accessible language, obtain and document consent alongside the dentist, and reassure patients who may be anxious about treatment (Lauder, 2024). The GDC's second principle requires all registrants to communicate effectively with patients, ensuring they receive full, clear and accurate information before, during and after treatment so that they can make informed decisions about their care (General Dental Council, 2013). Communication is also essential between colleagues: a dental nurse must relay accurate information about a patient's history or anxiety level to the </w:t>
      </w:r>
      <w:proofErr w:type="gramStart"/>
      <w:r w:rsidRPr="000363D1">
        <w:rPr>
          <w:color w:val="000000" w:themeColor="text1"/>
        </w:rPr>
        <w:t>dentist, and</w:t>
      </w:r>
      <w:proofErr w:type="gramEnd"/>
      <w:r w:rsidRPr="000363D1">
        <w:rPr>
          <w:color w:val="000000" w:themeColor="text1"/>
        </w:rPr>
        <w:t xml:space="preserve"> clearly communicate instrument or material requirements during a procedure. For example, when assisting with a filling, a dental nurse who mishears or fails to confirm which material the dentist has requested could delay treatment or compromise patient safety. Poor communication has been identified as a significant contributing factor in patient complaints within dentistry (Lauder, 2024), which demonstrates why this skill is essential rather than simply desirable.</w:t>
      </w:r>
    </w:p>
    <w:p w14:paraId="2A0C37CF" w14:textId="77777777" w:rsidR="00E03813" w:rsidRPr="000363D1" w:rsidRDefault="00000000">
      <w:pPr>
        <w:pStyle w:val="Heading2"/>
        <w:spacing w:before="280" w:after="160"/>
        <w:rPr>
          <w:color w:val="000000" w:themeColor="text1"/>
        </w:rPr>
      </w:pPr>
      <w:r w:rsidRPr="000363D1">
        <w:rPr>
          <w:color w:val="000000" w:themeColor="text1"/>
        </w:rPr>
        <w:lastRenderedPageBreak/>
        <w:t>3.2 Attention to Detail and Infection Control Competence</w:t>
      </w:r>
    </w:p>
    <w:p w14:paraId="31C5BD1E" w14:textId="77777777" w:rsidR="00E03813" w:rsidRPr="000363D1" w:rsidRDefault="00000000">
      <w:pPr>
        <w:spacing w:after="200" w:line="360" w:lineRule="auto"/>
        <w:jc w:val="both"/>
        <w:rPr>
          <w:color w:val="000000" w:themeColor="text1"/>
        </w:rPr>
      </w:pPr>
      <w:r w:rsidRPr="000363D1">
        <w:rPr>
          <w:color w:val="000000" w:themeColor="text1"/>
        </w:rPr>
        <w:t>Dental nurses are frequently responsible for decontaminating, sterilising and storing instruments, and for maintaining a clean and safe clinical environment (Department of Health, 2013). This requires a high level of attention to detail, since even a small lapse, such as an incorrectly timed sterilisation cycle or a missed step in hand hygiene, can create a risk of cross-infection between patients. Guidance set out in HTM 01-05 specifies detailed procedures for cleaning, disinfection and sterilisation, and requires dental nurses to keep accurate records of sterilisation cycles as evidence of compliance (Department of Health, 2013). For example, a dental nurse who fails to correctly record or check an autoclave cycle could inadvertently allow contaminated instruments to be reused, putting patients and colleagues at risk. Attention to detail in this context is therefore not simply a matter of good practice but a patient safety requirement underpinned by professional and legal obligations.</w:t>
      </w:r>
    </w:p>
    <w:p w14:paraId="09F4F53A" w14:textId="77777777" w:rsidR="00E03813" w:rsidRPr="000363D1" w:rsidRDefault="00000000">
      <w:pPr>
        <w:pStyle w:val="Heading2"/>
        <w:spacing w:before="280" w:after="160"/>
        <w:rPr>
          <w:color w:val="000000" w:themeColor="text1"/>
        </w:rPr>
      </w:pPr>
      <w:r w:rsidRPr="000363D1">
        <w:rPr>
          <w:color w:val="000000" w:themeColor="text1"/>
        </w:rPr>
        <w:t>3.3 Teamwork</w:t>
      </w:r>
    </w:p>
    <w:p w14:paraId="157076EF" w14:textId="77777777" w:rsidR="00E03813" w:rsidRPr="000363D1" w:rsidRDefault="00000000">
      <w:pPr>
        <w:spacing w:after="200" w:line="360" w:lineRule="auto"/>
        <w:jc w:val="both"/>
        <w:rPr>
          <w:color w:val="000000" w:themeColor="text1"/>
        </w:rPr>
      </w:pPr>
      <w:r w:rsidRPr="000363D1">
        <w:rPr>
          <w:color w:val="000000" w:themeColor="text1"/>
        </w:rPr>
        <w:t>Dental treatment is delivered by a team rather than by an individual practitioner, and the GDC's sixth principle requires registrants to work effectively with colleagues in a way that serves patients' best interests, including communicating clearly with other team members (General Dental Council, 2013). A dental nurse must coordinate closely with the dentist during treatment, anticipate their needs, and support other members of the practice, such as receptionists and hygienists, to ensure appointments run smoothly. For example, during a complex extraction, the dental nurse and dentist must work in close, silent coordination, with the nurse anticipating which instrument will be needed next. Effective teamwork also supports a positive working culture, reduces the likelihood of errors during busy clinical sessions, and ensures that patient care remains consistent when responsibilities are shared or handed over between staff.</w:t>
      </w:r>
    </w:p>
    <w:p w14:paraId="168F5F88" w14:textId="77777777" w:rsidR="00E03813" w:rsidRPr="000363D1" w:rsidRDefault="00000000">
      <w:pPr>
        <w:pStyle w:val="Heading1"/>
        <w:spacing w:before="360" w:after="200"/>
        <w:rPr>
          <w:color w:val="000000" w:themeColor="text1"/>
        </w:rPr>
      </w:pPr>
      <w:r w:rsidRPr="000363D1">
        <w:rPr>
          <w:color w:val="000000" w:themeColor="text1"/>
          <w:sz w:val="30"/>
          <w:szCs w:val="30"/>
        </w:rPr>
        <w:t>4. Strategies for Skill Development</w:t>
      </w:r>
    </w:p>
    <w:p w14:paraId="15509A6F" w14:textId="77777777" w:rsidR="00E03813" w:rsidRPr="000363D1" w:rsidRDefault="00000000">
      <w:pPr>
        <w:spacing w:after="200" w:line="360" w:lineRule="auto"/>
        <w:jc w:val="both"/>
        <w:rPr>
          <w:color w:val="000000" w:themeColor="text1"/>
        </w:rPr>
      </w:pPr>
      <w:r w:rsidRPr="000363D1">
        <w:rPr>
          <w:color w:val="000000" w:themeColor="text1"/>
        </w:rPr>
        <w:t>Having identified communication, attention to detail in infection control, and teamwork as essential skills, this section outlines three strategies for developing each one.</w:t>
      </w:r>
    </w:p>
    <w:p w14:paraId="50414660" w14:textId="77777777" w:rsidR="00E03813" w:rsidRPr="000363D1" w:rsidRDefault="00000000">
      <w:pPr>
        <w:pStyle w:val="Heading2"/>
        <w:spacing w:before="280" w:after="160"/>
        <w:rPr>
          <w:color w:val="000000" w:themeColor="text1"/>
        </w:rPr>
      </w:pPr>
      <w:r w:rsidRPr="000363D1">
        <w:rPr>
          <w:color w:val="000000" w:themeColor="text1"/>
        </w:rPr>
        <w:t>4.1 Developing Communication Skills</w:t>
      </w:r>
    </w:p>
    <w:p w14:paraId="7335B799" w14:textId="77777777" w:rsidR="00E03813" w:rsidRPr="000363D1" w:rsidRDefault="00000000">
      <w:pPr>
        <w:pStyle w:val="ListParagraph"/>
        <w:numPr>
          <w:ilvl w:val="0"/>
          <w:numId w:val="1"/>
        </w:numPr>
        <w:spacing w:after="120" w:line="300" w:lineRule="auto"/>
        <w:rPr>
          <w:color w:val="000000" w:themeColor="text1"/>
        </w:rPr>
      </w:pPr>
      <w:r w:rsidRPr="000363D1">
        <w:rPr>
          <w:color w:val="000000" w:themeColor="text1"/>
        </w:rPr>
        <w:lastRenderedPageBreak/>
        <w:t>Undertaking verifiable Continuing Professional Development (CPD): the GDC requires dental nurses to complete at least 50 hours of verifiable CPD over a five-year cycle, and communication-focused courses would directly build confidence and technique in explaining procedures to patients (General Dental Council, 2018).</w:t>
      </w:r>
    </w:p>
    <w:p w14:paraId="6ED169E8" w14:textId="77777777" w:rsidR="00E03813" w:rsidRPr="000363D1" w:rsidRDefault="00000000">
      <w:pPr>
        <w:pStyle w:val="ListParagraph"/>
        <w:numPr>
          <w:ilvl w:val="0"/>
          <w:numId w:val="1"/>
        </w:numPr>
        <w:spacing w:after="120" w:line="300" w:lineRule="auto"/>
        <w:rPr>
          <w:color w:val="000000" w:themeColor="text1"/>
        </w:rPr>
      </w:pPr>
      <w:r w:rsidRPr="000363D1">
        <w:rPr>
          <w:color w:val="000000" w:themeColor="text1"/>
        </w:rPr>
        <w:t>Reflective practice: keeping a Personal Development Plan (PDP) and reflecting on real interactions, for example noting which explanations patients understood well and which caused confusion, allows a dental nurse to identify specific areas for improvement over time (General Dental Council, 2018).</w:t>
      </w:r>
    </w:p>
    <w:p w14:paraId="72D8D6C0" w14:textId="77777777" w:rsidR="00E03813" w:rsidRPr="000363D1" w:rsidRDefault="00000000">
      <w:pPr>
        <w:pStyle w:val="ListParagraph"/>
        <w:numPr>
          <w:ilvl w:val="0"/>
          <w:numId w:val="1"/>
        </w:numPr>
        <w:spacing w:after="120" w:line="300" w:lineRule="auto"/>
        <w:rPr>
          <w:color w:val="000000" w:themeColor="text1"/>
        </w:rPr>
      </w:pPr>
      <w:r w:rsidRPr="000363D1">
        <w:rPr>
          <w:color w:val="000000" w:themeColor="text1"/>
        </w:rPr>
        <w:t>Shadowing and seeking feedback from experienced colleagues: observing how a senior dental nurse or dentist explains treatment to an anxious patient, and asking for constructive feedback on one's own communication, is a practical way to develop tone, clarity and active listening skills.</w:t>
      </w:r>
    </w:p>
    <w:p w14:paraId="03B36C21" w14:textId="77777777" w:rsidR="00E03813" w:rsidRPr="000363D1" w:rsidRDefault="00000000">
      <w:pPr>
        <w:pStyle w:val="Heading2"/>
        <w:spacing w:before="280" w:after="160"/>
        <w:rPr>
          <w:color w:val="000000" w:themeColor="text1"/>
        </w:rPr>
      </w:pPr>
      <w:r w:rsidRPr="000363D1">
        <w:rPr>
          <w:color w:val="000000" w:themeColor="text1"/>
        </w:rPr>
        <w:t>4.2 Developing Attention to Detail and Infection Control Competence</w:t>
      </w:r>
    </w:p>
    <w:p w14:paraId="1547E284" w14:textId="77777777" w:rsidR="00E03813" w:rsidRPr="000363D1" w:rsidRDefault="00000000">
      <w:pPr>
        <w:pStyle w:val="ListParagraph"/>
        <w:numPr>
          <w:ilvl w:val="0"/>
          <w:numId w:val="1"/>
        </w:numPr>
        <w:spacing w:after="120" w:line="300" w:lineRule="auto"/>
        <w:rPr>
          <w:color w:val="000000" w:themeColor="text1"/>
        </w:rPr>
      </w:pPr>
      <w:r w:rsidRPr="000363D1">
        <w:rPr>
          <w:color w:val="000000" w:themeColor="text1"/>
        </w:rPr>
        <w:t>Completing verifiable CPD in disinfection and decontamination: the GDC highly recommends dental care professionals undertake CPD in this area, as it contributes directly to patient safety (General Dental Council, 2018).</w:t>
      </w:r>
    </w:p>
    <w:p w14:paraId="01C9A219" w14:textId="77777777" w:rsidR="00E03813" w:rsidRPr="000363D1" w:rsidRDefault="00000000">
      <w:pPr>
        <w:pStyle w:val="ListParagraph"/>
        <w:numPr>
          <w:ilvl w:val="0"/>
          <w:numId w:val="1"/>
        </w:numPr>
        <w:spacing w:after="120" w:line="300" w:lineRule="auto"/>
        <w:rPr>
          <w:color w:val="000000" w:themeColor="text1"/>
        </w:rPr>
      </w:pPr>
      <w:r w:rsidRPr="000363D1">
        <w:rPr>
          <w:color w:val="000000" w:themeColor="text1"/>
        </w:rPr>
        <w:t>Using structured checklists and audits: following a fixed decontamination checklist for every sterilisation cycle, and taking part in the practice's own internal audits, helps build consistent, careful habits rather than relying on memory alone (Department of Health, 2013).</w:t>
      </w:r>
    </w:p>
    <w:p w14:paraId="2F5C38C7" w14:textId="77777777" w:rsidR="00E03813" w:rsidRPr="000363D1" w:rsidRDefault="00000000">
      <w:pPr>
        <w:pStyle w:val="ListParagraph"/>
        <w:numPr>
          <w:ilvl w:val="0"/>
          <w:numId w:val="1"/>
        </w:numPr>
        <w:spacing w:after="120" w:line="300" w:lineRule="auto"/>
        <w:rPr>
          <w:color w:val="000000" w:themeColor="text1"/>
        </w:rPr>
      </w:pPr>
      <w:r w:rsidRPr="000363D1">
        <w:rPr>
          <w:color w:val="000000" w:themeColor="text1"/>
        </w:rPr>
        <w:t>Working under supervision of a Decontamination and Infection Control Lead (DICL): shadowing and being assessed by a senior colleague responsible for infection control gives a new dental nurse structured, supervised practice before working independently.</w:t>
      </w:r>
    </w:p>
    <w:p w14:paraId="7FFAFDC3" w14:textId="77777777" w:rsidR="00E03813" w:rsidRPr="000363D1" w:rsidRDefault="00000000">
      <w:pPr>
        <w:pStyle w:val="Heading2"/>
        <w:spacing w:before="280" w:after="160"/>
        <w:rPr>
          <w:color w:val="000000" w:themeColor="text1"/>
        </w:rPr>
      </w:pPr>
      <w:r w:rsidRPr="000363D1">
        <w:rPr>
          <w:color w:val="000000" w:themeColor="text1"/>
        </w:rPr>
        <w:t>4.3 Developing Teamwork Skills</w:t>
      </w:r>
    </w:p>
    <w:p w14:paraId="5AE62005" w14:textId="77777777" w:rsidR="00E03813" w:rsidRPr="000363D1" w:rsidRDefault="00000000">
      <w:pPr>
        <w:pStyle w:val="ListParagraph"/>
        <w:numPr>
          <w:ilvl w:val="0"/>
          <w:numId w:val="1"/>
        </w:numPr>
        <w:spacing w:after="120" w:line="300" w:lineRule="auto"/>
        <w:rPr>
          <w:color w:val="000000" w:themeColor="text1"/>
        </w:rPr>
      </w:pPr>
      <w:r w:rsidRPr="000363D1">
        <w:rPr>
          <w:color w:val="000000" w:themeColor="text1"/>
        </w:rPr>
        <w:t>Pursuing post-registration training, such as NEBDN extended duties courses: gaining additional qualifications broadens a dental nurse's scope of practice and understanding of colleagues' roles, making collaboration more effective (Institute for Apprenticeships and Technical Education, 2021).</w:t>
      </w:r>
    </w:p>
    <w:p w14:paraId="49673529" w14:textId="77777777" w:rsidR="00E03813" w:rsidRPr="000363D1" w:rsidRDefault="00000000">
      <w:pPr>
        <w:pStyle w:val="ListParagraph"/>
        <w:numPr>
          <w:ilvl w:val="0"/>
          <w:numId w:val="1"/>
        </w:numPr>
        <w:spacing w:after="120" w:line="300" w:lineRule="auto"/>
        <w:rPr>
          <w:color w:val="000000" w:themeColor="text1"/>
        </w:rPr>
      </w:pPr>
      <w:r w:rsidRPr="000363D1">
        <w:rPr>
          <w:color w:val="000000" w:themeColor="text1"/>
        </w:rPr>
        <w:t xml:space="preserve">Taking part in regular team meetings and </w:t>
      </w:r>
      <w:proofErr w:type="gramStart"/>
      <w:r w:rsidRPr="000363D1">
        <w:rPr>
          <w:color w:val="000000" w:themeColor="text1"/>
        </w:rPr>
        <w:t>debriefs:</w:t>
      </w:r>
      <w:proofErr w:type="gramEnd"/>
      <w:r w:rsidRPr="000363D1">
        <w:rPr>
          <w:color w:val="000000" w:themeColor="text1"/>
        </w:rPr>
        <w:t xml:space="preserve"> discussing what went well and what could improve after clinical sessions helps build shared understanding and trust among the team.</w:t>
      </w:r>
    </w:p>
    <w:p w14:paraId="176F3B77" w14:textId="77777777" w:rsidR="00E03813" w:rsidRPr="000363D1" w:rsidRDefault="00000000">
      <w:pPr>
        <w:pStyle w:val="ListParagraph"/>
        <w:numPr>
          <w:ilvl w:val="0"/>
          <w:numId w:val="1"/>
        </w:numPr>
        <w:spacing w:after="120" w:line="300" w:lineRule="auto"/>
        <w:rPr>
          <w:color w:val="000000" w:themeColor="text1"/>
        </w:rPr>
      </w:pPr>
      <w:r w:rsidRPr="000363D1">
        <w:rPr>
          <w:color w:val="000000" w:themeColor="text1"/>
        </w:rPr>
        <w:lastRenderedPageBreak/>
        <w:t>Seeking mentorship from a senior dental nurse or dentist: a mentor can model effective coordination during procedures and give direct feedback on how well a new dental nurse anticipates the team's needs.</w:t>
      </w:r>
    </w:p>
    <w:p w14:paraId="21490858" w14:textId="77777777" w:rsidR="00E03813" w:rsidRPr="000363D1" w:rsidRDefault="00000000">
      <w:pPr>
        <w:pStyle w:val="Heading1"/>
        <w:spacing w:before="360" w:after="200"/>
        <w:rPr>
          <w:color w:val="000000" w:themeColor="text1"/>
        </w:rPr>
      </w:pPr>
      <w:r w:rsidRPr="000363D1">
        <w:rPr>
          <w:color w:val="000000" w:themeColor="text1"/>
          <w:sz w:val="30"/>
          <w:szCs w:val="30"/>
        </w:rPr>
        <w:t>5. Conclusion</w:t>
      </w:r>
    </w:p>
    <w:p w14:paraId="09D1CFB8" w14:textId="77777777" w:rsidR="00E03813" w:rsidRPr="000363D1" w:rsidRDefault="00000000">
      <w:pPr>
        <w:spacing w:after="200" w:line="360" w:lineRule="auto"/>
        <w:jc w:val="both"/>
        <w:rPr>
          <w:color w:val="000000" w:themeColor="text1"/>
        </w:rPr>
      </w:pPr>
      <w:r w:rsidRPr="000363D1">
        <w:rPr>
          <w:color w:val="000000" w:themeColor="text1"/>
        </w:rPr>
        <w:t>The Dental Nurse role combines clinical, administrative and interpersonal duties that are essential to safe and effective patient care within the dental team. Communication, attention to detail in infection control, and teamwork have been identified as three essential skills for this role, each underpinned by GDC standards and professional guidance. Developing these skills through CPD, reflective practice, structured checklists and mentorship will support continued professional growth. Reflecting on the process completed across Task 1 and Task 2, structured research and reliable sources have been central to producing this report, and the same approach will continue to guide ongoing professional development as a dental nurse.</w:t>
      </w:r>
    </w:p>
    <w:p w14:paraId="511A7EB7" w14:textId="77777777" w:rsidR="00E03813" w:rsidRPr="000363D1" w:rsidRDefault="00000000">
      <w:pPr>
        <w:rPr>
          <w:color w:val="000000" w:themeColor="text1"/>
        </w:rPr>
      </w:pPr>
      <w:r w:rsidRPr="000363D1">
        <w:rPr>
          <w:color w:val="000000" w:themeColor="text1"/>
        </w:rPr>
        <w:br w:type="page"/>
      </w:r>
    </w:p>
    <w:p w14:paraId="007C0727" w14:textId="77777777" w:rsidR="00E03813" w:rsidRPr="000363D1" w:rsidRDefault="00000000">
      <w:pPr>
        <w:pStyle w:val="Heading1"/>
        <w:spacing w:before="360" w:after="200"/>
        <w:rPr>
          <w:color w:val="000000" w:themeColor="text1"/>
        </w:rPr>
      </w:pPr>
      <w:r w:rsidRPr="000363D1">
        <w:rPr>
          <w:color w:val="000000" w:themeColor="text1"/>
          <w:sz w:val="30"/>
          <w:szCs w:val="30"/>
        </w:rPr>
        <w:lastRenderedPageBreak/>
        <w:t>Reference List</w:t>
      </w:r>
    </w:p>
    <w:p w14:paraId="312B2063" w14:textId="77777777" w:rsidR="00E03813" w:rsidRPr="000363D1" w:rsidRDefault="00000000">
      <w:pPr>
        <w:spacing w:after="200" w:line="300" w:lineRule="auto"/>
        <w:ind w:left="720" w:hanging="720"/>
        <w:rPr>
          <w:i/>
          <w:iCs/>
          <w:color w:val="000000" w:themeColor="text1"/>
        </w:rPr>
      </w:pPr>
      <w:r w:rsidRPr="000363D1">
        <w:rPr>
          <w:i/>
          <w:iCs/>
          <w:color w:val="000000" w:themeColor="text1"/>
        </w:rPr>
        <w:t>Department of Health (2013) HTM 01-05: Decontamination in Primary Care Dental Practices. London: Department of Health.</w:t>
      </w:r>
    </w:p>
    <w:p w14:paraId="5E8638CD" w14:textId="77777777" w:rsidR="00E03813" w:rsidRPr="000363D1" w:rsidRDefault="00000000">
      <w:pPr>
        <w:spacing w:after="200" w:line="300" w:lineRule="auto"/>
        <w:ind w:left="720" w:hanging="720"/>
        <w:rPr>
          <w:i/>
          <w:iCs/>
          <w:color w:val="000000" w:themeColor="text1"/>
        </w:rPr>
      </w:pPr>
      <w:r w:rsidRPr="000363D1">
        <w:rPr>
          <w:i/>
          <w:iCs/>
          <w:color w:val="000000" w:themeColor="text1"/>
        </w:rPr>
        <w:t>General Dental Council (2013) Standards for the Dental Team. London: General Dental Council.</w:t>
      </w:r>
    </w:p>
    <w:p w14:paraId="5E3DF6B6" w14:textId="77777777" w:rsidR="00E03813" w:rsidRPr="000363D1" w:rsidRDefault="00000000">
      <w:pPr>
        <w:spacing w:after="200" w:line="300" w:lineRule="auto"/>
        <w:ind w:left="720" w:hanging="720"/>
        <w:rPr>
          <w:i/>
          <w:iCs/>
          <w:color w:val="000000" w:themeColor="text1"/>
        </w:rPr>
      </w:pPr>
      <w:r w:rsidRPr="000363D1">
        <w:rPr>
          <w:i/>
          <w:iCs/>
          <w:color w:val="000000" w:themeColor="text1"/>
        </w:rPr>
        <w:t>General Dental Council (2018) CPD for Dental Professionals. Available at: https://www.gdc-uk.org/education-cpd/cpd (Accessed: 14 August 2026).</w:t>
      </w:r>
    </w:p>
    <w:p w14:paraId="0A2E8B5F" w14:textId="77777777" w:rsidR="00E03813" w:rsidRPr="000363D1" w:rsidRDefault="00000000">
      <w:pPr>
        <w:spacing w:after="200" w:line="300" w:lineRule="auto"/>
        <w:ind w:left="720" w:hanging="720"/>
        <w:rPr>
          <w:i/>
          <w:iCs/>
          <w:color w:val="000000" w:themeColor="text1"/>
        </w:rPr>
      </w:pPr>
      <w:r w:rsidRPr="000363D1">
        <w:rPr>
          <w:i/>
          <w:iCs/>
          <w:color w:val="000000" w:themeColor="text1"/>
        </w:rPr>
        <w:t>Health Education England (n.d.) Extended Duties for Dental Nurses. Available at: https://heeoe.hee.nhs.uk/dental/eoe-dental/dental-care-professionals/dental-nurses/extended-duties-dental-nurses (Accessed: 14 August 2026).</w:t>
      </w:r>
    </w:p>
    <w:p w14:paraId="36A57A87" w14:textId="77777777" w:rsidR="00E03813" w:rsidRPr="000363D1" w:rsidRDefault="00000000">
      <w:pPr>
        <w:spacing w:after="200" w:line="300" w:lineRule="auto"/>
        <w:ind w:left="720" w:hanging="720"/>
        <w:rPr>
          <w:i/>
          <w:iCs/>
          <w:color w:val="000000" w:themeColor="text1"/>
        </w:rPr>
      </w:pPr>
      <w:r w:rsidRPr="000363D1">
        <w:rPr>
          <w:i/>
          <w:iCs/>
          <w:color w:val="000000" w:themeColor="text1"/>
        </w:rPr>
        <w:t>Institute for Apprenticeships and Technical Education (2021) Dental Nurse: Apprenticeship Standard ST0113. Available at: https://www.skillsengland.education.gov.uk/apprenticeships/st0113-v1-0 (Accessed: 14 August 2026).</w:t>
      </w:r>
    </w:p>
    <w:p w14:paraId="055A5DAB" w14:textId="77777777" w:rsidR="00E03813" w:rsidRPr="000363D1" w:rsidRDefault="00000000">
      <w:pPr>
        <w:spacing w:after="200" w:line="300" w:lineRule="auto"/>
        <w:ind w:left="720" w:hanging="720"/>
        <w:rPr>
          <w:i/>
          <w:iCs/>
          <w:color w:val="000000" w:themeColor="text1"/>
        </w:rPr>
      </w:pPr>
      <w:r w:rsidRPr="000363D1">
        <w:rPr>
          <w:i/>
          <w:iCs/>
          <w:color w:val="000000" w:themeColor="text1"/>
        </w:rPr>
        <w:t>Lauder, D. (2024) 'Communicating effectively with patients and colleagues', BDJ Team, 11, pp. 228-229.</w:t>
      </w:r>
    </w:p>
    <w:p w14:paraId="76C82DAD" w14:textId="77777777" w:rsidR="00E03813" w:rsidRPr="000363D1" w:rsidRDefault="00000000">
      <w:pPr>
        <w:spacing w:after="200" w:line="300" w:lineRule="auto"/>
        <w:ind w:left="720" w:hanging="720"/>
        <w:rPr>
          <w:i/>
          <w:iCs/>
          <w:color w:val="000000" w:themeColor="text1"/>
        </w:rPr>
      </w:pPr>
      <w:r w:rsidRPr="000363D1">
        <w:rPr>
          <w:i/>
          <w:iCs/>
          <w:color w:val="000000" w:themeColor="text1"/>
        </w:rPr>
        <w:t>NHS Health Careers (n.d.) Dental Nurse. Available at: https://www.healthcareers.nhs.uk/explore-roles/dental-team/roles-dental-team/dental-nurse (Accessed: 14 August 2026).</w:t>
      </w:r>
    </w:p>
    <w:sectPr w:rsidR="00E03813" w:rsidRPr="000363D1">
      <w:headerReference w:type="default" r:id="rId8"/>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F85C8" w14:textId="77777777" w:rsidR="008B16B2" w:rsidRDefault="008B16B2">
      <w:r>
        <w:separator/>
      </w:r>
    </w:p>
  </w:endnote>
  <w:endnote w:type="continuationSeparator" w:id="0">
    <w:p w14:paraId="157F7F5A" w14:textId="77777777" w:rsidR="008B16B2" w:rsidRDefault="008B1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9C846" w14:textId="77777777" w:rsidR="00E03813" w:rsidRDefault="00000000">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0363D1">
      <w:rPr>
        <w:noProof/>
        <w:sz w:val="18"/>
        <w:szCs w:val="18"/>
      </w:rPr>
      <w:t>2</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sidR="000363D1">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2457E" w14:textId="77777777" w:rsidR="008B16B2" w:rsidRDefault="008B16B2">
      <w:r>
        <w:separator/>
      </w:r>
    </w:p>
  </w:footnote>
  <w:footnote w:type="continuationSeparator" w:id="0">
    <w:p w14:paraId="3A69AB99" w14:textId="77777777" w:rsidR="008B16B2" w:rsidRDefault="008B16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F32FE" w14:textId="77777777" w:rsidR="00E03813" w:rsidRDefault="00000000">
    <w:pPr>
      <w:jc w:val="right"/>
    </w:pPr>
    <w:r>
      <w:rPr>
        <w:color w:val="888888"/>
        <w:sz w:val="18"/>
        <w:szCs w:val="18"/>
      </w:rPr>
      <w:t>2540742 | LCHS4001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D5487C"/>
    <w:multiLevelType w:val="hybridMultilevel"/>
    <w:tmpl w:val="23B67BB4"/>
    <w:lvl w:ilvl="0" w:tplc="118C8884">
      <w:start w:val="1"/>
      <w:numFmt w:val="bullet"/>
      <w:lvlText w:val="●"/>
      <w:lvlJc w:val="left"/>
      <w:pPr>
        <w:ind w:left="720" w:hanging="360"/>
      </w:pPr>
    </w:lvl>
    <w:lvl w:ilvl="1" w:tplc="C7F23B18">
      <w:start w:val="1"/>
      <w:numFmt w:val="bullet"/>
      <w:lvlText w:val="○"/>
      <w:lvlJc w:val="left"/>
      <w:pPr>
        <w:ind w:left="1440" w:hanging="360"/>
      </w:pPr>
    </w:lvl>
    <w:lvl w:ilvl="2" w:tplc="8968BE78">
      <w:start w:val="1"/>
      <w:numFmt w:val="bullet"/>
      <w:lvlText w:val="■"/>
      <w:lvlJc w:val="left"/>
      <w:pPr>
        <w:ind w:left="2160" w:hanging="360"/>
      </w:pPr>
    </w:lvl>
    <w:lvl w:ilvl="3" w:tplc="8AC0528A">
      <w:start w:val="1"/>
      <w:numFmt w:val="bullet"/>
      <w:lvlText w:val="●"/>
      <w:lvlJc w:val="left"/>
      <w:pPr>
        <w:ind w:left="2880" w:hanging="360"/>
      </w:pPr>
    </w:lvl>
    <w:lvl w:ilvl="4" w:tplc="DDE65AA0">
      <w:start w:val="1"/>
      <w:numFmt w:val="bullet"/>
      <w:lvlText w:val="○"/>
      <w:lvlJc w:val="left"/>
      <w:pPr>
        <w:ind w:left="3600" w:hanging="360"/>
      </w:pPr>
    </w:lvl>
    <w:lvl w:ilvl="5" w:tplc="340C1182">
      <w:start w:val="1"/>
      <w:numFmt w:val="bullet"/>
      <w:lvlText w:val="■"/>
      <w:lvlJc w:val="left"/>
      <w:pPr>
        <w:ind w:left="4320" w:hanging="360"/>
      </w:pPr>
    </w:lvl>
    <w:lvl w:ilvl="6" w:tplc="2E889656">
      <w:start w:val="1"/>
      <w:numFmt w:val="bullet"/>
      <w:lvlText w:val="●"/>
      <w:lvlJc w:val="left"/>
      <w:pPr>
        <w:ind w:left="5040" w:hanging="360"/>
      </w:pPr>
    </w:lvl>
    <w:lvl w:ilvl="7" w:tplc="03401102">
      <w:start w:val="1"/>
      <w:numFmt w:val="bullet"/>
      <w:lvlText w:val="●"/>
      <w:lvlJc w:val="left"/>
      <w:pPr>
        <w:ind w:left="5760" w:hanging="360"/>
      </w:pPr>
    </w:lvl>
    <w:lvl w:ilvl="8" w:tplc="CF5A31B4">
      <w:start w:val="1"/>
      <w:numFmt w:val="bullet"/>
      <w:lvlText w:val="●"/>
      <w:lvlJc w:val="left"/>
      <w:pPr>
        <w:ind w:left="6480" w:hanging="360"/>
      </w:pPr>
    </w:lvl>
  </w:abstractNum>
  <w:num w:numId="1" w16cid:durableId="26688701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813"/>
    <w:rsid w:val="000363D1"/>
    <w:rsid w:val="00450EDA"/>
    <w:rsid w:val="008B16B2"/>
    <w:rsid w:val="00A74DD0"/>
    <w:rsid w:val="00D30AB8"/>
    <w:rsid w:val="00E03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286DC"/>
  <w15:docId w15:val="{3C55E4E7-DDEE-AB40-9ED2-501CB3BA8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1628</Words>
  <Characters>10095</Characters>
  <Application>Microsoft Office Word</Application>
  <DocSecurity>0</DocSecurity>
  <Lines>180</Lines>
  <Paragraphs>78</Paragraphs>
  <ScaleCrop>false</ScaleCrop>
  <Company/>
  <LinksUpToDate>false</LinksUpToDate>
  <CharactersWithSpaces>11645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Sojib Ahmed Raj</cp:lastModifiedBy>
  <cp:revision>3</cp:revision>
  <dcterms:created xsi:type="dcterms:W3CDTF">2026-08-14T20:59:00Z</dcterms:created>
  <dcterms:modified xsi:type="dcterms:W3CDTF">2026-08-16T10:03:00Z</dcterms:modified>
</cp:coreProperties>
</file>