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GoBack"/>
      <w:bookmarkEnd w:id="0"/>
      <w:r>
        <w:rPr/>
        <w:t xml:space="preserve">Critically analyse the implementation of play based early years curricula referring to evaluative research, evidence and reports. </w:t>
        <w:br/>
      </w:r>
    </w:p>
    <w:p>
      <w:pPr>
        <w:pStyle w:val="Normal"/>
        <w:rPr/>
      </w:pPr>
      <w:r>
        <w:rPr>
          <w:color w:val="000000"/>
        </w:rPr>
        <w:t>This assignment aims to critically evaluate the implementation of play based curricula by looking at the foundation phase and discussing the benefits and downfalls to the curriculum and the importance of play and the understanding of play by practitioners.</w:t>
      </w:r>
    </w:p>
    <w:p>
      <w:pPr>
        <w:pStyle w:val="Normal"/>
        <w:rPr>
          <w:color w:val="auto"/>
        </w:rPr>
      </w:pPr>
      <w:r>
        <w:rPr>
          <w:color w:val="auto"/>
        </w:rPr>
        <w:t>The foundation phase curricula for Wales implemented in 2008 moved away from a subject based approach and the typical classroom learning and puts emphasis on learning in the outdoors and play based learning Wainright and Nalda’</w:t>
      </w:r>
      <w:r>
        <w:rPr>
          <w:color w:val="auto"/>
        </w:rPr>
        <w:t>s</w:t>
      </w:r>
      <w:r>
        <w:rPr>
          <w:color w:val="auto"/>
        </w:rPr>
        <w:t xml:space="preserve"> (2021) Research highlights that there are many benefits to learning outdoors including benefits to physical activity, motor development and wider holistic development, these benefits will go on to benefit children into their later life.  </w:t>
      </w:r>
    </w:p>
    <w:p>
      <w:pPr>
        <w:pStyle w:val="Normal"/>
        <w:rPr>
          <w:color w:val="auto"/>
        </w:rPr>
      </w:pPr>
      <w:r>
        <w:rPr>
          <w:color w:val="auto"/>
        </w:rPr>
        <w:t>The Outdoor environment has become a valued resource to the learning environment as the outdoor environment can provide challenges for children’s motor skills and many other bodily skills as well as having positive effects on mental health (Maynard and Waters 2007).   According to Louv (2005) children can suffer from emotional and psychological problems when they do not have contact with natural environments and the name he gives to this is “Nature deficit disorder”.  It is said that technology is having an affect on how much children play outside (Bergen 2003) according to Bergen in the recent times outdoor play is rarely mentioned as an activity for the ages of 2-18 by parents and if the parent did not include outdoor play as a schedule it would never happen.  One major reason for this is technology and how it is playing a big part in children’s lives today and replacing the natural world with a virtual one.  This change from an active world to a sedentary one will have consequences to a child’s development.  Rivkin (2015) states that, ”as children are vulnerable to changes in environment it is especially important for them to have access to the outdoors as this is their natural habitat”, and according to Frost (2006) children are being deprived of outdoor play and this will affect their fundamental survival skills (Bergen 2017)</w:t>
      </w:r>
    </w:p>
    <w:p>
      <w:pPr>
        <w:pStyle w:val="Normal"/>
        <w:rPr>
          <w:color w:val="auto"/>
        </w:rPr>
      </w:pPr>
      <w:r>
        <w:rPr>
          <w:color w:val="auto"/>
        </w:rPr>
        <w:t xml:space="preserve"> </w:t>
      </w:r>
      <w:r>
        <w:rPr>
          <w:color w:val="auto"/>
        </w:rPr>
        <w:t xml:space="preserve">The foundation phase tackles the education of children with a play-based approach indoors and outdoors with the emphasis being on their well-being and their personal and social development.  The foundation phase also aims to pay attention to strengthening children's natural ability such as curiosity and resilience and this is to be achieved by promoting child led activities and play and opportunities created for practical experiential and problem solving in order to create opportunities for sustained shared thinking (Maynard and Waters 2007).  </w:t>
      </w:r>
      <w:r>
        <w:rPr>
          <w:color w:val="000000"/>
        </w:rPr>
        <w:t>A big positive when implemented was the suggestion of children being able to learn at their own pace and to have a choice in what they were learning although the report did show that parents were rarely involved in the implementation of the foundation phase and according to the report the foundation phase did little to promote parent teacher relationships. (</w:t>
      </w:r>
      <w:r>
        <w:rPr>
          <w:rFonts w:eastAsia="Calibri" w:cs=""/>
          <w:color w:val="000000"/>
          <w:kern w:val="0"/>
          <w:sz w:val="22"/>
          <w:szCs w:val="22"/>
          <w:lang w:val="en-GB" w:eastAsia="en-US" w:bidi="ar-SA"/>
        </w:rPr>
        <w:t>Taylor et al 2014</w:t>
      </w:r>
      <w:r>
        <w:rPr>
          <w:color w:val="000000"/>
        </w:rPr>
        <w:t xml:space="preserve">).    </w:t>
      </w:r>
    </w:p>
    <w:p>
      <w:pPr>
        <w:pStyle w:val="Normal"/>
        <w:rPr>
          <w:color w:val="auto"/>
        </w:rPr>
      </w:pPr>
      <w:r>
        <w:rPr>
          <w:color w:val="auto"/>
        </w:rPr>
        <w:t>Evaluating the foundation phase The Final Report (Taylor et al 2015) finds many positive aspects in their report of the foundation phase.  The</w:t>
      </w:r>
      <w:r>
        <w:rPr>
          <w:color w:val="auto"/>
        </w:rPr>
        <w:t>y</w:t>
      </w:r>
      <w:r>
        <w:rPr>
          <w:color w:val="auto"/>
        </w:rPr>
        <w:t xml:space="preserve"> found that schools with greater use of the foundation phase pedagogies were found to have a higher level of children’s involvement and a better level of children’s well-being.  Pupils in key stage 2 were shown to be more likely to achieve level 4 or above when in the foundation phase.  The report also shows the foundation phase has also been linked with improved attainment for pupils who are eligible for free school meals and an overall improvement in attendance.  The report recommends that the government take action to implement the foundation phase further stating that training and guidance materials should emphasise observation and assessment, effective use of the outdoors, delivery of enhanced provision and the roles of teachers and additional partitioners these recommendations could be problematic to put into practice when factors such as staff shortages, child ratios, and teacher/practitioner attitudes </w:t>
      </w:r>
      <w:r>
        <w:rPr>
          <w:color w:val="auto"/>
        </w:rPr>
        <w:t>into perspective,</w:t>
      </w:r>
      <w:r>
        <w:rPr>
          <w:color w:val="auto"/>
        </w:rPr>
        <w:t xml:space="preserve"> also the time restraints put upon the professionals make assessment and observation particularly difficult to implement as well as all the training that is needed to ensure staff are fully knowledgable on their role.</w:t>
      </w:r>
    </w:p>
    <w:p>
      <w:pPr>
        <w:pStyle w:val="TextBody"/>
        <w:rPr>
          <w:color w:val="auto"/>
        </w:rPr>
      </w:pPr>
      <w:r>
        <w:rPr>
          <w:color w:val="auto"/>
        </w:rPr>
        <w:t>Teachers and practitioners using the foundation phase need to have a deep understanding of learning in order to develop the curriculum and combine structure and flexibility whilst still welcoming child led play and playfulness (Kerry,Wood 2011).</w:t>
      </w:r>
    </w:p>
    <w:p>
      <w:pPr>
        <w:pStyle w:val="Normal"/>
        <w:rPr>
          <w:color w:val="auto"/>
        </w:rPr>
      </w:pPr>
      <w:r>
        <w:rPr>
          <w:color w:val="auto"/>
        </w:rPr>
        <w:t xml:space="preserve">Kerry (2004) state that children’s learning does not fit in to subject categories this is supported by Gardners theory of multiple intelligences (Gardner 1999) </w:t>
      </w:r>
    </w:p>
    <w:p>
      <w:pPr>
        <w:pStyle w:val="Normal"/>
        <w:rPr>
          <w:color w:val="auto"/>
        </w:rPr>
      </w:pPr>
      <w:r>
        <w:rPr>
          <w:color w:val="auto"/>
        </w:rPr>
        <w:t xml:space="preserve">According to gov.wales the foundation phase has been implemented in different schools at varying rates and the variation in the way the foundation phase is implemented has been put down to differing views and understandings of the foundation phase by the teachers and practitioners, another reason for this is said to be fear among head teachers that educational achievement will not be met.  This shows the need for professional learning as the structured assessment and teaching methods are ingrained into society and many professionals feel results and paper based outcomes to be the only way in which to measure progression and an inability to see “play” as active learning </w:t>
      </w:r>
      <w:r>
        <w:rPr>
          <w:color w:val="auto"/>
        </w:rPr>
        <w:t xml:space="preserve">(Welsh government 2015). </w:t>
      </w:r>
    </w:p>
    <w:p>
      <w:pPr>
        <w:pStyle w:val="Normal"/>
        <w:rPr>
          <w:color w:val="auto"/>
        </w:rPr>
      </w:pPr>
      <w:r>
        <w:rPr>
          <w:color w:val="000000"/>
          <w:shd w:fill="auto" w:val="clear"/>
        </w:rPr>
        <w:t>An independent review of the foundation phase reported on by Wales online stated that</w:t>
      </w:r>
      <w:r>
        <w:rPr>
          <w:color w:val="000000"/>
          <w:shd w:fill="FFFF00" w:val="clear"/>
        </w:rPr>
        <w:t xml:space="preserve"> </w:t>
      </w:r>
      <w:r>
        <w:rPr>
          <w:color w:val="auto"/>
        </w:rPr>
        <w:t xml:space="preserve">headteachers had varying attitudes on the foundation phase and this was seen as a leading factor in how well the it was implemented, also that the foundation phase varied between local authorities in how successfully it was implemented and this was similar for maintained and non-maintained settings, it was stated that one of the main reasons for this was the decentralised approach in implementation coupled with the fact that there was no real training given to practitioners apart from the initial training and this was leading to practitioners making their own interpretations on many aspects of the foundation the main problematic one being “Play” </w:t>
      </w:r>
      <w:r>
        <w:rPr>
          <w:color w:val="auto"/>
        </w:rPr>
        <w:t>(Welsh government 2015).</w:t>
      </w:r>
      <w:r>
        <w:rPr>
          <w:color w:val="auto"/>
        </w:rPr>
        <w:t xml:space="preserve">   Another key factor in where the foundation phase has been flawed has been the qualifications, training and skills of the newly qualified teachers and TA’s the area which was seen to be needing the most attention from the foundation phase advisors was in finding the balance between “child initiated and practitioner led play” (Evans 2013).    </w:t>
      </w:r>
    </w:p>
    <w:p>
      <w:pPr>
        <w:pStyle w:val="Normal"/>
        <w:rPr>
          <w:color w:val="auto"/>
        </w:rPr>
      </w:pPr>
      <w:r>
        <w:rPr>
          <w:color w:val="auto"/>
        </w:rPr>
        <w:t xml:space="preserve">According to Regio Emilio &amp; New Zealand (Te Wahariki) The formal teaching and studious curriculum whilst children are below the ages of 6-7 will lead to children achieving lower standards of attainment In the future, hence the developmental, experiential play based approach </w:t>
      </w:r>
      <w:r>
        <w:rPr>
          <w:color w:val="auto"/>
        </w:rPr>
        <w:t>(daynurseries.co.uk).</w:t>
      </w:r>
    </w:p>
    <w:p>
      <w:pPr>
        <w:pStyle w:val="Normal"/>
        <w:rPr>
          <w:color w:val="000000"/>
        </w:rPr>
      </w:pPr>
      <w:r>
        <w:rPr>
          <w:color w:val="000000"/>
        </w:rPr>
        <w:t>Play has been named an important resource to learning and according to professionals agree that play affords children fun, flexibility, voluntary and intrinsic motivation, involves active engagement and develops their make believe imagination.  When a child is actively engaged in adult led play the child experiences all these joyful aspects but with the added benefits of the guidance from practitioners to steer the child in a practical, positive way achieving specific learning goals which the child will build upon in to adult life (</w:t>
      </w:r>
      <w:r>
        <w:rPr>
          <w:rFonts w:eastAsia="Calibri" w:cs=""/>
          <w:color w:val="000000"/>
          <w:kern w:val="0"/>
          <w:sz w:val="22"/>
          <w:szCs w:val="22"/>
          <w:lang w:val="en-GB" w:eastAsia="en-US" w:bidi="ar-SA"/>
        </w:rPr>
        <w:t>Taylor et al 2014</w:t>
      </w:r>
      <w:r>
        <w:rPr>
          <w:color w:val="000000"/>
        </w:rPr>
        <w:t>).</w:t>
      </w:r>
    </w:p>
    <w:p>
      <w:pPr>
        <w:pStyle w:val="Normal"/>
        <w:rPr>
          <w:color w:val="000000"/>
        </w:rPr>
      </w:pPr>
      <w:r>
        <w:rPr>
          <w:color w:val="000000"/>
        </w:rPr>
        <w:t xml:space="preserve">Play develops children’s speech and language skills and listening skills as as they narrate their actions in play by adults being involved in these moments such as in adult led play practitioners are in a position to develop children’s vocabulary which they can incorporate into their language.  Play will also develop children’s social skills, by playing together children learn negotiating skills and learn to work together as a team and good sharing skills which are also important skills for future achievements.  Play also develops children’s cognitive, critical thinking and motor skills and it also builds confidence this may be one of the most important benefits of play as without this children will not risk take and explore which is an important need in order for children to meet their developmental milestones </w:t>
      </w:r>
      <w:r>
        <w:rPr>
          <w:color w:val="000000"/>
        </w:rPr>
        <w:t>(Tickell 2011).</w:t>
      </w:r>
    </w:p>
    <w:p>
      <w:pPr>
        <w:pStyle w:val="Normal"/>
        <w:rPr>
          <w:color w:val="000000"/>
        </w:rPr>
      </w:pPr>
      <w:r>
        <w:rPr>
          <w:color w:val="000000"/>
        </w:rPr>
        <w:t xml:space="preserve">According to Maynard, Waters and Clement (2013) outdoor child initiated play had beneficial effects on children who were perceived as under achievers although there was a relatively small sample in the study and there was still a need to explore the perceived understanding of “underachieving”.  As the outdoors was more widely implemented the occurrence of the said “underachievement” disappeared which tells us that the children were not underachieving and simply performed better in an outdoor learning environment. Other results from the study included shy children becoming more confident, boisterous children becoming calmer and more focussed and children who usually seemed less academically able became more successful.    </w:t>
      </w:r>
    </w:p>
    <w:p>
      <w:pPr>
        <w:pStyle w:val="Normal"/>
        <w:rPr>
          <w:color w:val="000000"/>
        </w:rPr>
      </w:pPr>
      <w:r>
        <w:rPr>
          <w:color w:val="000000"/>
        </w:rPr>
        <w:t xml:space="preserve">Play based learning is complex and practitioners should know a child’s overall development in order to create an environment where each child will be engaged and excited to learn and also challenged </w:t>
      </w:r>
      <w:r>
        <w:rPr>
          <w:color w:val="000000"/>
        </w:rPr>
        <w:t xml:space="preserve">(Broadhead 2003). </w:t>
      </w:r>
      <w:r>
        <w:rPr>
          <w:color w:val="000000"/>
        </w:rPr>
        <w:t xml:space="preserve"> Practitioners could implement learning through play by providing children with the resources and opportunities they need to create and explore.  By introducing them to different materials and giving them the space to express themselves and by positive practitioner interactions giving children the encouragement to solve problems, be creative and be inventive.</w:t>
      </w:r>
    </w:p>
    <w:p>
      <w:pPr>
        <w:pStyle w:val="Normal"/>
        <w:rPr>
          <w:color w:val="000000"/>
        </w:rPr>
      </w:pPr>
      <w:r>
        <w:rPr>
          <w:color w:val="000000"/>
        </w:rPr>
        <w:t xml:space="preserve">A main theme of the foundation stage is the “unique child” which is the concept of every child being an individual and unique and therefore they should be allowed the space to grow and develop their own sense of identity and culture and be valued and respected and treated equally </w:t>
      </w:r>
      <w:r>
        <w:rPr>
          <w:color w:val="000000"/>
        </w:rPr>
        <w:t>ref</w:t>
      </w:r>
    </w:p>
    <w:p>
      <w:pPr>
        <w:pStyle w:val="Normal"/>
        <w:rPr>
          <w:color w:val="000000"/>
        </w:rPr>
      </w:pPr>
      <w:r>
        <w:rPr>
          <w:color w:val="000000"/>
        </w:rPr>
        <w:t>If the practitioner who is leading play is adverse to risk believing the risks outweigh the positive benefits and does not allow the children in their care to trust their own decision making and explore their environment they can then go on to pass this fear onto the children in their care and hinder their development in risk taking challenges and fail to build confidence (Waters and Rekers 2019).</w:t>
      </w:r>
    </w:p>
    <w:p>
      <w:pPr>
        <w:pStyle w:val="Normal"/>
        <w:rPr/>
      </w:pPr>
      <w:r>
        <w:rPr>
          <w:color w:val="000000"/>
        </w:rPr>
        <w:t xml:space="preserve">Children’s access to the outdoors can also be minimised by practitioner attitudes to risk and the outdoors.  Practitioners may be fearful of children engaging in the outdoors alone as they may fear there are too many dangers or the outdoor environments provided may be unappetising and do not present any challenge for the children this is also a hinder to the child’s development progress. Some practitioners would rather not let children experience the different weather types as they may be afraid that the children get could get ill. </w:t>
      </w:r>
      <w:r>
        <w:rPr>
          <w:color w:val="000000"/>
        </w:rPr>
        <w:t>(Maynard and Waters 2007)</w:t>
      </w:r>
    </w:p>
    <w:p>
      <w:pPr>
        <w:pStyle w:val="Normal"/>
        <w:rPr/>
      </w:pPr>
      <w:r>
        <w:rPr>
          <w:color w:val="000000"/>
        </w:rPr>
        <w:t xml:space="preserve">A parents role is vital as the parents know their child the best and want their child to achieve more than anyone.  Having a parents contribution can be a powerful tool, and a good parent-practitioner relationship will make a positive difference to the child’s development </w:t>
      </w:r>
      <w:r>
        <w:rPr>
          <w:color w:val="000000"/>
        </w:rPr>
        <w:t>(Mathwasa &amp; Okeke 2016)</w:t>
      </w:r>
    </w:p>
    <w:p>
      <w:pPr>
        <w:pStyle w:val="Normal"/>
        <w:widowControl/>
        <w:suppressAutoHyphens w:val="true"/>
        <w:bidi w:val="0"/>
        <w:spacing w:lineRule="auto" w:line="259" w:before="0" w:after="160"/>
        <w:jc w:val="left"/>
        <w:rPr/>
      </w:pPr>
      <w:r>
        <w:rPr>
          <w:color w:val="000000"/>
        </w:rPr>
        <w:t xml:space="preserve"> </w:t>
      </w:r>
      <w:r>
        <w:rPr>
          <w:color w:val="000000"/>
        </w:rPr>
        <w:t xml:space="preserve">In conclusion the foundation phase for Wales has made many positive changes for children’s learning, by moving the learning to play based children are able to learn in their self-led way in safe, rich environments.  The outdoors is a vital part of children’s learning and has many holistic benefits which will benefit them in their every day lives.  The outdoors allows children the freedom to express themselves fully and learn in a way that fits their personality.  </w:t>
      </w:r>
    </w:p>
    <w:p>
      <w:pPr>
        <w:pStyle w:val="Normal"/>
        <w:rPr/>
      </w:pPr>
      <w:r>
        <w:rPr/>
        <w:t xml:space="preserve">Section 2 </w:t>
      </w:r>
    </w:p>
    <w:p>
      <w:pPr>
        <w:pStyle w:val="Normal"/>
        <w:rPr>
          <w:color w:val="C9211E"/>
        </w:rPr>
      </w:pPr>
      <w:r>
        <w:rPr>
          <w:color w:val="C9211E"/>
        </w:rPr>
      </w:r>
    </w:p>
    <w:p>
      <w:pPr>
        <w:pStyle w:val="Normal"/>
        <w:rPr>
          <w:color w:val="000000"/>
        </w:rPr>
      </w:pPr>
      <w:r>
        <w:rPr>
          <w:color w:val="000000"/>
        </w:rPr>
        <w:t xml:space="preserve">This assignment aims to discuss the unique child in the classroom how the classroom can be inclusive. The pros and cons of assessing children and how assessment is implemented. I will also discuss methods of assessment and how they can help or hinder progress and what place they should take in the classroom.  Also the Te Whariki Curriculum and how being inclusive and not labelling children benefits their development. And how the new curriculum aims to tackle these problems.  </w:t>
      </w:r>
    </w:p>
    <w:p>
      <w:pPr>
        <w:pStyle w:val="Normal"/>
        <w:rPr>
          <w:color w:val="000000"/>
        </w:rPr>
      </w:pPr>
      <w:r>
        <w:rPr>
          <w:color w:val="000000"/>
        </w:rPr>
        <w:t xml:space="preserve"> </w:t>
      </w:r>
    </w:p>
    <w:p>
      <w:pPr>
        <w:pStyle w:val="Normal"/>
        <w:rPr/>
      </w:pPr>
      <w:r>
        <w:rPr>
          <w:color w:val="000000"/>
        </w:rPr>
        <w:t xml:space="preserve">Recognising that every child is different and learns in different ways is important when thinking about assessing children, as the goals set by practitioners and taught by practitioners may not be suited to some children’s learning style Howard Gardner (1983, 1993) theorised that we all have multiple intelligences </w:t>
      </w:r>
      <w:r>
        <w:rPr>
          <w:color w:val="000000"/>
        </w:rPr>
        <w:t>and all learn differently and with different learning styles. (</w:t>
      </w:r>
      <w:r>
        <w:rPr>
          <w:color w:val="000000"/>
        </w:rPr>
        <w:t>Gardner and Hatch 1989</w:t>
      </w:r>
      <w:r>
        <w:rPr>
          <w:color w:val="000000"/>
        </w:rPr>
        <w:t xml:space="preserve">). </w:t>
      </w:r>
    </w:p>
    <w:p>
      <w:pPr>
        <w:pStyle w:val="Normal"/>
        <w:rPr>
          <w:color w:val="000000"/>
        </w:rPr>
      </w:pPr>
      <w:r>
        <w:rPr>
          <w:color w:val="000000"/>
        </w:rPr>
      </w:r>
    </w:p>
    <w:p>
      <w:pPr>
        <w:pStyle w:val="Normal"/>
        <w:rPr>
          <w:color w:val="000000"/>
        </w:rPr>
      </w:pPr>
      <w:r>
        <w:rPr>
          <w:color w:val="000000"/>
        </w:rPr>
        <w:t>A “Unique Child” is giving a child their own sense of individuality and letting them find their own personality without input from adults, and letting children have their own voice. An important part of the unique child is inclusive practice and by creating a space where children and families feel warm and welcome good parent practitioner partnerships can then be made.  Giving children space to develop skills and take risks whilst at the same time knowing there is an adult close by if anything went wrong gives children the confidence to push boundaries and try new things whilst building confidence and expanding their knowledge and learning. Having a balance between allowing children to experience risk and make their own decisions and letting chaos break out. (Unique Child 2008).</w:t>
      </w:r>
    </w:p>
    <w:p>
      <w:pPr>
        <w:pStyle w:val="Normal"/>
        <w:rPr>
          <w:color w:val="000000"/>
        </w:rPr>
      </w:pPr>
      <w:r>
        <w:rPr>
          <w:color w:val="000000"/>
        </w:rPr>
      </w:r>
    </w:p>
    <w:p>
      <w:pPr>
        <w:pStyle w:val="Normal"/>
        <w:rPr>
          <w:color w:val="000000"/>
        </w:rPr>
      </w:pPr>
      <w:r>
        <w:rPr>
          <w:color w:val="000000"/>
        </w:rPr>
        <w:t xml:space="preserve">According to Pyle (2020) contemporary </w:t>
      </w:r>
      <w:r>
        <w:rPr>
          <w:color w:val="000000"/>
        </w:rPr>
        <w:t>Kinder-garden</w:t>
      </w:r>
      <w:r>
        <w:rPr>
          <w:color w:val="000000"/>
        </w:rPr>
        <w:t xml:space="preserve"> curricula emphasised mastery of standards based academic expectations as well as the traditional developmental learning goals, this is said to prepare children for the years of learning ahead of them, describing this period as a “window for opportunity” as the developing brain is in prime condition for collecting new information. </w:t>
      </w:r>
      <w:r>
        <w:rPr>
          <w:color w:val="000000"/>
        </w:rPr>
        <w:t xml:space="preserve">These demands coupled with the transitional process involved in starting at a nursery setting has pushed the emphasis to play based learning where children’s well-being is better protected.  </w:t>
      </w:r>
      <w:r>
        <w:rPr>
          <w:color w:val="000000"/>
        </w:rPr>
        <w:t xml:space="preserve">  </w:t>
      </w:r>
    </w:p>
    <w:p>
      <w:pPr>
        <w:pStyle w:val="Normal"/>
        <w:rPr>
          <w:color w:val="000000"/>
        </w:rPr>
      </w:pPr>
      <w:r>
        <w:rPr>
          <w:color w:val="000000"/>
        </w:rPr>
      </w:r>
    </w:p>
    <w:p>
      <w:pPr>
        <w:pStyle w:val="Normal"/>
        <w:rPr>
          <w:color w:val="000000"/>
        </w:rPr>
      </w:pPr>
      <w:r>
        <w:rPr>
          <w:color w:val="000000"/>
        </w:rPr>
        <w:t xml:space="preserve">Creating an inclusive classroom is creating a classroom where children with disabilities and children without disabilities all have the same rights and access to the curriculum and the role of the adult is to modify the information or adapt the approach in order to include all children </w:t>
      </w:r>
      <w:r>
        <w:rPr>
          <w:color w:val="000000"/>
        </w:rPr>
        <w:t xml:space="preserve">and allow all children the best quality education they can teach respect, acceptance and removing the barriers which can lead to exclusion (Gillbert &amp; Rajan). </w:t>
      </w:r>
    </w:p>
    <w:p>
      <w:pPr>
        <w:pStyle w:val="Normal"/>
        <w:rPr>
          <w:color w:val="000000"/>
        </w:rPr>
      </w:pPr>
      <w:r>
        <w:rPr>
          <w:color w:val="000000"/>
        </w:rPr>
        <w:t xml:space="preserve"> </w:t>
      </w:r>
    </w:p>
    <w:p>
      <w:pPr>
        <w:pStyle w:val="Normal"/>
        <w:rPr>
          <w:color w:val="000000"/>
        </w:rPr>
      </w:pPr>
      <w:r>
        <w:rPr>
          <w:color w:val="000000"/>
        </w:rPr>
        <w:t>Formative assessment allows children to be aware of what they have to do in order to raise their level of learning and may provide motivation although teachers should not see assessment results as fixed and allow for children to progress in their own time and not stigmatise or label children according to Glazzard (2011) assessment can be seen working most positively when they are used to support teaching and promote learning.  Assessment for learning can also be seen as being supportive and show cases the child’s abilities across all the areas for learning, by looking at all the areas of learning the practitioners can gain a full picture of the child’s strengths and weaknesses when implemented correctly assessments should focus on the strengths of each child and a good parent-practitioner partnership should be created. (Glazzard 2011).</w:t>
      </w:r>
    </w:p>
    <w:p>
      <w:pPr>
        <w:pStyle w:val="Normal"/>
        <w:rPr>
          <w:color w:val="000000"/>
        </w:rPr>
      </w:pPr>
      <w:r>
        <w:rPr>
          <w:color w:val="000000"/>
        </w:rPr>
        <w:t xml:space="preserve"> </w:t>
      </w:r>
    </w:p>
    <w:p>
      <w:pPr>
        <w:pStyle w:val="Normal"/>
        <w:rPr>
          <w:color w:val="000000"/>
        </w:rPr>
      </w:pPr>
      <w:r>
        <w:rPr>
          <w:color w:val="000000"/>
        </w:rPr>
        <w:t xml:space="preserve">In Early Years childcare the most popular form of assessment to be used is observational studies as this allows the practitioners to observe actions to gain knowledge and understanding </w:t>
      </w:r>
      <w:r>
        <w:rPr>
          <w:color w:val="000000"/>
        </w:rPr>
        <w:t xml:space="preserve">on each child’s  individual developmental </w:t>
      </w:r>
      <w:r>
        <w:rPr>
          <w:color w:val="000000"/>
        </w:rPr>
        <w:t>needs and any other needs the child may have, the practitioner can then plan ahead for the child’s individual needs and ensure any activities and tasks are developmentally suitable to the child and also the practitioner can learn about the child’s likes and dislikes in order to create activities where the child feels interested and stimulated.  However observations can be seen as time consuming and practitioners can feel rushed to get them done in order to meet targets (Glazzard 2011).</w:t>
      </w:r>
    </w:p>
    <w:p>
      <w:pPr>
        <w:pStyle w:val="Normal"/>
        <w:rPr/>
      </w:pPr>
      <w:r>
        <w:rPr/>
      </w:r>
    </w:p>
    <w:p>
      <w:pPr>
        <w:pStyle w:val="Normal"/>
        <w:rPr/>
      </w:pPr>
      <w:r>
        <w:rPr/>
        <w:t>When considering classroom assessment a key element is fairness, whether the test is fair to all taking the assessment and whether each child has the same opportunities as the rest.  According to Tierney (</w:t>
      </w:r>
      <w:r>
        <w:rPr/>
        <w:t>2013</w:t>
      </w:r>
      <w:r>
        <w:rPr/>
        <w:t xml:space="preserve">) although teachers may aim to to carry out fair assessments interpretations of what fairness looks like may vary.  Teachers are at a disadvantage whilst trying to measure fairness as they are working with limited time to get all the necessary paper work done. </w:t>
      </w:r>
      <w:r>
        <w:rPr/>
        <w:t>One of the suggestions made by Tierney (</w:t>
      </w:r>
      <w:r>
        <w:rPr/>
        <w:t>2013</w:t>
      </w:r>
      <w:r>
        <w:rPr/>
        <w:t>) is the concept of fairness needs reworking.</w:t>
      </w:r>
    </w:p>
    <w:p>
      <w:pPr>
        <w:pStyle w:val="Normal"/>
        <w:rPr/>
      </w:pPr>
      <w:r>
        <w:rPr/>
        <w:t>There is an assumption that different types of testing such as discussion circles, reflective journals and self assessments may be fairer although this is said not to be the case as when dealing in personally with people there are certain amounts of pressure put on them and as people react to pressure in different ways then this would not be a fair circumstance in which to make assessments.</w:t>
      </w:r>
    </w:p>
    <w:p>
      <w:pPr>
        <w:pStyle w:val="Normal"/>
        <w:rPr/>
      </w:pPr>
      <w:r>
        <w:rPr/>
        <w:t xml:space="preserve">  </w:t>
      </w:r>
    </w:p>
    <w:p>
      <w:pPr>
        <w:pStyle w:val="Normal"/>
        <w:rPr/>
      </w:pPr>
      <w:r>
        <w:rPr/>
        <w:t xml:space="preserve">A problem with standardised tests when used in a classroom for assessing children is </w:t>
      </w:r>
      <w:r>
        <w:rPr/>
        <w:t xml:space="preserve">that </w:t>
      </w:r>
      <w:r>
        <w:rPr/>
        <w:t>due to time restraints</w:t>
      </w:r>
      <w:r>
        <w:rPr/>
        <w:t xml:space="preserve"> the teacher will teach the children the information and then they will test the children on that information however children who do not learn in his fashion or take longer to learn information are labelled low achievers and struggle to move out of this label. The assessment model can be seen as flawed as it relies on the theory that to raise learning standards we </w:t>
      </w:r>
      <w:r>
        <w:rPr/>
        <w:t xml:space="preserve">we should raise anxiety in students and that being compared to other students that are performing better in these assessments will motivate the students that are not, where as this may be the case in some instances, generally this idea is very outdated and students will all learn in their own ways Chappuis and Stiggins (2002). </w:t>
      </w:r>
      <w:r>
        <w:rPr/>
        <w:t xml:space="preserve">   </w:t>
      </w:r>
    </w:p>
    <w:p>
      <w:pPr>
        <w:pStyle w:val="Normal"/>
        <w:rPr>
          <w:color w:val="000000"/>
        </w:rPr>
      </w:pPr>
      <w:r>
        <w:rPr>
          <w:color w:val="000000"/>
        </w:rPr>
        <w:t>Testing children does not let us see how they are thinking only if the unique answer is met (Drummond 2003).  According to Drummond (2003) the challenge when doing assessments is protecting children’s rights and interests and encouraging their experiences whilst making assessments children should be having their lives and learning development enriched and enhanced.</w:t>
      </w:r>
    </w:p>
    <w:p>
      <w:pPr>
        <w:pStyle w:val="Normal"/>
        <w:rPr>
          <w:color w:val="000000"/>
        </w:rPr>
      </w:pPr>
      <w:r>
        <w:rPr>
          <w:color w:val="000000"/>
        </w:rPr>
      </w:r>
    </w:p>
    <w:p>
      <w:pPr>
        <w:pStyle w:val="Normal"/>
        <w:rPr/>
      </w:pPr>
      <w:r>
        <w:rPr/>
        <w:t>A</w:t>
      </w:r>
      <w:r>
        <w:rPr/>
        <w:t xml:space="preserve">ll assessments and testing are geared to find out what level the child’s ability is at, the concept of ability is difficult to define and has been called controversial to measure. According to Parekh (2017) the notion of ability is the determinant between who fails and who succeeds but the way it is measured is highly flawed and guarantees that learners who don’t learn in the specific design are set up to fail a flawed system and have little chance of getting further with their learning.  </w:t>
      </w:r>
    </w:p>
    <w:p>
      <w:pPr>
        <w:pStyle w:val="Normal"/>
        <w:rPr/>
      </w:pPr>
      <w:r>
        <w:rPr/>
        <w:t xml:space="preserve">Ability shapes students outcomes according to 50% of teachers interviewed by Ladwig and McPherson (2017) ability also plays a part in shaping pedagogical approaches and strategies </w:t>
      </w:r>
      <w:r>
        <w:rPr/>
        <w:t>when teaching. Ability is used to rank children into groups and this grouping affects students views on themselves and according to Parekh (2017) they see themselves as unable to move from this grouping which ultimately will affect their motivation and confidence.</w:t>
      </w:r>
    </w:p>
    <w:p>
      <w:pPr>
        <w:pStyle w:val="Normal"/>
        <w:rPr/>
      </w:pPr>
      <w:r>
        <w:rPr/>
        <w:t>The grouping of children can have detrimental effects on children’s learning as it does not allow for  individual differences and implies that all children in that group have the same characteristics and children may get stuck in that group throughout life.  In schools equality is often seen as identical when in fact it should be translated equal opportunities (Winter 1959).</w:t>
      </w:r>
    </w:p>
    <w:p>
      <w:pPr>
        <w:pStyle w:val="Normal"/>
        <w:rPr>
          <w:color w:val="C9211E"/>
        </w:rPr>
      </w:pPr>
      <w:r>
        <w:rPr>
          <w:color w:val="C9211E"/>
        </w:rPr>
      </w:r>
    </w:p>
    <w:p>
      <w:pPr>
        <w:pStyle w:val="Normal"/>
        <w:rPr>
          <w:color w:val="000000"/>
        </w:rPr>
      </w:pPr>
      <w:r>
        <w:rPr>
          <w:color w:val="000000"/>
        </w:rPr>
        <w:t>There are a number of outcomes expected from children before they even start school.  Assessment has become part of practice for teachers and practitioners with the emphasis on reaching academic learning targets, the reason behind the need to record children’s achievement and development being argued that testing allows for early intervention, diagnosis, remediation and enhanced pedagogy (</w:t>
      </w:r>
      <w:r>
        <w:rPr>
          <w:color w:val="000000"/>
        </w:rPr>
        <w:t>DeLuca et al 2020</w:t>
      </w:r>
      <w:r>
        <w:rPr>
          <w:color w:val="000000"/>
        </w:rPr>
        <w:t xml:space="preserve">).  These targets run alongside the original social and personal development targets leaving teachers in position where they must teach in an assessment driven way in order to meet targets.  Early years settings have also moved to a play based learning </w:t>
      </w:r>
      <w:r>
        <w:rPr>
          <w:color w:val="000000"/>
        </w:rPr>
        <w:t>style this is in line with the UN convention on the rights of the child (1989) that every child has the right to play as well as the proven benefits to health and well being and the developmental benefits such as creativity skills and imagination, confidence and speech and language (</w:t>
      </w:r>
      <w:r>
        <w:rPr>
          <w:color w:val="000000"/>
        </w:rPr>
        <w:t>gov.wales</w:t>
      </w:r>
      <w:r>
        <w:rPr>
          <w:color w:val="000000"/>
        </w:rPr>
        <w:t>).</w:t>
      </w:r>
    </w:p>
    <w:p>
      <w:pPr>
        <w:pStyle w:val="Normal"/>
        <w:rPr>
          <w:color w:val="000000"/>
        </w:rPr>
      </w:pPr>
      <w:r>
        <w:rPr>
          <w:color w:val="000000"/>
        </w:rPr>
      </w:r>
    </w:p>
    <w:p>
      <w:pPr>
        <w:pStyle w:val="Normal"/>
        <w:rPr>
          <w:color w:val="000000"/>
        </w:rPr>
      </w:pPr>
      <w:r>
        <w:rPr>
          <w:color w:val="000000"/>
        </w:rPr>
        <w:t>The new curriculum is tackling the education and learning of 3 – 16 year old children from a practitioner viewpoint coupled with the expertise of leading experts in early years and on child development, it aims to hand over ownership back to the teachers and practitioners and give children the best possible start and set them up with a positive attitude for learning and they will carry this forward in life.  The new curriculum aims to fulfil the four purposes of the curriculu</w:t>
      </w:r>
      <w:r>
        <w:rPr>
          <w:color w:val="000000"/>
        </w:rPr>
        <w:t>m to create children and young people who are ambitious, capable learners, healthy confident, enterprising creative contributors and ethical informed citizens who can apply these attributes in their daily lives (Welsh.Gov)</w:t>
      </w:r>
      <w:r>
        <w:rPr>
          <w:color w:val="000000"/>
        </w:rPr>
        <w:t>.</w:t>
      </w:r>
    </w:p>
    <w:p>
      <w:pPr>
        <w:pStyle w:val="Normal"/>
        <w:rPr>
          <w:color w:val="000000"/>
        </w:rPr>
      </w:pPr>
      <w:r>
        <w:rPr>
          <w:color w:val="000000"/>
        </w:rPr>
        <w:t>According to the pathways documents (welsh government 2021) the role of the adult for the new curriculum is the most important role as the adult must be the enabler and by creating emotionally safe environments to encourage children to express themselves and their feelings and behaviours in the most positive and beneficial ways.  The adult must always stay consistent with the care given and always show kindness and compassion and be the support to their pupils through transitional periods.  In order to fully engage and understand their pupils they must observe and make decisions on when to interact and make meaningful contributions allowing each pupil to develop at their own pace (welsh.gov 2021).</w:t>
      </w:r>
    </w:p>
    <w:p>
      <w:pPr>
        <w:pStyle w:val="Normal"/>
        <w:rPr>
          <w:color w:val="C9211E"/>
        </w:rPr>
      </w:pPr>
      <w:r>
        <w:rPr>
          <w:color w:val="C9211E"/>
        </w:rPr>
      </w:r>
    </w:p>
    <w:p>
      <w:pPr>
        <w:pStyle w:val="Normal"/>
        <w:rPr>
          <w:color w:val="000000"/>
        </w:rPr>
      </w:pPr>
      <w:r>
        <w:rPr>
          <w:color w:val="000000"/>
        </w:rPr>
        <w:t xml:space="preserve">For children to thrive </w:t>
      </w:r>
      <w:r>
        <w:rPr>
          <w:color w:val="000000"/>
        </w:rPr>
        <w:t>and be the best they can be classrooms should be fully inclusive to all according to Ongley (</w:t>
      </w:r>
      <w:r>
        <w:rPr>
          <w:color w:val="000000"/>
        </w:rPr>
        <w:t>2007</w:t>
      </w:r>
      <w:r>
        <w:rPr>
          <w:color w:val="000000"/>
        </w:rPr>
        <w:t xml:space="preserve">) some practitioners and teachers feel uncomfortable with bi-cultural practices and are confused on how to apply the concept to the classroom.  </w:t>
      </w:r>
    </w:p>
    <w:p>
      <w:pPr>
        <w:pStyle w:val="Normal"/>
        <w:rPr>
          <w:color w:val="000000"/>
        </w:rPr>
      </w:pPr>
      <w:r>
        <w:rPr>
          <w:color w:val="000000"/>
        </w:rPr>
        <w:t>Te Whariki is New Zealand’s curriculum and does not concentrate on children’s learning and pre-set milestones and instead concentrates on well-being, contribution, belonging, communication and exploration.  Play is the foundation of Te Whariki teachers role in the setting is to observe and understand what the child is trying to do and then communicate this with the parents/carers. When practicing Te Whariki the outcomes are a holistic mixture of knowledge, skills and attitudes and also thinking and feeling (</w:t>
      </w:r>
      <w:r>
        <w:rPr>
          <w:color w:val="000000"/>
        </w:rPr>
        <w:t>Ongley 2007</w:t>
      </w:r>
      <w:r>
        <w:rPr>
          <w:color w:val="000000"/>
        </w:rPr>
        <w:t xml:space="preserve">). However Te Whariki can be difficult for practitioners to follow as due to its relaxed nature there are few implemented rules and practitioners can feel that there is little guidance and be forced to make their own decisions as descriptions are very generalised (Ongley 2007).  </w:t>
      </w:r>
    </w:p>
    <w:p>
      <w:pPr>
        <w:pStyle w:val="Normal"/>
        <w:rPr>
          <w:color w:val="000000"/>
        </w:rPr>
      </w:pPr>
      <w:r>
        <w:rPr>
          <w:color w:val="000000"/>
        </w:rPr>
        <w:t xml:space="preserve">In conclusion it is important to recognise that each child is different and learns in different ways.  Allowing children the right to be a “unique child” and develop their own personality and discover what their likes and dislikes are is important for their development.  When assessing children thought should be given to what is being tested, assessments work best when used to support teaching and practitioners should be careful not to group children and leave them feeling that there situation is static and there is no room for progression. Also inclusivity benefits child development and allowing children to take ownership of their learning benefits them on in to later life.  </w:t>
      </w:r>
    </w:p>
    <w:p>
      <w:pPr>
        <w:pStyle w:val="Normal"/>
        <w:rPr>
          <w:color w:val="C9211E"/>
        </w:rPr>
      </w:pPr>
      <w:r>
        <w:rPr>
          <w:color w:val="C9211E"/>
        </w:rPr>
      </w:r>
    </w:p>
    <w:p>
      <w:pPr>
        <w:pStyle w:val="Normal"/>
        <w:rPr/>
      </w:pPr>
      <w:r>
        <w:rPr/>
        <w:t>Section 3</w:t>
      </w:r>
    </w:p>
    <w:p>
      <w:pPr>
        <w:pStyle w:val="Normal"/>
        <w:rPr/>
      </w:pPr>
      <w:r>
        <w:rPr/>
        <w:t xml:space="preserve">The Importance of </w:t>
      </w:r>
      <w:r>
        <w:rPr/>
        <w:t xml:space="preserve">Outdoor play </w:t>
      </w:r>
      <w:r>
        <w:rPr/>
        <w:t xml:space="preserve">in Early Years </w:t>
      </w:r>
    </w:p>
    <w:p>
      <w:pPr>
        <w:pStyle w:val="Normal"/>
        <w:rPr/>
      </w:pPr>
      <w:r>
        <w:rPr/>
      </w:r>
    </w:p>
    <w:p>
      <w:pPr>
        <w:pStyle w:val="Normal"/>
        <w:rPr/>
      </w:pPr>
      <w:r>
        <w:rPr/>
        <w:t xml:space="preserve">There is a lot of evidence </w:t>
      </w:r>
      <w:r>
        <w:rPr/>
        <w:t xml:space="preserve">to suggest the outdoors is a valuable learning tool and supports children’s development and well-being. Children have been proven to learn in many different ways and traditional methods of studious teaching have fallen short for the children who’s best abilities are not in academics but are suited more to an active learning style </w:t>
      </w:r>
      <w:r>
        <w:rPr/>
        <w:t>(Maynard &amp; Waters 2007)</w:t>
      </w:r>
      <w:r>
        <w:rPr/>
        <w:t xml:space="preserve">.  Although this concept is well documented and the foundation stage has done well to implement it, the outdoor environment is still under utilised and many outside areas lack imagination and challenge this is largely due to practitioner attitude on the outdoors, on children taking measured risk and on practitioner attitude on children experiencing all different types of weathers </w:t>
      </w:r>
      <w:r>
        <w:rPr/>
        <w:t>(Wainright 2021).</w:t>
      </w:r>
      <w:r>
        <w:rPr/>
        <w:t xml:space="preserve"> Here we discuss the benefits to children learning in the outdoors on their health and well-being. </w:t>
      </w:r>
    </w:p>
    <w:p>
      <w:pPr>
        <w:pStyle w:val="Normal"/>
        <w:rPr/>
      </w:pPr>
      <w:r>
        <w:rPr/>
        <w:t xml:space="preserve">Playing and learning outdoors is proven to have many benefits to health and well-being as well as being a great learning tool.  Not all children are academically minded and for those who learn best when being active the outdoors is the perfect environment </w:t>
      </w:r>
      <w:r>
        <w:rPr/>
        <w:t>(Wainright et al 2016)</w:t>
      </w:r>
      <w:r>
        <w:rPr/>
        <w:t>. Children learn to be aware of how we must be respectful of animals and plants and creatures and how we are all connected and live on the same planet.  Children when outside playing and learning are active, motivated and have a strong positive attitude (</w:t>
      </w:r>
      <w:r>
        <w:rPr/>
        <w:t>Bergen 2017</w:t>
      </w:r>
      <w:r>
        <w:rPr/>
        <w:t xml:space="preserve">).  The early years foundation stage recognised that the outdoors was such an important tool in child development and incorporated it into the curriculum as a key factor and it states that outdoor environments </w:t>
      </w:r>
      <w:r>
        <w:rPr/>
        <w:t xml:space="preserve">which are safe, secure yet still challenging should be provided in order to stimulate and support child development </w:t>
      </w:r>
      <w:r>
        <w:rPr/>
        <w:t>(Wales.gov 2015).</w:t>
      </w:r>
      <w:r>
        <w:rPr/>
        <w:t xml:space="preserve">  </w:t>
      </w:r>
    </w:p>
    <w:p>
      <w:pPr>
        <w:pStyle w:val="Normal"/>
        <w:rPr/>
      </w:pPr>
      <w:r>
        <w:rPr/>
        <w:t>Children are constantly developing their social skills by playing in the outdoors,  when in the outdoor environment children can create opportunities to negotiate with their peers, be imaginative, learn to cooperate,  and develop sharing and turn taking skills.  The role of the adult is to elaborate on children’s language and support them in forming relationships with each other (</w:t>
      </w:r>
      <w:r>
        <w:rPr/>
        <w:t>daynurseries.co.uk</w:t>
      </w:r>
      <w:r>
        <w:rPr/>
        <w:t>).  By giving children a positive space outdoors we enable them to be less inhibited, join in activities, have conversations about tasks, overcome shyness and also improve children’s emotional health. When outside children feel more relaxed, calm and generally happy which is the perfect environment to learn and to build skills.</w:t>
      </w:r>
    </w:p>
    <w:p>
      <w:pPr>
        <w:pStyle w:val="Normal"/>
        <w:rPr/>
      </w:pPr>
      <w:r>
        <w:rPr/>
      </w:r>
    </w:p>
    <w:p>
      <w:pPr>
        <w:pStyle w:val="Normal"/>
        <w:rPr/>
      </w:pPr>
      <w:r>
        <w:rPr/>
        <w:t>According to the NHS guidelines (2018) children need 3 hours of exercise a day and this should consist of bone strengthening, muscle building and cardiovascular. Children may not get the chance to run around and have the freedom to explore and have fun in other parts of their lives, which makes it important to create rich outdoor environments where they can freely express themselves.</w:t>
      </w:r>
    </w:p>
    <w:p>
      <w:pPr>
        <w:pStyle w:val="Normal"/>
        <w:rPr/>
      </w:pPr>
      <w:r>
        <w:rPr/>
        <w:t>By enabling children to participate in scavenger hunts, creating numbers and letters from natural materials practitioners can develop mathematical and literacy skills and songs and stories can also be encouraged to do in the outdoors using natural resources as props where possible.  Children can also do activities such as painting and creative play outside by using natural materials play can be left open ended (</w:t>
      </w:r>
      <w:r>
        <w:rPr/>
        <w:t>Bilton and Waters 2017</w:t>
      </w:r>
      <w:r>
        <w:rPr/>
        <w:t>).</w:t>
      </w:r>
    </w:p>
    <w:p>
      <w:pPr>
        <w:pStyle w:val="Normal"/>
        <w:rPr/>
      </w:pPr>
      <w:r>
        <w:rPr/>
        <w:t>According to the EYFS main principles the indoor and out door environments should be seen as one and the outdoors should be equal to the indoor, and both should have a great deal of consideration to ensure they are challenging and stimulating in order to keep children enthused.  Although the area should also be versatile and children should be able to change, modify and control the space in a safe manner, this hands ownership over to the children and develops their confidence and imagination</w:t>
      </w:r>
      <w:r>
        <w:rPr/>
        <w:t>(Welsh.gov 2015)</w:t>
      </w:r>
      <w:r>
        <w:rPr/>
        <w:t xml:space="preserve">.  </w:t>
      </w:r>
      <w:r>
        <w:rPr/>
        <w:t xml:space="preserve">  </w:t>
      </w:r>
      <w:r>
        <w:rPr/>
        <w:t xml:space="preserve">   </w:t>
      </w:r>
      <w:r>
        <w:rPr/>
        <w:t xml:space="preserve"> </w:t>
      </w:r>
    </w:p>
    <w:p>
      <w:pPr>
        <w:pStyle w:val="Normal"/>
        <w:rPr/>
      </w:pPr>
      <w:r>
        <w:rPr/>
        <w:t>According to Reggio Emilia play is navigated by children’s interests and by them questioning the world around.  Children being exposed to natural resources and materials will create a space for meaningful play which develops their independence and creative thinking.  Reggio Emilia’s approach promotes activities which will help children to express themselves such as painting, dancing, dramatic play and other expressive arts.  A Reggio Emilia playground would ideally be circular with a meeting place at the centre then proceed outwards with natural resources in order to promote imaginative play (</w:t>
      </w:r>
      <w:r>
        <w:rPr/>
        <w:t>Wien 2015</w:t>
      </w:r>
      <w:r>
        <w:rPr/>
        <w:t xml:space="preserve">).  Reggio Emilio </w:t>
      </w:r>
      <w:r>
        <w:rPr/>
        <w:t xml:space="preserve">promotes play based, hands on learning over the traditional classroom teaching methods. </w:t>
      </w:r>
      <w:r>
        <w:rPr/>
        <w:t xml:space="preserve">  </w:t>
      </w:r>
    </w:p>
    <w:p>
      <w:pPr>
        <w:pStyle w:val="Normal"/>
        <w:rPr/>
      </w:pPr>
      <w:r>
        <w:rPr/>
      </w:r>
    </w:p>
    <w:p>
      <w:pPr>
        <w:pStyle w:val="Normal"/>
        <w:rPr/>
      </w:pPr>
      <w:r>
        <w:rPr/>
        <w:t>In the Reggio Emilia approach the outdoors is considered the third teacher.  In the Forest schools or nature kinder-gardens children spend the whole day outside whatever the weather.  Children are dressed accordingly and are free to explore and investigate the forest of natural surroundings they made available to them.  In Sweden these nurseries have been around since 1892 and has grown from “Frohms” idea that children were becoming alienated from nature as they spend less and less time in natural environments.  The role of the adult at these settings is very important as play needs to be child led with a delicate balance of rich practitioner interactions (Harkonen 2013).</w:t>
      </w:r>
    </w:p>
    <w:p>
      <w:pPr>
        <w:pStyle w:val="Normal"/>
        <w:rPr/>
      </w:pPr>
      <w:r>
        <w:rPr/>
      </w:r>
    </w:p>
    <w:p>
      <w:pPr>
        <w:pStyle w:val="Normal"/>
        <w:rPr/>
      </w:pPr>
      <w:r>
        <w:rPr/>
        <w:t>Providing children with a high quality outdoor environment has continuous benefits.  Children are able to socialise with their friends and play freely without the pressures some children feel when cooped up indoors.  For some of these children this will be their only time in a natural setting throughout the day.  According to Armstrong (1996) exercise has positive effects on children’s emotions and leaves them feeling calm and relaxed and better well-being.  Making sure the environment is well planned out allows children to feed their need for exploration allows them to develop their spacial awareness and makes use of all of their senses (</w:t>
      </w:r>
      <w:r>
        <w:rPr/>
        <w:t>Wainright and Nalda 2021</w:t>
      </w:r>
      <w:r>
        <w:rPr/>
        <w:t xml:space="preserve">). </w:t>
      </w:r>
    </w:p>
    <w:p>
      <w:pPr>
        <w:pStyle w:val="Normal"/>
        <w:rPr/>
      </w:pPr>
      <w:r>
        <w:rPr/>
      </w:r>
    </w:p>
    <w:p>
      <w:pPr>
        <w:pStyle w:val="Normal"/>
        <w:rPr/>
      </w:pPr>
      <w:r>
        <w:rPr/>
        <w:t xml:space="preserve">A study by Bento and Dias (2017) states that the outdoors is a constantly changing environment that provides all sorts of different play situations children find benefit in being exposed to the natural </w:t>
      </w:r>
      <w:r>
        <w:rPr/>
        <w:t>elements such as sunlight and open air however adult opinions such as possible accidents, traffic and interactions with strangers are some of the reasons the outdoors is underutilised, the study concludes that although there is risks the benefits far outweigh them for example developing positive self-esteem, curiosity and becoming well motivated as well as gaining good social skills.</w:t>
      </w:r>
    </w:p>
    <w:p>
      <w:pPr>
        <w:pStyle w:val="Normal"/>
        <w:widowControl/>
        <w:suppressAutoHyphens w:val="true"/>
        <w:bidi w:val="0"/>
        <w:spacing w:lineRule="auto" w:line="259" w:before="0" w:after="160"/>
        <w:jc w:val="left"/>
        <w:rPr>
          <w:color w:val="C9211E"/>
        </w:rPr>
      </w:pPr>
      <w:r>
        <w:rPr>
          <w:color w:val="000000"/>
        </w:rPr>
        <w:t xml:space="preserve"> </w:t>
      </w:r>
      <w:r>
        <w:rPr>
          <w:color w:val="000000"/>
          <w:sz w:val="22"/>
          <w:szCs w:val="22"/>
        </w:rPr>
        <w:t xml:space="preserve">References </w:t>
      </w:r>
    </w:p>
    <w:p>
      <w:pPr>
        <w:pStyle w:val="1TitleandContentLTGliederung1"/>
        <w:widowControl/>
        <w:bidi w:val="0"/>
        <w:spacing w:lineRule="auto" w:line="259" w:before="0" w:after="160"/>
        <w:jc w:val="left"/>
        <w:rPr>
          <w:u w:val="none"/>
        </w:rPr>
      </w:pPr>
      <w:r>
        <w:rPr>
          <w:rFonts w:ascii="Calibri" w:hAnsi="Calibri"/>
          <w:color w:val="000000"/>
          <w:sz w:val="22"/>
          <w:szCs w:val="22"/>
          <w:u w:val="none"/>
        </w:rPr>
        <w:t xml:space="preserve">A Bicultural Curriculum for Toddlers: Living It Every Day Iveta Ongley (2007) </w:t>
      </w:r>
      <w:r>
        <w:rPr>
          <w:rFonts w:ascii="Calibri" w:hAnsi="Calibri"/>
          <w:color w:val="000000"/>
          <w:sz w:val="22"/>
          <w:szCs w:val="22"/>
          <w:u w:val="none"/>
        </w:rPr>
        <w:t>Accessed on: 10/10/21</w:t>
      </w:r>
    </w:p>
    <w:p>
      <w:pPr>
        <w:pStyle w:val="1TitleandContentLTGliederung1"/>
        <w:widowControl/>
        <w:bidi w:val="0"/>
        <w:spacing w:lineRule="auto" w:line="259" w:before="0" w:after="160"/>
        <w:jc w:val="left"/>
        <w:rPr>
          <w:u w:val="none"/>
        </w:rPr>
      </w:pPr>
      <w:r>
        <w:rPr>
          <w:rFonts w:ascii="Calibri" w:hAnsi="Calibri"/>
          <w:b w:val="false"/>
          <w:i w:val="false"/>
          <w:iCs w:val="false"/>
          <w:color w:val="000000"/>
          <w:spacing w:val="0"/>
          <w:sz w:val="22"/>
          <w:szCs w:val="22"/>
          <w:u w:val="none"/>
        </w:rPr>
        <w:t>A Unique Child.</w:t>
      </w:r>
      <w:r>
        <w:rPr>
          <w:rFonts w:ascii="Calibri" w:hAnsi="Calibri"/>
          <w:caps w:val="false"/>
          <w:smallCaps w:val="false"/>
          <w:color w:val="000000"/>
          <w:spacing w:val="0"/>
          <w:sz w:val="22"/>
          <w:szCs w:val="22"/>
          <w:u w:val="none"/>
        </w:rPr>
        <w:t> </w:t>
      </w:r>
      <w:r>
        <w:rPr>
          <w:rFonts w:ascii="Calibri" w:hAnsi="Calibri"/>
          <w:b w:val="false"/>
          <w:i w:val="false"/>
          <w:caps w:val="false"/>
          <w:smallCaps w:val="false"/>
          <w:color w:val="000000"/>
          <w:spacing w:val="0"/>
          <w:sz w:val="22"/>
          <w:szCs w:val="22"/>
          <w:u w:val="none"/>
        </w:rPr>
        <w:t>(2008). T</w:t>
      </w:r>
      <w:r>
        <w:rPr>
          <w:rFonts w:ascii="Calibri" w:hAnsi="Calibri"/>
          <w:b w:val="false"/>
          <w:i/>
          <w:iCs/>
          <w:caps w:val="false"/>
          <w:smallCaps w:val="false"/>
          <w:color w:val="000000"/>
          <w:spacing w:val="0"/>
          <w:sz w:val="22"/>
          <w:szCs w:val="22"/>
          <w:u w:val="none"/>
        </w:rPr>
        <w:t xml:space="preserve">eachers TV/UK Department of Education YOUTUBE </w:t>
      </w:r>
      <w:r>
        <w:rPr>
          <w:rFonts w:ascii="Calibri" w:hAnsi="Calibri"/>
          <w:b w:val="false"/>
          <w:i w:val="false"/>
          <w:iCs w:val="false"/>
          <w:caps w:val="false"/>
          <w:smallCaps w:val="false"/>
          <w:color w:val="000000"/>
          <w:spacing w:val="0"/>
          <w:sz w:val="22"/>
          <w:szCs w:val="22"/>
          <w:u w:val="none"/>
        </w:rPr>
        <w:t>Accessed on: 11/10/21</w:t>
      </w:r>
    </w:p>
    <w:p>
      <w:pPr>
        <w:pStyle w:val="1TitleandContentLTGliederung1"/>
        <w:widowControl/>
        <w:bidi w:val="0"/>
        <w:spacing w:lineRule="auto" w:line="259" w:before="0" w:after="160"/>
        <w:jc w:val="left"/>
        <w:rPr>
          <w:u w:val="none"/>
        </w:rPr>
      </w:pPr>
      <w:r>
        <w:rPr>
          <w:rFonts w:ascii="Calibri" w:hAnsi="Calibri"/>
          <w:color w:val="000000"/>
          <w:sz w:val="22"/>
          <w:szCs w:val="22"/>
          <w:u w:val="none"/>
        </w:rPr>
        <w:t xml:space="preserve">Barriers Educators Face in Involving Fathers in the Education of their Children at the Foundation Phase J. Mathwasa and C. I. O. Okeke (2016) </w:t>
      </w:r>
      <w:r>
        <w:rPr>
          <w:rFonts w:ascii="Calibri" w:hAnsi="Calibri"/>
          <w:i/>
          <w:iCs/>
          <w:color w:val="000000"/>
          <w:sz w:val="22"/>
          <w:szCs w:val="22"/>
          <w:u w:val="none"/>
        </w:rPr>
        <w:t>University of Fort Hare, East London, Eastern Cape, RSA</w:t>
      </w:r>
      <w:r>
        <w:rPr>
          <w:rFonts w:ascii="Calibri" w:hAnsi="Calibri"/>
          <w:color w:val="000000"/>
          <w:sz w:val="22"/>
          <w:szCs w:val="22"/>
          <w:u w:val="none"/>
        </w:rPr>
        <w:t xml:space="preserve"> </w:t>
      </w:r>
    </w:p>
    <w:p>
      <w:pPr>
        <w:pStyle w:val="1TitleandContentLTGliederung1"/>
        <w:widowControl/>
        <w:bidi w:val="0"/>
        <w:spacing w:lineRule="auto" w:line="259" w:before="0" w:after="160"/>
        <w:jc w:val="left"/>
        <w:rPr>
          <w:u w:val="none"/>
        </w:rPr>
      </w:pPr>
      <w:r>
        <w:rPr>
          <w:rFonts w:ascii="Open Sans;Helvetica Neue;Helvetica;Arial;sans-serif" w:hAnsi="Open Sans;Helvetica Neue;Helvetica;Arial;sans-serif"/>
          <w:b w:val="false"/>
          <w:i w:val="false"/>
          <w:caps w:val="false"/>
          <w:smallCaps w:val="false"/>
          <w:color w:val="000000"/>
          <w:spacing w:val="0"/>
          <w:sz w:val="21"/>
          <w:szCs w:val="22"/>
          <w:u w:val="none"/>
        </w:rPr>
        <w:t>Broadhead, P. (2003). Early Years Play and Learning: Developing Social Skills and Cooperation (1st ed.). Routledge. https://doi.org/10.4324/9780203465257</w:t>
      </w:r>
      <w:r>
        <w:rPr>
          <w:rFonts w:ascii="Calibri" w:hAnsi="Calibri"/>
          <w:color w:val="000000"/>
          <w:sz w:val="22"/>
          <w:szCs w:val="22"/>
          <w:u w:val="none"/>
        </w:rPr>
        <w:t xml:space="preserve"> </w:t>
      </w:r>
    </w:p>
    <w:p>
      <w:pPr>
        <w:pStyle w:val="Normal"/>
        <w:widowControl/>
        <w:bidi w:val="0"/>
        <w:spacing w:lineRule="auto" w:line="259" w:before="0" w:after="160"/>
        <w:jc w:val="left"/>
        <w:rPr/>
      </w:pPr>
      <w:r>
        <w:rPr>
          <w:rFonts w:ascii="Open Sans;Arial;Helvetica Neue;Helvetica;sans-serif" w:hAnsi="Open Sans;Arial;Helvetica Neue;Helvetica;sans-serif"/>
          <w:b w:val="false"/>
          <w:i w:val="false"/>
          <w:iCs/>
          <w:caps w:val="false"/>
          <w:smallCaps w:val="false"/>
          <w:color w:val="000000"/>
          <w:spacing w:val="0"/>
          <w:sz w:val="21"/>
          <w:szCs w:val="22"/>
          <w:u w:val="none"/>
        </w:rPr>
        <w:t>Bergen, D. (2017). Technology and outdoor play: concerns and opportunities. In T. WallerE. Ärlemalm-Hagsér, &amp; E. B. Sandseter </w:t>
      </w:r>
      <w:r>
        <w:rPr>
          <w:rStyle w:val="Emphasis"/>
          <w:rFonts w:ascii="Open Sans;Arial;Helvetica Neue;Helvetica;sans-serif" w:hAnsi="Open Sans;Arial;Helvetica Neue;Helvetica;sans-serif"/>
          <w:b w:val="false"/>
          <w:color w:val="000000"/>
          <w:spacing w:val="0"/>
          <w:sz w:val="21"/>
          <w:szCs w:val="22"/>
          <w:u w:val="none"/>
        </w:rPr>
        <w:t>The SAGE Handbook of outdoor play and learning</w:t>
      </w:r>
      <w:r>
        <w:rPr>
          <w:i/>
          <w:iCs/>
          <w:caps w:val="false"/>
          <w:smallCaps w:val="false"/>
          <w:color w:val="000000"/>
          <w:spacing w:val="0"/>
          <w:sz w:val="22"/>
          <w:szCs w:val="22"/>
          <w:u w:val="none"/>
        </w:rPr>
        <w:t> </w:t>
      </w:r>
      <w:r>
        <w:rPr>
          <w:rFonts w:ascii="Open Sans;Arial;Helvetica Neue;Helvetica;sans-serif" w:hAnsi="Open Sans;Arial;Helvetica Neue;Helvetica;sans-serif"/>
          <w:b w:val="false"/>
          <w:i w:val="false"/>
          <w:iCs/>
          <w:caps w:val="false"/>
          <w:smallCaps w:val="false"/>
          <w:color w:val="000000"/>
          <w:spacing w:val="0"/>
          <w:sz w:val="21"/>
          <w:szCs w:val="22"/>
          <w:u w:val="none"/>
        </w:rPr>
        <w:t>(pp. 55-68). SAGE Publications Ltd, https://www-doi-org.ezproxy.uwtsd.ac.uk/10.4135/9781526402028.n4</w:t>
      </w:r>
      <w:r>
        <w:rPr>
          <w:i/>
          <w:iCs/>
          <w:color w:val="000000"/>
          <w:sz w:val="22"/>
          <w:szCs w:val="22"/>
          <w:u w:val="none"/>
        </w:rPr>
        <w:t xml:space="preserve"> </w:t>
      </w:r>
    </w:p>
    <w:p>
      <w:pPr>
        <w:pStyle w:val="Normal"/>
        <w:widowControl/>
        <w:bidi w:val="0"/>
        <w:spacing w:lineRule="auto" w:line="259" w:before="0" w:after="160"/>
        <w:jc w:val="left"/>
        <w:rPr>
          <w:u w:val="none"/>
        </w:rPr>
      </w:pPr>
      <w:r>
        <w:rPr>
          <w:i w:val="false"/>
          <w:iCs w:val="false"/>
          <w:color w:val="000000"/>
          <w:sz w:val="22"/>
          <w:szCs w:val="22"/>
          <w:u w:val="none"/>
        </w:rPr>
        <w:t xml:space="preserve">Chris Taylor, Mirain Rhys &amp; Sam Waldron (2016) </w:t>
      </w:r>
      <w:r>
        <w:rPr>
          <w:i/>
          <w:iCs/>
          <w:color w:val="000000"/>
          <w:sz w:val="22"/>
          <w:szCs w:val="22"/>
          <w:u w:val="none"/>
        </w:rPr>
        <w:t>Implementing curriculum reform in Wales: the case of the Foundation Phase, Oxford Review of Education,</w:t>
      </w:r>
      <w:r>
        <w:rPr>
          <w:i w:val="false"/>
          <w:iCs w:val="false"/>
          <w:color w:val="000000"/>
          <w:sz w:val="22"/>
          <w:szCs w:val="22"/>
          <w:u w:val="none"/>
        </w:rPr>
        <w:t xml:space="preserve"> 42:3, 299-315, DOI:</w:t>
      </w:r>
      <w:r>
        <w:rPr>
          <w:i/>
          <w:iCs/>
          <w:color w:val="000000"/>
          <w:sz w:val="22"/>
          <w:szCs w:val="22"/>
          <w:u w:val="none"/>
        </w:rPr>
        <w:t xml:space="preserve"> </w:t>
      </w:r>
      <w:r>
        <w:rPr>
          <w:i w:val="false"/>
          <w:iCs w:val="false"/>
          <w:color w:val="000000"/>
          <w:sz w:val="22"/>
          <w:szCs w:val="22"/>
          <w:u w:val="none"/>
        </w:rPr>
        <w:t>10.1080/03054985.2016.1184872 To link to this article: https://doi.org/10.1080/03054985.2016.1184872</w:t>
      </w:r>
      <w:r>
        <w:rPr>
          <w:i/>
          <w:iCs/>
          <w:color w:val="000000"/>
          <w:sz w:val="22"/>
          <w:szCs w:val="22"/>
          <w:u w:val="none"/>
        </w:rPr>
        <w:t xml:space="preserve"> </w:t>
      </w:r>
    </w:p>
    <w:p>
      <w:pPr>
        <w:pStyle w:val="1TitleandContentLTGliederung1"/>
        <w:widowControl/>
        <w:bidi w:val="0"/>
        <w:spacing w:lineRule="auto" w:line="259" w:before="0" w:after="160"/>
        <w:jc w:val="left"/>
        <w:rPr>
          <w:u w:val="none"/>
        </w:rPr>
      </w:pPr>
      <w:r>
        <w:rPr>
          <w:rFonts w:ascii="Calibri" w:hAnsi="Calibri"/>
          <w:i w:val="false"/>
          <w:iCs w:val="false"/>
          <w:color w:val="000000"/>
          <w:sz w:val="22"/>
          <w:szCs w:val="22"/>
          <w:u w:val="none"/>
        </w:rPr>
        <w:t>Donaldson, G. (2015) ‘</w:t>
      </w:r>
      <w:r>
        <w:rPr>
          <w:rFonts w:ascii="Calibri" w:hAnsi="Calibri"/>
          <w:i/>
          <w:iCs/>
          <w:color w:val="000000"/>
          <w:sz w:val="22"/>
          <w:szCs w:val="22"/>
          <w:u w:val="none"/>
        </w:rPr>
        <w:t>Successful Futures: Independent Review of Curriculum and Assessment Arrangements in Wales’</w:t>
      </w:r>
      <w:r>
        <w:rPr>
          <w:rFonts w:ascii="Calibri" w:hAnsi="Calibri"/>
          <w:i w:val="false"/>
          <w:iCs w:val="false"/>
          <w:color w:val="000000"/>
          <w:sz w:val="22"/>
          <w:szCs w:val="22"/>
          <w:u w:val="none"/>
        </w:rPr>
        <w:t xml:space="preserve"> Available at: http://dera.ioe.ac.uk/22165/2/150225-successful-futures-en_Redacted.pdf  [Accessed: 10/12/19].</w:t>
      </w:r>
    </w:p>
    <w:p>
      <w:pPr>
        <w:pStyle w:val="Normal"/>
        <w:widowControl/>
        <w:bidi w:val="0"/>
        <w:spacing w:lineRule="auto" w:line="259" w:before="0" w:after="160"/>
        <w:jc w:val="left"/>
        <w:rPr>
          <w:u w:val="none"/>
        </w:rPr>
      </w:pPr>
      <w:r>
        <w:rPr>
          <w:i/>
          <w:iCs/>
          <w:color w:val="000000"/>
          <w:sz w:val="22"/>
          <w:szCs w:val="22"/>
          <w:u w:val="none"/>
        </w:rPr>
        <w:t>Educational Leadership Do Students Care About Learning</w:t>
      </w:r>
      <w:r>
        <w:rPr>
          <w:i w:val="false"/>
          <w:iCs w:val="false"/>
          <w:color w:val="000000"/>
          <w:sz w:val="22"/>
          <w:szCs w:val="22"/>
          <w:u w:val="none"/>
        </w:rPr>
        <w:t xml:space="preserve"> pg40-43 Stephen Chappius and Richard J.Stiggins (2002)</w:t>
      </w:r>
    </w:p>
    <w:p>
      <w:pPr>
        <w:pStyle w:val="Normal"/>
        <w:widowControl/>
        <w:bidi w:val="0"/>
        <w:spacing w:lineRule="auto" w:line="259" w:before="0" w:after="160"/>
        <w:jc w:val="left"/>
        <w:rPr>
          <w:u w:val="none"/>
        </w:rPr>
      </w:pPr>
      <w:r>
        <w:rPr>
          <w:rFonts w:eastAsia="Roboto" w:cs="Roboto"/>
          <w:i/>
          <w:iCs/>
          <w:color w:val="000000"/>
          <w:sz w:val="22"/>
          <w:szCs w:val="22"/>
          <w:u w:val="none"/>
          <w:lang w:val="en-GB"/>
        </w:rPr>
        <w:t>Evaluating the Foundation Phase: Final Report C</w:t>
      </w:r>
      <w:r>
        <w:rPr>
          <w:rFonts w:eastAsia="Roboto" w:cs="Roboto"/>
          <w:i w:val="false"/>
          <w:iCs w:val="false"/>
          <w:color w:val="000000"/>
          <w:sz w:val="22"/>
          <w:szCs w:val="22"/>
          <w:u w:val="none"/>
          <w:lang w:val="en-GB"/>
        </w:rPr>
        <w:t>hris Taylor (2014) , Mirain Rhys, Sam Waldron, Rhys Davies, Sally Power, Trisha Maynard, Laurence Moore, David Blackaby and Ian Plewis</w:t>
      </w:r>
    </w:p>
    <w:p>
      <w:pPr>
        <w:pStyle w:val="Normal"/>
        <w:widowControl/>
        <w:bidi w:val="0"/>
        <w:spacing w:lineRule="auto" w:line="259" w:before="0" w:after="160"/>
        <w:jc w:val="left"/>
        <w:rPr/>
      </w:pPr>
      <w:r>
        <w:rPr>
          <w:i w:val="false"/>
          <w:iCs w:val="false"/>
          <w:color w:val="000000"/>
          <w:sz w:val="22"/>
          <w:szCs w:val="22"/>
          <w:u w:val="none"/>
        </w:rPr>
        <w:t xml:space="preserve">Foundation Phase: </w:t>
      </w:r>
      <w:r>
        <w:rPr>
          <w:i/>
          <w:iCs/>
          <w:color w:val="000000"/>
          <w:sz w:val="22"/>
          <w:szCs w:val="22"/>
          <w:u w:val="none"/>
        </w:rPr>
        <w:t xml:space="preserve">Report deals blow for flagship education policy – wales online </w:t>
      </w:r>
      <w:hyperlink r:id="rId2">
        <w:r>
          <w:rPr>
            <w:rStyle w:val="InternetLink"/>
            <w:i/>
            <w:iCs/>
            <w:color w:val="000000"/>
            <w:sz w:val="22"/>
            <w:szCs w:val="22"/>
            <w:u w:val="none"/>
          </w:rPr>
          <w:t>Foundation Phase: Report deals blow for Wales' flagship education policy - Wales Online</w:t>
        </w:r>
      </w:hyperlink>
      <w:r>
        <w:rPr>
          <w:i w:val="false"/>
          <w:iCs w:val="false"/>
          <w:strike w:val="false"/>
          <w:dstrike w:val="false"/>
          <w:color w:val="000000"/>
          <w:sz w:val="22"/>
          <w:szCs w:val="22"/>
          <w:u w:val="none"/>
        </w:rPr>
        <w:t xml:space="preserve">  DOI: 10/10/21</w:t>
      </w:r>
    </w:p>
    <w:p>
      <w:pPr>
        <w:pStyle w:val="Normal"/>
        <w:widowControl/>
        <w:bidi w:val="0"/>
        <w:spacing w:lineRule="auto" w:line="259" w:before="0" w:after="160"/>
        <w:jc w:val="left"/>
        <w:rPr>
          <w:u w:val="none"/>
        </w:rPr>
      </w:pPr>
      <w:r>
        <w:rPr>
          <w:rFonts w:eastAsia="Source Sans Pro" w:cs="Source Sans Pro"/>
          <w:b w:val="false"/>
          <w:bCs w:val="false"/>
          <w:i w:val="false"/>
          <w:iCs w:val="false"/>
          <w:caps w:val="false"/>
          <w:smallCaps w:val="false"/>
          <w:color w:val="000000"/>
          <w:sz w:val="22"/>
          <w:szCs w:val="22"/>
          <w:u w:val="none"/>
          <w:lang w:val="en-GB"/>
        </w:rPr>
        <w:t>Gillian Parekh (2017)</w:t>
      </w:r>
      <w:r>
        <w:rPr>
          <w:rFonts w:eastAsia="Source Sans Pro" w:cs="Source Sans Pro"/>
          <w:b w:val="false"/>
          <w:bCs w:val="false"/>
          <w:i/>
          <w:iCs/>
          <w:caps w:val="false"/>
          <w:smallCaps w:val="false"/>
          <w:color w:val="000000"/>
          <w:sz w:val="22"/>
          <w:szCs w:val="22"/>
          <w:u w:val="none"/>
          <w:lang w:val="en-GB"/>
        </w:rPr>
        <w:t xml:space="preserve"> The tyranny of “ability”, Curriculum Inquiry, 47:4, 337-343, DOI 10.1080/03626784.2017.1383755 To link to this article: https://doi.org/10.1080/03626784.2017.1383755 </w:t>
      </w:r>
    </w:p>
    <w:p>
      <w:pPr>
        <w:pStyle w:val="Normal"/>
        <w:widowControl/>
        <w:bidi w:val="0"/>
        <w:spacing w:lineRule="auto" w:line="259" w:before="0" w:after="160"/>
        <w:jc w:val="left"/>
        <w:rPr>
          <w:u w:val="none"/>
        </w:rPr>
      </w:pPr>
      <w:r>
        <w:rPr>
          <w:i w:val="false"/>
          <w:iCs w:val="false"/>
          <w:color w:val="000000"/>
          <w:u w:val="none"/>
        </w:rPr>
        <w:t xml:space="preserve">Glazzard, Jonathan (2011) Assessment for learning in the early years foundation stage. Early Years Foundation Stage Forum. This version is available at http://eprints.hud.ac.uk/id/eprint/9941/ </w:t>
      </w:r>
    </w:p>
    <w:p>
      <w:pPr>
        <w:pStyle w:val="Normal"/>
        <w:widowControl/>
        <w:bidi w:val="0"/>
        <w:spacing w:lineRule="auto" w:line="259" w:before="0" w:after="160"/>
        <w:jc w:val="left"/>
        <w:rPr>
          <w:u w:val="none"/>
        </w:rPr>
      </w:pPr>
      <w:r>
        <w:rPr>
          <w:rFonts w:eastAsia="Source Sans Pro" w:cs="Source Sans Pro"/>
          <w:b w:val="false"/>
          <w:bCs w:val="false"/>
          <w:i/>
          <w:iCs/>
          <w:caps w:val="false"/>
          <w:smallCaps w:val="false"/>
          <w:color w:val="000000"/>
          <w:sz w:val="22"/>
          <w:szCs w:val="22"/>
          <w:u w:val="none"/>
          <w:lang w:val="en-GB"/>
        </w:rPr>
        <w:t xml:space="preserve">Grouping Pupils for Maximum Achievement Author(s): Henry J. Otto Source: The School Review , Winter, 1959, Vol. 67, No. 4 (Winter, 1959), pp. 387-395 Published by: The University of Chicago Press Stable URL: https://www.jstor.org/stable/108365 </w:t>
      </w:r>
    </w:p>
    <w:p>
      <w:pPr>
        <w:pStyle w:val="Normal"/>
        <w:widowControl/>
        <w:bidi w:val="0"/>
        <w:spacing w:lineRule="auto" w:line="259" w:before="0" w:after="160"/>
        <w:jc w:val="left"/>
        <w:rPr>
          <w:u w:val="none"/>
        </w:rPr>
      </w:pPr>
      <w:hyperlink r:id="rId3">
        <w:r>
          <w:rPr>
            <w:rStyle w:val="InternetLink"/>
            <w:rFonts w:eastAsia="Roboto" w:cs="Roboto"/>
            <w:b w:val="false"/>
            <w:bCs w:val="false"/>
            <w:i w:val="false"/>
            <w:iCs w:val="false"/>
            <w:caps w:val="false"/>
            <w:smallCaps w:val="false"/>
            <w:color w:val="000000"/>
            <w:sz w:val="22"/>
            <w:szCs w:val="22"/>
            <w:u w:val="none"/>
            <w:lang w:val="en-GB"/>
          </w:rPr>
          <w:t>https://www.tandfonline.com/action/showCitFormats?doi=10.1080/09575140701594400</w:t>
        </w:r>
      </w:hyperlink>
      <w:hyperlink r:id="rId4">
        <w:r>
          <w:rPr>
            <w:rStyle w:val="InternetLink"/>
            <w:rFonts w:eastAsia="Roboto" w:cs="Roboto"/>
            <w:b w:val="false"/>
            <w:bCs w:val="false"/>
            <w:i w:val="false"/>
            <w:iCs w:val="false"/>
            <w:caps w:val="false"/>
            <w:smallCaps w:val="false"/>
            <w:color w:val="000000"/>
            <w:sz w:val="22"/>
            <w:szCs w:val="22"/>
            <w:u w:val="none"/>
            <w:lang w:val="en-GB"/>
          </w:rPr>
          <w:t xml:space="preserve"> </w:t>
        </w:r>
      </w:hyperlink>
      <w:r>
        <w:rPr>
          <w:rStyle w:val="InternetLink"/>
          <w:rFonts w:eastAsia="Roboto" w:cs="Roboto"/>
          <w:b w:val="false"/>
          <w:bCs w:val="false"/>
          <w:i w:val="false"/>
          <w:iCs w:val="false"/>
          <w:caps w:val="false"/>
          <w:smallCaps w:val="false"/>
          <w:color w:val="000000"/>
          <w:sz w:val="22"/>
          <w:szCs w:val="22"/>
          <w:u w:val="none"/>
          <w:lang w:val="en-GB"/>
        </w:rPr>
        <w:t>Accesessed on 10/10/2021</w:t>
      </w:r>
    </w:p>
    <w:p>
      <w:pPr>
        <w:pStyle w:val="1TitleandContentLTGliederung1"/>
        <w:widowControl/>
        <w:bidi w:val="0"/>
        <w:spacing w:lineRule="auto" w:line="259" w:before="0" w:after="160"/>
        <w:jc w:val="left"/>
        <w:rPr>
          <w:u w:val="none"/>
        </w:rPr>
      </w:pPr>
      <w:r>
        <w:rPr>
          <w:rFonts w:ascii="Calibri" w:hAnsi="Calibri"/>
          <w:color w:val="000000"/>
          <w:sz w:val="22"/>
          <w:szCs w:val="22"/>
          <w:u w:val="none"/>
        </w:rPr>
        <w:t xml:space="preserve">International Journal of Exclusive Global Research- Vol 5 Issue 5 May 1 www.ijegr.com </w:t>
      </w:r>
      <w:r>
        <w:rPr>
          <w:rFonts w:ascii="Calibri" w:hAnsi="Calibri"/>
          <w:i/>
          <w:iCs/>
          <w:color w:val="000000"/>
          <w:sz w:val="22"/>
          <w:szCs w:val="22"/>
          <w:u w:val="none"/>
        </w:rPr>
        <w:t>PREPARING TEACHERS TO WORK WITH DIFFERENTLY ABLED STUDENTS: OPPORTUNITIES AND CHALLENGES IN INCLUSIVE EDUCATION</w:t>
      </w:r>
      <w:r>
        <w:rPr>
          <w:rFonts w:ascii="Calibri" w:hAnsi="Calibri"/>
          <w:color w:val="000000"/>
          <w:sz w:val="22"/>
          <w:szCs w:val="22"/>
          <w:u w:val="none"/>
        </w:rPr>
        <w:t xml:space="preserve"> Susan Mary Gilbert Nitty Rajan </w:t>
      </w:r>
    </w:p>
    <w:p>
      <w:pPr>
        <w:pStyle w:val="Normal"/>
        <w:widowControl/>
        <w:bidi w:val="0"/>
        <w:spacing w:lineRule="auto" w:line="259" w:before="0" w:after="160"/>
        <w:jc w:val="left"/>
        <w:rPr>
          <w:u w:val="none"/>
        </w:rPr>
      </w:pPr>
      <w:r>
        <w:rPr>
          <w:i w:val="false"/>
          <w:iCs w:val="false"/>
          <w:color w:val="000000"/>
          <w:sz w:val="22"/>
          <w:szCs w:val="22"/>
          <w:u w:val="none"/>
        </w:rPr>
        <w:t>Multiple Intelligences After Twenty Years By Howard Gardner ©Howard Gardner 2003 doi: 20/10/21</w:t>
      </w:r>
    </w:p>
    <w:p>
      <w:pPr>
        <w:pStyle w:val="1TitleandContentLTGliederung1"/>
        <w:widowControl/>
        <w:bidi w:val="0"/>
        <w:spacing w:lineRule="auto" w:line="259" w:before="0" w:after="160"/>
        <w:jc w:val="left"/>
        <w:rPr>
          <w:u w:val="none"/>
        </w:rPr>
      </w:pPr>
      <w:r>
        <w:rPr>
          <w:rFonts w:ascii="Calibri" w:hAnsi="Calibri"/>
          <w:color w:val="000000"/>
          <w:sz w:val="22"/>
          <w:szCs w:val="22"/>
          <w:u w:val="none"/>
        </w:rPr>
        <w:t xml:space="preserve">Multiple Intelligences Go to School: Educational Implications of the Theory of Multiple Intelligences Author(s): Howard Gardner and Thomas Hatch Source: Educational Researcher, Vol. 18, No. 8 (Nov., 1989), pp. 4-10 </w:t>
      </w:r>
      <w:r>
        <w:rPr>
          <w:rFonts w:ascii="Calibri" w:hAnsi="Calibri"/>
          <w:color w:val="000000"/>
          <w:sz w:val="22"/>
          <w:szCs w:val="22"/>
          <w:u w:val="none"/>
        </w:rPr>
        <w:t>ACCESSED ON: 09/10/2021</w:t>
      </w:r>
    </w:p>
    <w:p>
      <w:pPr>
        <w:pStyle w:val="TextBody"/>
        <w:widowControl/>
        <w:bidi w:val="0"/>
        <w:spacing w:lineRule="auto" w:line="259" w:before="0" w:after="0"/>
        <w:ind w:left="0" w:right="0" w:hanging="0"/>
        <w:jc w:val="left"/>
        <w:rPr>
          <w:u w:val="none"/>
        </w:rPr>
      </w:pPr>
      <w:r>
        <w:rPr>
          <w:u w:val="none"/>
        </w:rPr>
      </w:r>
    </w:p>
    <w:p>
      <w:pPr>
        <w:pStyle w:val="TextBody"/>
        <w:widowControl/>
        <w:bidi w:val="0"/>
        <w:spacing w:lineRule="auto" w:line="259" w:before="0" w:after="0"/>
        <w:ind w:left="0" w:right="0" w:hanging="0"/>
        <w:jc w:val="left"/>
        <w:rPr/>
      </w:pPr>
      <w:r>
        <w:rPr>
          <w:rStyle w:val="InternetLink"/>
          <w:rFonts w:eastAsia="Source Sans Pro" w:cs="Source Sans Pro"/>
          <w:b w:val="false"/>
          <w:bCs w:val="false"/>
          <w:i w:val="false"/>
          <w:iCs/>
          <w:caps w:val="false"/>
          <w:smallCaps w:val="false"/>
          <w:strike w:val="false"/>
          <w:dstrike w:val="false"/>
          <w:color w:val="000000"/>
          <w:spacing w:val="0"/>
          <w:sz w:val="22"/>
          <w:szCs w:val="22"/>
          <w:u w:val="none"/>
          <w:effect w:val="none"/>
          <w:lang w:val="en-GB"/>
        </w:rPr>
        <w:t xml:space="preserve">New Directions for Kindergarden Education: Embedding Assessment in Play-based Learning DeLuca, Christopher; Pyle, Angela ; Valiquetta, Adelina; Lapointe McEwan, Dannielle </w:t>
      </w:r>
      <w:r>
        <w:rPr>
          <w:rStyle w:val="InternetLink"/>
          <w:rFonts w:eastAsia="Source Sans Pro" w:cs="Source Sans Pro"/>
          <w:b w:val="false"/>
          <w:bCs w:val="false"/>
          <w:i/>
          <w:iCs/>
          <w:caps w:val="false"/>
          <w:smallCaps w:val="false"/>
          <w:strike w:val="false"/>
          <w:dstrike w:val="false"/>
          <w:color w:val="000000"/>
          <w:spacing w:val="0"/>
          <w:sz w:val="22"/>
          <w:szCs w:val="22"/>
          <w:u w:val="none"/>
          <w:effect w:val="none"/>
          <w:lang w:val="en-GB"/>
        </w:rPr>
        <w:t xml:space="preserve">Chicago University (2020)  </w:t>
      </w:r>
      <w:r>
        <w:rPr>
          <w:rStyle w:val="InternetLink"/>
          <w:rFonts w:eastAsia="Source Sans Pro" w:cs="Source Sans Pro"/>
          <w:b w:val="false"/>
          <w:bCs w:val="false"/>
          <w:i w:val="false"/>
          <w:iCs/>
          <w:caps w:val="false"/>
          <w:smallCaps w:val="false"/>
          <w:strike w:val="false"/>
          <w:dstrike w:val="false"/>
          <w:color w:val="000000"/>
          <w:spacing w:val="0"/>
          <w:sz w:val="22"/>
          <w:szCs w:val="22"/>
          <w:u w:val="none"/>
          <w:effect w:val="none"/>
          <w:lang w:val="en-GB"/>
        </w:rPr>
        <w:t>DOI: 10.3102/0002831220908800 Article reuse guidelines: sagepub.com/journals-permissions  2020</w:t>
      </w:r>
    </w:p>
    <w:p>
      <w:pPr>
        <w:pStyle w:val="1TitleandContentLTGliederung1"/>
        <w:widowControl/>
        <w:bidi w:val="0"/>
        <w:spacing w:lineRule="auto" w:line="259" w:before="0" w:after="160"/>
        <w:ind w:left="0" w:right="0" w:hanging="0"/>
        <w:jc w:val="left"/>
        <w:rPr/>
      </w:pPr>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 xml:space="preserve">N. Wainwright, J. Goodway, M. Whitehed, A. Williams &amp; D. Kirk (2016) The Foundation Phase in Wales – a play-based curriculum that supports the development of physical literacy, Education 3-13, 44:5, 513-524, DOI: 10.1080/03004279.2016.1176360 To link to this article: http://dx.doi.org/10.1080/03004279.2016.117636 </w:t>
      </w:r>
    </w:p>
    <w:p>
      <w:pPr>
        <w:pStyle w:val="Normal"/>
        <w:widowControl/>
        <w:bidi w:val="0"/>
        <w:spacing w:lineRule="auto" w:line="259" w:before="0" w:after="160"/>
        <w:jc w:val="left"/>
        <w:rPr/>
      </w:pPr>
      <w:r>
        <w:rPr>
          <w:rStyle w:val="InternetLink"/>
          <w:rFonts w:eastAsia="Source Sans Pro" w:cs="Source Sans Pro"/>
          <w:b w:val="false"/>
          <w:bCs w:val="false"/>
          <w:i w:val="false"/>
          <w:iCs/>
          <w:caps w:val="false"/>
          <w:smallCaps w:val="false"/>
          <w:strike w:val="false"/>
          <w:dstrike w:val="false"/>
          <w:color w:val="000000"/>
          <w:spacing w:val="0"/>
          <w:sz w:val="22"/>
          <w:szCs w:val="22"/>
          <w:u w:val="none"/>
          <w:effect w:val="none"/>
          <w:lang w:val="en-GB"/>
        </w:rPr>
        <w:t xml:space="preserve">Reports and Studies in Education, Humanities and Theology ULLA HARKONEN 2013 Accessed: </w:t>
      </w:r>
      <w:r>
        <w:fldChar w:fldCharType="begin"/>
      </w:r>
      <w:r>
        <w:rPr>
          <w:rStyle w:val="InternetLink"/>
          <w:smallCaps w:val="false"/>
          <w:caps w:val="false"/>
          <w:dstrike w:val="false"/>
          <w:strike w:val="false"/>
          <w:sz w:val="22"/>
          <w:spacing w:val="0"/>
          <w:i w:val="false"/>
          <w:u w:val="none"/>
          <w:b w:val="false"/>
          <w:effect w:val="none"/>
          <w:szCs w:val="22"/>
          <w:iCs/>
          <w:bCs w:val="false"/>
          <w:rFonts w:eastAsia="Source Sans Pro" w:cs="Source Sans Pro"/>
          <w:color w:val="000000"/>
          <w:lang w:val="en-GB"/>
        </w:rPr>
        <w:instrText> HYPERLINK "https://www.researchgate.net/profile/Marja-Leena-Roenkkoe/publication/273455518_Semiotic_working_process_as_a_basis_for_children's_craft_process/links/5502f2e80cf2d60c0e64c223/Semiotic-working-process-as-a-basis-for-childrens-craft-process.pdf" \l "page=18"</w:instrText>
      </w:r>
      <w:r>
        <w:rPr>
          <w:rStyle w:val="InternetLink"/>
          <w:smallCaps w:val="false"/>
          <w:caps w:val="false"/>
          <w:dstrike w:val="false"/>
          <w:strike w:val="false"/>
          <w:sz w:val="22"/>
          <w:spacing w:val="0"/>
          <w:i w:val="false"/>
          <w:u w:val="none"/>
          <w:b w:val="false"/>
          <w:effect w:val="none"/>
          <w:szCs w:val="22"/>
          <w:iCs/>
          <w:bCs w:val="false"/>
          <w:rFonts w:eastAsia="Source Sans Pro" w:cs="Source Sans Pro"/>
          <w:color w:val="000000"/>
          <w:lang w:val="en-GB"/>
        </w:rPr>
        <w:fldChar w:fldCharType="separate"/>
      </w:r>
      <w:r>
        <w:rPr>
          <w:rStyle w:val="InternetLink"/>
          <w:rFonts w:eastAsia="Source Sans Pro" w:cs="Source Sans Pro"/>
          <w:b w:val="false"/>
          <w:bCs w:val="false"/>
          <w:i w:val="false"/>
          <w:iCs/>
          <w:caps w:val="false"/>
          <w:smallCaps w:val="false"/>
          <w:strike w:val="false"/>
          <w:dstrike w:val="false"/>
          <w:color w:val="000000"/>
          <w:spacing w:val="0"/>
          <w:sz w:val="22"/>
          <w:szCs w:val="22"/>
          <w:u w:val="none"/>
          <w:effect w:val="none"/>
          <w:lang w:val="en-GB"/>
        </w:rPr>
        <w:t>Semiotic-working-process-as-a-basis-for-childrens-craft-process.pdf (researchgate.net)</w:t>
      </w:r>
      <w:r>
        <w:rPr>
          <w:rStyle w:val="InternetLink"/>
          <w:smallCaps w:val="false"/>
          <w:caps w:val="false"/>
          <w:dstrike w:val="false"/>
          <w:strike w:val="false"/>
          <w:sz w:val="22"/>
          <w:spacing w:val="0"/>
          <w:i w:val="false"/>
          <w:u w:val="none"/>
          <w:b w:val="false"/>
          <w:effect w:val="none"/>
          <w:szCs w:val="22"/>
          <w:iCs/>
          <w:bCs w:val="false"/>
          <w:rFonts w:eastAsia="Source Sans Pro" w:cs="Source Sans Pro"/>
          <w:color w:val="000000"/>
          <w:lang w:val="en-GB"/>
        </w:rPr>
        <w:fldChar w:fldCharType="end"/>
      </w:r>
      <w:r>
        <w:rPr>
          <w:rStyle w:val="InternetLink"/>
          <w:rFonts w:eastAsia="Source Sans Pro" w:cs="Source Sans Pro"/>
          <w:b w:val="false"/>
          <w:bCs w:val="false"/>
          <w:i w:val="false"/>
          <w:iCs/>
          <w:caps w:val="false"/>
          <w:smallCaps w:val="false"/>
          <w:strike w:val="false"/>
          <w:dstrike w:val="false"/>
          <w:color w:val="000000"/>
          <w:spacing w:val="0"/>
          <w:sz w:val="22"/>
          <w:szCs w:val="22"/>
          <w:u w:val="none"/>
          <w:effect w:val="none"/>
          <w:lang w:val="en-GB"/>
        </w:rPr>
        <w:t xml:space="preserve"> doi: 18/10/21</w:t>
      </w:r>
    </w:p>
    <w:p>
      <w:pPr>
        <w:pStyle w:val="1TitleandContentLTGliederung1"/>
        <w:widowControl/>
        <w:bidi w:val="0"/>
        <w:spacing w:lineRule="auto" w:line="259" w:before="0" w:after="160"/>
        <w:jc w:val="left"/>
        <w:rPr/>
      </w:pPr>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 xml:space="preserve">The Early Years: Foundations for life, health and learning An Independent Report on the Early Years Foundation Stage to Her Majesty’s Government Dame Clare Tickell (2011) accesses on: </w:t>
      </w:r>
      <w:hyperlink r:id="rId5">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The-Early-Years-Foundations-for-life-health-and-learning.pdf (outdoormatters.co.uk)</w:t>
        </w:r>
      </w:hyperlink>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 xml:space="preserve"> </w:t>
      </w:r>
    </w:p>
    <w:p>
      <w:pPr>
        <w:pStyle w:val="1TitleandContentLTGliederung1"/>
        <w:widowControl/>
        <w:bidi w:val="0"/>
        <w:spacing w:lineRule="auto" w:line="259" w:before="0" w:after="160"/>
        <w:jc w:val="left"/>
        <w:rPr/>
      </w:pPr>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 xml:space="preserve">The foundation phase in Wales, outdoor learning and motor development WAINWRIGHT N. University of Wales Trinity Saint David, UNITED KINGDOM Published online: February 28, 2021 (Accepted for publication February 22, 2021) DOI:10.7752/jpes.2021.s1064 </w:t>
      </w:r>
    </w:p>
    <w:p>
      <w:pPr>
        <w:pStyle w:val="1TitleandContentLTGliederung1"/>
        <w:widowControl/>
        <w:bidi w:val="0"/>
        <w:spacing w:lineRule="auto" w:line="259" w:before="0" w:after="160"/>
        <w:jc w:val="left"/>
        <w:rPr/>
      </w:pPr>
      <w:r>
        <w:rPr>
          <w:rStyle w:val="InternetLink"/>
          <w:rFonts w:eastAsia="Source Sans Pro" w:cs="Source Sans Pro" w:ascii="Calibri" w:hAnsi="Calibri"/>
          <w:b w:val="false"/>
          <w:bCs w:val="false"/>
          <w:i w:val="false"/>
          <w:iCs/>
          <w:caps w:val="false"/>
          <w:smallCaps w:val="false"/>
          <w:strike w:val="false"/>
          <w:dstrike w:val="false"/>
          <w:color w:val="000000"/>
          <w:spacing w:val="0"/>
          <w:sz w:val="22"/>
          <w:szCs w:val="22"/>
          <w:u w:val="none"/>
          <w:effect w:val="none"/>
          <w:lang w:val="en-GB"/>
        </w:rPr>
        <w:t xml:space="preserve">The importance of Outdoor play for young children’s healthy development Gabriela Bento and Gisela Dias (2017)  </w:t>
      </w:r>
      <w:r>
        <w:rPr>
          <w:rStyle w:val="InternetLink"/>
          <w:rFonts w:eastAsia="Source Sans Pro" w:cs="Source Sans Pro" w:ascii="Calibri" w:hAnsi="Calibri"/>
          <w:b w:val="false"/>
          <w:bCs w:val="false"/>
          <w:i/>
          <w:iCs/>
          <w:caps w:val="false"/>
          <w:smallCaps w:val="false"/>
          <w:strike w:val="false"/>
          <w:dstrike w:val="false"/>
          <w:color w:val="000000"/>
          <w:spacing w:val="0"/>
          <w:sz w:val="22"/>
          <w:szCs w:val="22"/>
          <w:u w:val="none"/>
          <w:effect w:val="none"/>
          <w:lang w:val="en-GB"/>
        </w:rPr>
        <w:t xml:space="preserve">University of Aveiro, Department of Education and Psychology, Campus Universitário de Santiagov, Aveiro, PortugalbCreche – Jardim de Infância ANIP, Coimbra, Portugal </w:t>
      </w:r>
      <w:hyperlink r:id="rId6">
        <w:r>
          <w:rPr>
            <w:rStyle w:val="InternetLink"/>
            <w:rFonts w:eastAsia="Source Sans Pro" w:cs="Source Sans Pro" w:ascii="Calibri" w:hAnsi="Calibri"/>
            <w:b w:val="false"/>
            <w:bCs w:val="false"/>
            <w:i/>
            <w:iCs/>
            <w:caps w:val="false"/>
            <w:smallCaps w:val="false"/>
            <w:strike w:val="false"/>
            <w:dstrike w:val="false"/>
            <w:color w:val="000000"/>
            <w:spacing w:val="0"/>
            <w:sz w:val="22"/>
            <w:szCs w:val="22"/>
            <w:u w:val="none"/>
            <w:effect w:val="none"/>
            <w:lang w:val="en-GB"/>
          </w:rPr>
          <w:t>The importance of outdoor exploratory play in Early years (acornhouse.school)</w:t>
        </w:r>
      </w:hyperlink>
      <w:r>
        <w:rPr>
          <w:rStyle w:val="InternetLink"/>
          <w:rFonts w:eastAsia="Source Sans Pro" w:cs="Source Sans Pro" w:ascii="Calibri" w:hAnsi="Calibri"/>
          <w:b w:val="false"/>
          <w:bCs w:val="false"/>
          <w:i/>
          <w:iCs/>
          <w:caps w:val="false"/>
          <w:smallCaps w:val="false"/>
          <w:strike w:val="false"/>
          <w:dstrike w:val="false"/>
          <w:color w:val="000000"/>
          <w:spacing w:val="0"/>
          <w:sz w:val="22"/>
          <w:szCs w:val="22"/>
          <w:u w:val="none"/>
          <w:effect w:val="none"/>
          <w:lang w:val="en-GB"/>
        </w:rPr>
        <w:t xml:space="preserve"> </w:t>
      </w:r>
      <w:r>
        <w:rPr>
          <w:rStyle w:val="InternetLink"/>
          <w:rFonts w:eastAsia="Source Sans Pro" w:cs="Source Sans Pro" w:ascii="Calibri" w:hAnsi="Calibri"/>
          <w:b w:val="false"/>
          <w:bCs w:val="false"/>
          <w:i/>
          <w:iCs/>
          <w:caps w:val="false"/>
          <w:smallCaps w:val="false"/>
          <w:strike w:val="false"/>
          <w:dstrike w:val="false"/>
          <w:color w:val="000000"/>
          <w:spacing w:val="0"/>
          <w:sz w:val="22"/>
          <w:szCs w:val="22"/>
          <w:u w:val="none"/>
          <w:effect w:val="none"/>
          <w:lang w:val="en-GB"/>
        </w:rPr>
        <w:t>ACCESSED ON: 09/10/21</w:t>
      </w:r>
      <w:r>
        <w:rPr>
          <w:rStyle w:val="InternetLink"/>
          <w:rFonts w:eastAsia="Source Sans Pro" w:cs="Source Sans Pro" w:ascii="Calibri" w:hAnsi="Calibri"/>
          <w:b w:val="false"/>
          <w:bCs w:val="false"/>
          <w:i/>
          <w:iCs/>
          <w:caps w:val="false"/>
          <w:smallCaps w:val="false"/>
          <w:strike w:val="false"/>
          <w:dstrike w:val="false"/>
          <w:color w:val="000000"/>
          <w:spacing w:val="0"/>
          <w:sz w:val="22"/>
          <w:szCs w:val="22"/>
          <w:u w:val="none"/>
          <w:effect w:val="none"/>
          <w:lang w:val="en-GB"/>
        </w:rPr>
        <w:t xml:space="preserve">   </w:t>
      </w:r>
    </w:p>
    <w:p>
      <w:pPr>
        <w:pStyle w:val="Normal"/>
        <w:widowControl/>
        <w:bidi w:val="0"/>
        <w:spacing w:lineRule="auto" w:line="259" w:before="0" w:after="160"/>
        <w:jc w:val="left"/>
        <w:rPr/>
      </w:pPr>
      <w:r>
        <w:rPr>
          <w:rStyle w:val="InternetLink"/>
          <w:rFonts w:eastAsia="Source Sans Pro" w:cs="Source Sans Pro"/>
          <w:b w:val="false"/>
          <w:bCs w:val="false"/>
          <w:i/>
          <w:iCs/>
          <w:caps w:val="false"/>
          <w:smallCaps w:val="false"/>
          <w:strike w:val="false"/>
          <w:dstrike w:val="false"/>
          <w:color w:val="000000"/>
          <w:spacing w:val="0"/>
          <w:sz w:val="22"/>
          <w:szCs w:val="22"/>
          <w:u w:val="none"/>
          <w:effect w:val="none"/>
          <w:lang w:val="en-GB"/>
        </w:rPr>
        <w:t xml:space="preserve"> </w:t>
      </w:r>
      <w:r>
        <w:rPr>
          <w:rStyle w:val="InternetLink"/>
          <w:rFonts w:eastAsia="Source Sans Pro" w:cs="Source Sans Pro"/>
          <w:b w:val="false"/>
          <w:bCs w:val="false"/>
          <w:i/>
          <w:iCs/>
          <w:caps w:val="false"/>
          <w:smallCaps w:val="false"/>
          <w:strike w:val="false"/>
          <w:dstrike w:val="false"/>
          <w:color w:val="000000"/>
          <w:spacing w:val="0"/>
          <w:sz w:val="22"/>
          <w:szCs w:val="22"/>
          <w:u w:val="none"/>
          <w:effect w:val="none"/>
          <w:lang w:val="en-GB"/>
        </w:rPr>
        <w:t xml:space="preserve">Trisha Maynard , Jane Waters &amp; Jennifer Clement (2013) Child-initiated learning, the outdoor environment and the ‘underachieving’ child, Early Years, 33:3, 212-225, 10.1080/09575146.2013.771152 </w:t>
      </w:r>
    </w:p>
    <w:p>
      <w:pPr>
        <w:pStyle w:val="Normal"/>
        <w:widowControl/>
        <w:bidi w:val="0"/>
        <w:spacing w:lineRule="auto" w:line="259" w:before="0" w:after="160"/>
        <w:jc w:val="left"/>
        <w:rPr/>
      </w:pPr>
      <w:r>
        <w:rPr>
          <w:rStyle w:val="InternetLink"/>
          <w:rFonts w:eastAsia="Source Sans Pro" w:cs="Source Sans Pro"/>
          <w:b w:val="false"/>
          <w:bCs w:val="false"/>
          <w:i w:val="false"/>
          <w:iCs w:val="false"/>
          <w:caps w:val="false"/>
          <w:smallCaps w:val="false"/>
          <w:strike w:val="false"/>
          <w:dstrike w:val="false"/>
          <w:color w:val="000000"/>
          <w:spacing w:val="0"/>
          <w:sz w:val="22"/>
          <w:szCs w:val="22"/>
          <w:u w:val="none"/>
          <w:effect w:val="none"/>
          <w:lang w:val="en-GB"/>
        </w:rPr>
        <w:t xml:space="preserve">Top 5 Benefits of Learning Through Play Blog Chatsworth Hills Academy  </w:t>
      </w:r>
      <w:hyperlink r:id="rId7">
        <w:r>
          <w:rPr>
            <w:rStyle w:val="InternetLink"/>
            <w:rFonts w:eastAsia="Source Sans Pro" w:cs="Source Sans Pro"/>
            <w:b w:val="false"/>
            <w:bCs w:val="false"/>
            <w:i w:val="false"/>
            <w:iCs w:val="false"/>
            <w:caps w:val="false"/>
            <w:smallCaps w:val="false"/>
            <w:strike w:val="false"/>
            <w:dstrike w:val="false"/>
            <w:color w:val="000000"/>
            <w:spacing w:val="0"/>
            <w:sz w:val="22"/>
            <w:szCs w:val="22"/>
            <w:u w:val="none"/>
            <w:effect w:val="none"/>
            <w:lang w:val="en-GB"/>
          </w:rPr>
          <w:t>https://chaschool.org/top-learning-play/5-benefits-</w:t>
        </w:r>
      </w:hyperlink>
      <w:r>
        <w:rPr>
          <w:rStyle w:val="InternetLink"/>
          <w:rFonts w:eastAsia="Source Sans Pro" w:cs="Source Sans Pro"/>
          <w:b w:val="false"/>
          <w:bCs w:val="false"/>
          <w:i w:val="false"/>
          <w:iCs w:val="false"/>
          <w:caps w:val="false"/>
          <w:smallCaps w:val="false"/>
          <w:strike w:val="false"/>
          <w:dstrike w:val="false"/>
          <w:color w:val="000000"/>
          <w:spacing w:val="0"/>
          <w:sz w:val="22"/>
          <w:szCs w:val="22"/>
          <w:u w:val="none"/>
          <w:effect w:val="none"/>
          <w:lang w:val="en-GB"/>
        </w:rPr>
        <w:t xml:space="preserve"> Accessed on 12/10/21</w:t>
      </w:r>
    </w:p>
    <w:p>
      <w:pPr>
        <w:pStyle w:val="1TitleandContentLTGliederung1"/>
        <w:widowControl/>
        <w:bidi w:val="0"/>
        <w:spacing w:lineRule="auto" w:line="259" w:before="0" w:after="160"/>
        <w:jc w:val="left"/>
        <w:rPr/>
      </w:pPr>
      <w:r>
        <w:rPr>
          <w:rStyle w:val="InternetLink"/>
          <w:rFonts w:eastAsia="Source Sans Pro" w:cs="Source Sans Pro" w:ascii="Calibri" w:hAnsi="Calibri"/>
          <w:b w:val="false"/>
          <w:bCs w:val="false"/>
          <w:i w:val="false"/>
          <w:iCs w:val="false"/>
          <w:caps w:val="false"/>
          <w:smallCaps w:val="false"/>
          <w:strike w:val="false"/>
          <w:dstrike w:val="false"/>
          <w:color w:val="000000"/>
          <w:spacing w:val="0"/>
          <w:sz w:val="22"/>
          <w:szCs w:val="22"/>
          <w:u w:val="none"/>
          <w:effect w:val="none"/>
          <w:lang w:val="en-GB"/>
        </w:rPr>
        <w:t xml:space="preserve">Trisha Maynard &amp; Jane Waters (2007) Learning in the outdoor environment: a missed opportunity?, Early Years, 27:3, 255-265, DOI: 10.1080/09575140701594400 To link to this article: https://doi.org/10.1080/09575140701594400 </w:t>
      </w:r>
    </w:p>
    <w:p>
      <w:pPr>
        <w:pStyle w:val="1TitleandContentLTGliederung1"/>
        <w:widowControl/>
        <w:bidi w:val="0"/>
        <w:spacing w:lineRule="auto" w:line="259" w:before="0" w:after="160"/>
        <w:jc w:val="left"/>
        <w:rPr>
          <w:rStyle w:val="InternetLink"/>
          <w:rFonts w:ascii="Calibri" w:hAnsi="Calibri" w:eastAsia="Source Sans Pro" w:cs="Source Sans Pro"/>
          <w:b w:val="false"/>
          <w:b w:val="false"/>
          <w:bCs w:val="false"/>
          <w:i w:val="false"/>
          <w:i w:val="false"/>
          <w:iCs w:val="false"/>
          <w:caps w:val="false"/>
          <w:smallCaps w:val="false"/>
          <w:strike w:val="false"/>
          <w:dstrike w:val="false"/>
          <w:color w:val="000000"/>
          <w:spacing w:val="0"/>
          <w:sz w:val="22"/>
          <w:szCs w:val="22"/>
          <w:u w:val="none"/>
          <w:effect w:val="none"/>
          <w:lang w:val="en-GB"/>
        </w:rPr>
      </w:pPr>
      <w:r>
        <w:rPr/>
      </w:r>
    </w:p>
    <w:p>
      <w:pPr>
        <w:pStyle w:val="Normal"/>
        <w:rPr>
          <w:u w:val="none"/>
        </w:rPr>
      </w:pPr>
      <w:r>
        <w:rPr>
          <w:rFonts w:eastAsia="Source Sans Pro" w:cs="Source Sans Pro"/>
          <w:b w:val="false"/>
          <w:bCs w:val="false"/>
          <w:i w:val="false"/>
          <w:iCs w:val="false"/>
          <w:caps w:val="false"/>
          <w:smallCaps w:val="false"/>
          <w:color w:val="000000"/>
          <w:sz w:val="22"/>
          <w:szCs w:val="22"/>
          <w:u w:val="none"/>
          <w:lang w:val="en-GB"/>
        </w:rPr>
        <w:t xml:space="preserve">Wainwright, Nalda (2021) The foundation phase in Wales, outdoor learning and motor development. </w:t>
      </w:r>
      <w:r>
        <w:rPr>
          <w:rFonts w:eastAsia="Source Sans Pro" w:cs="Source Sans Pro"/>
          <w:b w:val="false"/>
          <w:bCs w:val="false"/>
          <w:i/>
          <w:iCs/>
          <w:caps w:val="false"/>
          <w:smallCaps w:val="false"/>
          <w:color w:val="000000"/>
          <w:sz w:val="22"/>
          <w:szCs w:val="22"/>
          <w:u w:val="none"/>
          <w:lang w:val="en-GB"/>
        </w:rPr>
        <w:t>Journal of Physical Education and Sport</w:t>
      </w:r>
      <w:r>
        <w:rPr>
          <w:rFonts w:eastAsia="Source Sans Pro" w:cs="Source Sans Pro"/>
          <w:b w:val="false"/>
          <w:bCs w:val="false"/>
          <w:i w:val="false"/>
          <w:iCs w:val="false"/>
          <w:caps w:val="false"/>
          <w:smallCaps w:val="false"/>
          <w:color w:val="000000"/>
          <w:sz w:val="22"/>
          <w:szCs w:val="22"/>
          <w:u w:val="none"/>
          <w:lang w:val="en-GB"/>
        </w:rPr>
        <w:t>, 21 (1). pp. 567-573. ISSN 2247-806X accessed on 09/10/2021</w:t>
      </w:r>
    </w:p>
    <w:p>
      <w:pPr>
        <w:pStyle w:val="Normal"/>
        <w:rPr/>
      </w:pPr>
      <w:r>
        <w:rPr>
          <w:color w:val="000000"/>
          <w:sz w:val="22"/>
          <w:szCs w:val="22"/>
          <w:u w:val="none"/>
        </w:rPr>
        <w:t xml:space="preserve">Welsh Government, Consultation Document, Enabling Pathways </w:t>
      </w:r>
      <w:hyperlink r:id="rId8">
        <w:r>
          <w:rPr>
            <w:rStyle w:val="InternetLink"/>
            <w:color w:val="000000"/>
            <w:sz w:val="22"/>
            <w:szCs w:val="22"/>
            <w:u w:val="none"/>
          </w:rPr>
          <w:t>enabling-pathways-consultation-document_0.pdf (gov.wales)</w:t>
        </w:r>
      </w:hyperlink>
      <w:r>
        <w:rPr>
          <w:color w:val="000000"/>
          <w:sz w:val="22"/>
          <w:szCs w:val="22"/>
          <w:u w:val="none"/>
        </w:rPr>
        <w:t xml:space="preserve"> </w:t>
      </w:r>
    </w:p>
    <w:p>
      <w:pPr>
        <w:pStyle w:val="1TitleandContentLTGliederung1"/>
        <w:widowControl/>
        <w:bidi w:val="0"/>
        <w:spacing w:lineRule="auto" w:line="259" w:before="0" w:after="160"/>
        <w:jc w:val="left"/>
        <w:rPr>
          <w:u w:val="none"/>
        </w:rPr>
      </w:pPr>
      <w:r>
        <w:rPr>
          <w:rFonts w:eastAsia="Source Sans Pro" w:cs="Source Sans Pro" w:ascii="Calibri" w:hAnsi="Calibri"/>
          <w:b w:val="false"/>
          <w:bCs w:val="false"/>
          <w:i/>
          <w:iCs/>
          <w:caps w:val="false"/>
          <w:smallCaps w:val="false"/>
          <w:color w:val="000000"/>
          <w:sz w:val="22"/>
          <w:szCs w:val="22"/>
          <w:u w:val="none"/>
          <w:lang w:val="en-GB"/>
        </w:rPr>
        <w:t xml:space="preserve">Welsh Government (2015b) </w:t>
      </w:r>
      <w:r>
        <w:rPr>
          <w:rFonts w:eastAsia="Source Sans Pro" w:cs="Source Sans Pro" w:ascii="Calibri" w:hAnsi="Calibri"/>
          <w:b w:val="false"/>
          <w:bCs w:val="false"/>
          <w:i/>
          <w:iCs w:val="false"/>
          <w:caps w:val="false"/>
          <w:smallCaps w:val="false"/>
          <w:color w:val="000000"/>
          <w:sz w:val="22"/>
          <w:szCs w:val="22"/>
          <w:u w:val="none"/>
          <w:lang w:val="en-GB"/>
        </w:rPr>
        <w:t xml:space="preserve">Evaluating the Foundation Phase Final Report. </w:t>
      </w:r>
      <w:r>
        <w:rPr>
          <w:rFonts w:eastAsia="Source Sans Pro" w:cs="Source Sans Pro" w:ascii="Calibri" w:hAnsi="Calibri"/>
          <w:b w:val="false"/>
          <w:bCs w:val="false"/>
          <w:i w:val="false"/>
          <w:iCs w:val="false"/>
          <w:caps w:val="false"/>
          <w:smallCaps w:val="false"/>
          <w:color w:val="000000"/>
          <w:sz w:val="22"/>
          <w:szCs w:val="22"/>
          <w:u w:val="none"/>
          <w:lang w:val="en-GB"/>
        </w:rPr>
        <w:t xml:space="preserve">Cardiff: Welsh Government </w:t>
      </w:r>
      <w:r>
        <w:rPr>
          <w:rFonts w:eastAsia="Source Sans Pro" w:cs="Source Sans Pro" w:ascii="Calibri" w:hAnsi="Calibri"/>
          <w:b w:val="false"/>
          <w:bCs w:val="false"/>
          <w:i w:val="false"/>
          <w:iCs w:val="false"/>
          <w:caps w:val="false"/>
          <w:smallCaps w:val="false"/>
          <w:color w:val="000000"/>
          <w:sz w:val="22"/>
          <w:szCs w:val="22"/>
          <w:u w:val="none"/>
          <w:lang w:val="en-GB"/>
        </w:rPr>
        <w:t>Accessed on 14/10/21</w:t>
      </w:r>
    </w:p>
    <w:p>
      <w:pPr>
        <w:pStyle w:val="Normal"/>
        <w:widowControl/>
        <w:bidi w:val="0"/>
        <w:spacing w:lineRule="auto" w:line="259" w:before="0" w:after="160"/>
        <w:jc w:val="left"/>
        <w:rPr>
          <w:u w:val="none"/>
        </w:rPr>
      </w:pPr>
      <w:r>
        <w:rPr>
          <w:rFonts w:eastAsia="Source Sans Pro" w:cs="Source Sans Pro"/>
          <w:b w:val="false"/>
          <w:bCs w:val="false"/>
          <w:i w:val="false"/>
          <w:iCs w:val="false"/>
          <w:caps w:val="false"/>
          <w:smallCaps w:val="false"/>
          <w:color w:val="000000"/>
          <w:sz w:val="22"/>
          <w:szCs w:val="22"/>
          <w:u w:val="none"/>
          <w:lang w:val="en-GB"/>
        </w:rPr>
        <w:t>What is the Reggio Emilia Approach to Early Years Education?- daynurseries.co.uk accessed on 10/10/21</w:t>
      </w:r>
    </w:p>
    <w:p>
      <w:pPr>
        <w:pStyle w:val="Normal"/>
        <w:widowControl/>
        <w:bidi w:val="0"/>
        <w:spacing w:lineRule="auto" w:line="259" w:before="0" w:after="160"/>
        <w:jc w:val="left"/>
        <w:rPr/>
      </w:pPr>
      <w:r>
        <w:rPr>
          <w:rFonts w:eastAsia="Roboto" w:cs="Roboto"/>
          <w:b w:val="false"/>
          <w:bCs w:val="false"/>
          <w:i w:val="false"/>
          <w:iCs w:val="false"/>
          <w:caps w:val="false"/>
          <w:smallCaps w:val="false"/>
          <w:color w:val="000000"/>
          <w:sz w:val="22"/>
          <w:szCs w:val="22"/>
          <w:u w:val="none"/>
          <w:lang w:val="en-GB"/>
        </w:rPr>
        <w:t xml:space="preserve">Why Take Young Children Outside? A Critical Consideration of the Professed Aims for Outdoor Learning in the Early Years by Teachers from England and Wales  </w:t>
      </w:r>
      <w:hyperlink r:id="rId9">
        <w:r>
          <w:rPr>
            <w:rStyle w:val="InternetLink"/>
            <w:rFonts w:eastAsia="Roboto" w:cs="Roboto"/>
            <w:b w:val="false"/>
            <w:bCs w:val="false"/>
            <w:i w:val="false"/>
            <w:iCs w:val="false"/>
            <w:caps w:val="false"/>
            <w:smallCaps w:val="false"/>
            <w:strike w:val="false"/>
            <w:dstrike w:val="false"/>
            <w:color w:val="000000"/>
            <w:sz w:val="22"/>
            <w:szCs w:val="22"/>
            <w:u w:val="none"/>
            <w:lang w:val="en-GB"/>
          </w:rPr>
          <w:t>Bilton, Helen</w:t>
        </w:r>
      </w:hyperlink>
      <w:r>
        <w:rPr>
          <w:rFonts w:eastAsia="Roboto" w:cs="Roboto"/>
          <w:b w:val="false"/>
          <w:bCs w:val="false"/>
          <w:i w:val="false"/>
          <w:iCs w:val="false"/>
          <w:caps w:val="false"/>
          <w:smallCaps w:val="false"/>
          <w:color w:val="000000"/>
          <w:sz w:val="22"/>
          <w:szCs w:val="22"/>
          <w:u w:val="none"/>
          <w:lang w:val="en-GB"/>
        </w:rPr>
        <w:t xml:space="preserve">; </w:t>
      </w:r>
      <w:hyperlink r:id="rId10">
        <w:r>
          <w:rPr>
            <w:rStyle w:val="InternetLink"/>
            <w:rFonts w:eastAsia="Roboto" w:cs="Roboto"/>
            <w:b w:val="false"/>
            <w:bCs w:val="false"/>
            <w:i w:val="false"/>
            <w:iCs w:val="false"/>
            <w:caps w:val="false"/>
            <w:smallCaps w:val="false"/>
            <w:strike w:val="false"/>
            <w:dstrike w:val="false"/>
            <w:color w:val="000000"/>
            <w:sz w:val="22"/>
            <w:szCs w:val="22"/>
            <w:u w:val="none"/>
            <w:lang w:val="en-GB"/>
          </w:rPr>
          <w:t>Waters, Jane</w:t>
        </w:r>
      </w:hyperlink>
      <w:r>
        <w:rPr>
          <w:rFonts w:eastAsia="Roboto" w:cs="Roboto"/>
          <w:b w:val="false"/>
          <w:bCs w:val="false"/>
          <w:i w:val="false"/>
          <w:iCs w:val="false"/>
          <w:caps w:val="false"/>
          <w:smallCaps w:val="false"/>
          <w:color w:val="000000"/>
          <w:sz w:val="22"/>
          <w:szCs w:val="22"/>
          <w:u w:val="none"/>
          <w:lang w:val="en-GB"/>
        </w:rPr>
        <w:t xml:space="preserve">. </w:t>
      </w:r>
      <w:hyperlink r:id="rId11">
        <w:r>
          <w:rPr>
            <w:rStyle w:val="InternetLink"/>
            <w:rFonts w:eastAsia="Roboto" w:cs="Roboto"/>
            <w:b/>
            <w:bCs/>
            <w:i w:val="false"/>
            <w:iCs w:val="false"/>
            <w:caps w:val="false"/>
            <w:smallCaps w:val="false"/>
            <w:strike w:val="false"/>
            <w:dstrike w:val="false"/>
            <w:color w:val="000000"/>
            <w:sz w:val="22"/>
            <w:szCs w:val="22"/>
            <w:u w:val="none"/>
            <w:lang w:val="en-GB"/>
          </w:rPr>
          <w:t>Social Sciences</w:t>
        </w:r>
      </w:hyperlink>
      <w:r>
        <w:rPr>
          <w:rFonts w:eastAsia="Roboto" w:cs="Roboto"/>
          <w:b/>
          <w:bCs/>
          <w:i w:val="false"/>
          <w:iCs w:val="false"/>
          <w:caps w:val="false"/>
          <w:smallCaps w:val="false"/>
          <w:color w:val="000000"/>
          <w:sz w:val="22"/>
          <w:szCs w:val="22"/>
          <w:u w:val="none"/>
          <w:lang w:val="en-GB"/>
        </w:rPr>
        <w:t>; Basel</w:t>
      </w:r>
      <w:hyperlink r:id="rId12">
        <w:r>
          <w:rPr>
            <w:rStyle w:val="InternetLink"/>
            <w:rFonts w:eastAsia="Roboto" w:cs="Roboto"/>
            <w:b w:val="false"/>
            <w:bCs w:val="false"/>
            <w:i w:val="false"/>
            <w:iCs w:val="false"/>
            <w:caps w:val="false"/>
            <w:smallCaps w:val="false"/>
            <w:strike w:val="false"/>
            <w:dstrike w:val="false"/>
            <w:color w:val="000000"/>
            <w:sz w:val="22"/>
            <w:szCs w:val="22"/>
            <w:u w:val="none"/>
            <w:lang w:val="en-GB"/>
          </w:rPr>
          <w:t xml:space="preserve"> Vol. 6, Iss. 1, </w:t>
        </w:r>
      </w:hyperlink>
      <w:r>
        <w:rPr>
          <w:rFonts w:eastAsia="Roboto" w:cs="Roboto"/>
          <w:b w:val="false"/>
          <w:bCs w:val="false"/>
          <w:i w:val="false"/>
          <w:iCs w:val="false"/>
          <w:caps w:val="false"/>
          <w:smallCaps w:val="false"/>
          <w:color w:val="000000"/>
          <w:sz w:val="22"/>
          <w:szCs w:val="22"/>
          <w:u w:val="none"/>
          <w:lang w:val="en-GB"/>
        </w:rPr>
        <w:t xml:space="preserve"> (2017): 1. DOI:10.3390/socsci6010001</w:t>
      </w:r>
    </w:p>
    <w:p>
      <w:pPr>
        <w:pStyle w:val="Normal"/>
        <w:rPr>
          <w:rStyle w:val="InternetLink"/>
          <w:rFonts w:eastAsia="Roboto" w:cs="Roboto"/>
          <w:b w:val="false"/>
          <w:b w:val="false"/>
          <w:bCs w:val="false"/>
          <w:i w:val="false"/>
          <w:i w:val="false"/>
          <w:iCs w:val="false"/>
          <w:caps w:val="false"/>
          <w:smallCaps w:val="false"/>
          <w:color w:val="000000"/>
          <w:sz w:val="22"/>
          <w:szCs w:val="22"/>
          <w:u w:val="none"/>
          <w:lang w:val="en-GB"/>
        </w:rPr>
      </w:pPr>
      <w:r>
        <w:rPr/>
      </w:r>
    </w:p>
    <w:p>
      <w:pPr>
        <w:pStyle w:val="Normal"/>
        <w:widowControl/>
        <w:bidi w:val="0"/>
        <w:spacing w:lineRule="auto" w:line="259" w:before="0" w:after="160"/>
        <w:jc w:val="left"/>
        <w:rPr>
          <w:color w:val="000000"/>
          <w:sz w:val="22"/>
          <w:szCs w:val="22"/>
        </w:rPr>
      </w:pPr>
      <w:r>
        <w:rPr>
          <w:u w:val="none"/>
        </w:rPr>
      </w:r>
    </w:p>
    <w:p>
      <w:pPr>
        <w:pStyle w:val="1TitleandContentLTGliederung1"/>
        <w:widowControl/>
        <w:bidi w:val="0"/>
        <w:spacing w:lineRule="auto" w:line="259" w:before="0" w:after="160"/>
        <w:jc w:val="left"/>
        <w:rPr>
          <w:rFonts w:ascii="Calibri" w:hAnsi="Calibri"/>
          <w:color w:val="000000"/>
          <w:sz w:val="22"/>
          <w:szCs w:val="22"/>
        </w:rPr>
      </w:pPr>
      <w:r>
        <w:rPr>
          <w:u w:val="none"/>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color w:val="000000"/>
          <w:sz w:val="22"/>
          <w:szCs w:val="22"/>
        </w:rPr>
      </w:pPr>
      <w:r>
        <w:rPr/>
      </w:r>
    </w:p>
    <w:p>
      <w:pPr>
        <w:pStyle w:val="1TitleandContentLTGliederung1"/>
        <w:widowControl/>
        <w:bidi w:val="0"/>
        <w:spacing w:lineRule="auto" w:line="259" w:before="0" w:after="160"/>
        <w:jc w:val="left"/>
        <w:rPr>
          <w:rFonts w:ascii="Calibri" w:hAnsi="Calibri"/>
          <w:sz w:val="22"/>
          <w:szCs w:val="22"/>
        </w:rPr>
      </w:pPr>
      <w:r>
        <w:rPr>
          <w:rFonts w:ascii="Calibri" w:hAnsi="Calibri"/>
          <w:sz w:val="22"/>
          <w:szCs w:val="22"/>
        </w:rPr>
      </w:r>
    </w:p>
    <w:p>
      <w:pPr>
        <w:pStyle w:val="1TitleandContentLTGliederung1"/>
        <w:widowControl/>
        <w:bidi w:val="0"/>
        <w:spacing w:lineRule="auto" w:line="259" w:before="0" w:after="160"/>
        <w:jc w:val="left"/>
        <w:rPr>
          <w:rStyle w:val="InternetLink"/>
          <w:rFonts w:ascii="Calibri" w:hAnsi="Calibri"/>
          <w:b w:val="false"/>
          <w:b w:val="false"/>
          <w:i w:val="false"/>
          <w:i w:val="false"/>
          <w:caps w:val="false"/>
          <w:smallCaps w:val="false"/>
          <w:strike w:val="false"/>
          <w:dstrike w:val="false"/>
          <w:color w:val="000000"/>
          <w:spacing w:val="0"/>
          <w:sz w:val="22"/>
          <w:szCs w:val="22"/>
          <w:u w:val="none"/>
          <w:effect w:val="none"/>
        </w:rPr>
      </w:pPr>
      <w:r>
        <w:rPr>
          <w:rFonts w:ascii="Calibri" w:hAnsi="Calibri"/>
          <w:b w:val="false"/>
          <w:i w:val="false"/>
          <w:caps w:val="false"/>
          <w:smallCaps w:val="false"/>
          <w:strike w:val="false"/>
          <w:dstrike w:val="false"/>
          <w:color w:val="000000"/>
          <w:spacing w:val="0"/>
          <w:sz w:val="22"/>
          <w:szCs w:val="22"/>
          <w:u w:val="none"/>
          <w:effect w:val="none"/>
        </w:rPr>
      </w:r>
    </w:p>
    <w:p>
      <w:pPr>
        <w:pStyle w:val="TextBody"/>
        <w:widowControl/>
        <w:spacing w:before="0" w:after="0"/>
        <w:ind w:left="0" w:right="0" w:hanging="0"/>
        <w:rPr>
          <w:color w:val="000000"/>
        </w:rPr>
      </w:pPr>
      <w:r>
        <w:rPr>
          <w:color w:val="000000"/>
        </w:rPr>
      </w:r>
    </w:p>
    <w:p>
      <w:pPr>
        <w:pStyle w:val="TextBody"/>
        <w:widowControl/>
        <w:spacing w:before="0" w:after="0"/>
        <w:ind w:left="0" w:right="0" w:hanging="0"/>
        <w:rPr>
          <w:color w:val="000000"/>
        </w:rPr>
      </w:pPr>
      <w:r>
        <w:rPr>
          <w:color w:val="000000"/>
        </w:rPr>
      </w:r>
    </w:p>
    <w:p>
      <w:pPr>
        <w:pStyle w:val="TextBody"/>
        <w:widowControl/>
        <w:spacing w:before="0" w:after="0"/>
        <w:ind w:left="0" w:right="0" w:hanging="0"/>
        <w:rPr>
          <w:color w:val="000000"/>
        </w:rPr>
      </w:pPr>
      <w:r>
        <w:rPr>
          <w:color w:val="000000"/>
        </w:rPr>
      </w:r>
    </w:p>
    <w:p>
      <w:pPr>
        <w:pStyle w:val="TextBody"/>
        <w:widowControl/>
        <w:spacing w:before="0" w:after="0"/>
        <w:ind w:left="0" w:right="0" w:hanging="0"/>
        <w:rPr>
          <w:rFonts w:ascii="Calibri" w:hAnsi="Calibri"/>
          <w:b w:val="false"/>
          <w:b w:val="false"/>
          <w:i w:val="false"/>
          <w:i w:val="false"/>
          <w:caps w:val="false"/>
          <w:smallCaps w:val="false"/>
          <w:spacing w:val="0"/>
          <w:sz w:val="22"/>
          <w:szCs w:val="22"/>
        </w:rPr>
      </w:pPr>
      <w:r>
        <w:rPr>
          <w:b w:val="false"/>
          <w:i w:val="false"/>
          <w:caps w:val="false"/>
          <w:smallCaps w:val="false"/>
          <w:spacing w:val="0"/>
          <w:sz w:val="22"/>
          <w:szCs w:val="22"/>
        </w:rPr>
      </w:r>
    </w:p>
    <w:p>
      <w:pPr>
        <w:pStyle w:val="1TitleandContentLTGliederung1"/>
        <w:widowControl/>
        <w:bidi w:val="0"/>
        <w:spacing w:lineRule="auto" w:line="259" w:before="0" w:after="160"/>
        <w:jc w:val="left"/>
        <w:rPr>
          <w:color w:val="000000"/>
        </w:rPr>
      </w:pPr>
      <w:r>
        <w:rPr>
          <w:color w:val="000000"/>
        </w:rPr>
      </w:r>
    </w:p>
    <w:p>
      <w:pPr>
        <w:pStyle w:val="1TitleandContentLTGliederung1"/>
        <w:widowControl/>
        <w:bidi w:val="0"/>
        <w:spacing w:lineRule="auto" w:line="259" w:before="0" w:after="160"/>
        <w:jc w:val="left"/>
        <w:rPr>
          <w:rFonts w:ascii="Calibri" w:hAnsi="Calibri"/>
          <w:sz w:val="22"/>
          <w:szCs w:val="22"/>
        </w:rPr>
      </w:pPr>
      <w:r>
        <w:rPr>
          <w:rFonts w:ascii="Calibri" w:hAnsi="Calibri"/>
          <w:sz w:val="22"/>
          <w:szCs w:val="22"/>
        </w:rPr>
      </w:r>
    </w:p>
    <w:p>
      <w:pPr>
        <w:pStyle w:val="1TitleandContentLTGliederung1"/>
        <w:widowControl/>
        <w:bidi w:val="0"/>
        <w:spacing w:lineRule="auto" w:line="259" w:before="0" w:after="160"/>
        <w:jc w:val="left"/>
        <w:rPr>
          <w:color w:val="000000"/>
        </w:rPr>
      </w:pPr>
      <w:r>
        <w:rPr>
          <w:rFonts w:ascii="Calibri" w:hAnsi="Calibri"/>
          <w:color w:val="000000"/>
          <w:sz w:val="22"/>
          <w:szCs w:val="22"/>
        </w:rPr>
        <w:t xml:space="preserve"> </w:t>
      </w:r>
    </w:p>
    <w:p>
      <w:pPr>
        <w:pStyle w:val="Normal"/>
        <w:widowControl/>
        <w:bidi w:val="0"/>
        <w:spacing w:lineRule="auto" w:line="259" w:before="0" w:after="160"/>
        <w:jc w:val="left"/>
        <w:rPr>
          <w:i w:val="false"/>
          <w:i w:val="false"/>
          <w:iCs w:val="false"/>
          <w:color w:val="000000"/>
        </w:rPr>
      </w:pPr>
      <w:r>
        <w:rPr>
          <w:i w:val="false"/>
          <w:iCs w:val="false"/>
          <w:color w:val="000000"/>
        </w:rPr>
      </w:r>
    </w:p>
    <w:p>
      <w:pPr>
        <w:pStyle w:val="Normal"/>
        <w:widowControl/>
        <w:bidi w:val="0"/>
        <w:spacing w:lineRule="auto" w:line="259" w:before="0" w:after="160"/>
        <w:jc w:val="left"/>
        <w:rPr>
          <w:i w:val="false"/>
          <w:i w:val="false"/>
          <w:iCs w:val="false"/>
          <w:color w:val="000000"/>
        </w:rPr>
      </w:pPr>
      <w:r>
        <w:rPr>
          <w:i w:val="false"/>
          <w:iCs w:val="false"/>
          <w:color w:val="000000"/>
        </w:rPr>
      </w:r>
    </w:p>
    <w:p>
      <w:pPr>
        <w:pStyle w:val="Normal"/>
        <w:widowControl/>
        <w:suppressAutoHyphens w:val="true"/>
        <w:bidi w:val="0"/>
        <w:spacing w:lineRule="auto" w:line="259" w:before="0" w:after="160"/>
        <w:jc w:val="left"/>
        <w:rPr>
          <w:color w:val="000000"/>
        </w:rPr>
      </w:pPr>
      <w:r>
        <w:rPr>
          <w:i w:val="false"/>
          <w:iCs w:val="false"/>
          <w:color w:val="000000"/>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Open Sans">
    <w:altName w:val="Helvetica Neue"/>
    <w:charset w:val="00"/>
    <w:family w:val="auto"/>
    <w:pitch w:val="default"/>
  </w:font>
  <w:font w:name="Open Sans">
    <w:altName w:val="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Emphasis">
    <w:name w:val="Emphasis"/>
    <w:qFormat/>
    <w:rPr>
      <w:i/>
      <w:iCs/>
    </w:rPr>
  </w:style>
  <w:style w:type="character" w:styleId="InternetLink">
    <w:name w:val="Hyperlink"/>
    <w:basedOn w:val="DefaultParagraphFont"/>
    <w:rPr>
      <w:color w:val="0563C1" w:themeColor="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1TitleandContentLTGliederung1">
    <w:name w:val="1_Title and Content~LT~Gliederung 1"/>
    <w:qFormat/>
    <w:pPr>
      <w:widowControl/>
      <w:suppressAutoHyphens w:val="true"/>
      <w:bidi w:val="0"/>
      <w:spacing w:lineRule="auto" w:line="216" w:before="283" w:after="0"/>
      <w:jc w:val="left"/>
    </w:pPr>
    <w:rPr>
      <w:rFonts w:ascii="Arial" w:hAnsi="Arial" w:eastAsia="Tahoma" w:cs="Arial"/>
      <w:b w:val="false"/>
      <w:i w:val="false"/>
      <w:strike w:val="false"/>
      <w:dstrike w:val="false"/>
      <w:outline w:val="false"/>
      <w:shadow w:val="false"/>
      <w:color w:val="000000"/>
      <w:spacing w:val="0"/>
      <w:kern w:val="2"/>
      <w:sz w:val="56"/>
      <w:szCs w:val="24"/>
      <w:u w:val="none"/>
      <w:em w:val="none"/>
      <w:lang w:val="en-GB"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walesonline.co.uk/news/wales-news/foundation-phase-report-deals-blow-5376601" TargetMode="External"/><Relationship Id="rId3" Type="http://schemas.openxmlformats.org/officeDocument/2006/relationships/hyperlink" Target="https://www.tandfonline.com/action/showCitFormats?doi=10.1080/09575140701594400" TargetMode="External"/><Relationship Id="rId4" Type="http://schemas.openxmlformats.org/officeDocument/2006/relationships/hyperlink" Target="" TargetMode="External"/><Relationship Id="rId5" Type="http://schemas.openxmlformats.org/officeDocument/2006/relationships/hyperlink" Target="http://outdoormatters.co.uk/wp-content/uploads/2011/04/The-Early-Years-Foundations-for-life-health-and-learning.pdf" TargetMode="External"/><Relationship Id="rId6" Type="http://schemas.openxmlformats.org/officeDocument/2006/relationships/hyperlink" Target="https://www.acornhouse.school/2019/04/06/the-importance-of-outdoor-exploratory-play-in-early-years/" TargetMode="External"/><Relationship Id="rId7" Type="http://schemas.openxmlformats.org/officeDocument/2006/relationships/hyperlink" Target="https://chaschool.org/top-learning-play/5-benefits-" TargetMode="External"/><Relationship Id="rId8" Type="http://schemas.openxmlformats.org/officeDocument/2006/relationships/hyperlink" Target="https://gov.wales/sites/default/files/consultations/2021-05/enabling-pathways-consultation-document_0.pdf" TargetMode="External"/><Relationship Id="rId9" Type="http://schemas.openxmlformats.org/officeDocument/2006/relationships/hyperlink" Target="https://www.proquest.com/indexinglinkhandler/sng/au/Bilton,+Helen/$N?accountid=130472" TargetMode="External"/><Relationship Id="rId10" Type="http://schemas.openxmlformats.org/officeDocument/2006/relationships/hyperlink" Target="https://www.proquest.com/indexinglinkhandler/sng/au/Waters,+Jane/$N?accountid=130472" TargetMode="External"/><Relationship Id="rId11" Type="http://schemas.openxmlformats.org/officeDocument/2006/relationships/hyperlink" Target="https://www.proquest.com/pubidlinkhandler/sng/pubtitle/Social+Sciences/$N/2032332/PagePdf/1888945752/fulltextPDF/193EF61E363C47F5PQ/1?accountid=130472" TargetMode="External"/><Relationship Id="rId12" Type="http://schemas.openxmlformats.org/officeDocument/2006/relationships/hyperlink" Target="https://www.proquest.com/indexingvolumeissuelinkhandler/2032332/Social+Sciences/02017Y01Y01$232017$3b++Vol.+6+$281$29/6/1?accountid=130472" TargetMode="Externa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Application>LibreOffice/7.0.3.1$Windows_X86_64 LibreOffice_project/d7547858d014d4cf69878db179d326fc3483e082</Application>
  <Pages>12</Pages>
  <Words>5515</Words>
  <Characters>30604</Characters>
  <CharactersWithSpaces>36197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2021-10-09T16:38:03Z</dcterms:created>
  <dc:creator>Rachel Lavina Jones (1402983)</dc:creator>
  <dc:description/>
  <dc:language>en-GB</dc:language>
  <cp:lastModifiedBy/>
  <dcterms:modified xsi:type="dcterms:W3CDTF">2021-10-22T11:17:22Z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